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3DCB" w14:textId="0F6E5E62" w:rsidR="00BC7B18" w:rsidRPr="0043663A" w:rsidRDefault="00BC7B18" w:rsidP="00BC7B18">
      <w:pPr>
        <w:pStyle w:val="MDPI21heading1"/>
        <w:ind w:left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Example Data Processing </w:t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an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Meta-Analysis for</w:t>
      </w:r>
      <w:r w:rsidRPr="00BC7B18">
        <w:t xml:space="preserve"> </w:t>
      </w:r>
      <w:r w:rsidRPr="00BC7B18">
        <w:rPr>
          <w:rFonts w:ascii="Times New Roman" w:hAnsi="Times New Roman"/>
          <w:sz w:val="24"/>
          <w:szCs w:val="24"/>
          <w:lang w:eastAsia="zh-CN"/>
        </w:rPr>
        <w:t>Systematic review and statistical synthesis of rooftop animal fecal pathogens: for risk assessment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17CB783A" w14:textId="5C3B9D85" w:rsidR="0025684A" w:rsidRDefault="0025684A" w:rsidP="00BC7B18"/>
    <w:p w14:paraId="6587F003" w14:textId="093141E8" w:rsidR="00BC7B18" w:rsidRPr="0043663A" w:rsidRDefault="00BC7B18" w:rsidP="00BC7B18">
      <w:pPr>
        <w:pStyle w:val="MDPI31text"/>
        <w:spacing w:line="48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will give an example of how pathogen concentration outcomes were processed for one study.</w:t>
      </w:r>
    </w:p>
    <w:p w14:paraId="7616D8CC" w14:textId="0EB7FBD4" w:rsidR="00BC7B18" w:rsidRDefault="00BC7B18" w:rsidP="00BC7B18">
      <w:r>
        <w:rPr>
          <w:noProof/>
        </w:rPr>
        <w:drawing>
          <wp:inline distT="0" distB="0" distL="0" distR="0" wp14:anchorId="4B59D620" wp14:editId="780C9E6D">
            <wp:extent cx="5862955" cy="453541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30" cy="4542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3E9AC" w14:textId="30AD1AAC" w:rsidR="00BC7B18" w:rsidRPr="009F3D8F" w:rsidRDefault="00BC7B18" w:rsidP="00BC7B18">
      <w:pPr>
        <w:pStyle w:val="MDPI31text"/>
        <w:spacing w:line="480" w:lineRule="auto"/>
        <w:ind w:left="0" w:firstLine="0"/>
        <w:jc w:val="left"/>
        <w:rPr>
          <w:rFonts w:ascii="Times New Roman" w:hAnsi="Times New Roman"/>
          <w:b/>
          <w:bCs/>
          <w:sz w:val="24"/>
          <w:szCs w:val="24"/>
        </w:rPr>
      </w:pPr>
      <w:bookmarkStart w:id="0" w:name="_Hlk148021345"/>
      <w:r>
        <w:rPr>
          <w:rFonts w:ascii="Times New Roman" w:hAnsi="Times New Roman"/>
          <w:b/>
          <w:bCs/>
          <w:sz w:val="24"/>
          <w:szCs w:val="24"/>
        </w:rPr>
        <w:t>Fig. XXX.</w:t>
      </w:r>
      <w:r>
        <w:rPr>
          <w:rFonts w:ascii="Times New Roman" w:hAnsi="Times New Roman"/>
          <w:sz w:val="24"/>
          <w:szCs w:val="24"/>
        </w:rPr>
        <w:t xml:space="preserve">  </w:t>
      </w:r>
      <w:bookmarkEnd w:id="0"/>
      <w:r>
        <w:rPr>
          <w:rFonts w:ascii="Times New Roman" w:hAnsi="Times New Roman"/>
          <w:sz w:val="24"/>
          <w:szCs w:val="24"/>
        </w:rPr>
        <w:t>This figure is Fig. XX from the review the boxes in grey represent the pathway that will be followed in the example below.</w:t>
      </w:r>
    </w:p>
    <w:p w14:paraId="2FE1702B" w14:textId="77777777" w:rsidR="00BC7B18" w:rsidRDefault="00BC7B18" w:rsidP="00BC7B18">
      <w:pPr>
        <w:pStyle w:val="MDPI31text"/>
        <w:spacing w:line="480" w:lineRule="auto"/>
        <w:ind w:left="0" w:firstLine="72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682"/>
        <w:gridCol w:w="1728"/>
        <w:gridCol w:w="828"/>
        <w:gridCol w:w="849"/>
        <w:gridCol w:w="744"/>
        <w:gridCol w:w="831"/>
        <w:gridCol w:w="751"/>
        <w:gridCol w:w="691"/>
        <w:gridCol w:w="646"/>
        <w:gridCol w:w="610"/>
      </w:tblGrid>
      <w:tr w:rsidR="0009095B" w:rsidRPr="00F048B1" w14:paraId="0FD5A1FF" w14:textId="77777777" w:rsidTr="00544B43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0D2D3" w14:textId="12B63E8E" w:rsidR="00BC7B18" w:rsidRPr="00F048B1" w:rsidRDefault="00BC7B18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</w:t>
            </w:r>
          </w:p>
        </w:tc>
        <w:tc>
          <w:tcPr>
            <w:tcW w:w="7678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4D0BA" w14:textId="58FF0CFC" w:rsidR="00BC7B18" w:rsidRPr="00F048B1" w:rsidRDefault="00BC7B18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Example</w:t>
            </w:r>
          </w:p>
        </w:tc>
      </w:tr>
      <w:tr w:rsidR="0009095B" w:rsidRPr="00F048B1" w14:paraId="49AF7285" w14:textId="77777777" w:rsidTr="00544B43">
        <w:trPr>
          <w:trHeight w:val="300"/>
        </w:trPr>
        <w:tc>
          <w:tcPr>
            <w:tcW w:w="16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46458" w14:textId="640A3F72" w:rsidR="00BC7B18" w:rsidRPr="00F048B1" w:rsidRDefault="00BC7B18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Systematic Review</w:t>
            </w:r>
          </w:p>
        </w:tc>
        <w:tc>
          <w:tcPr>
            <w:tcW w:w="7678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39FE" w14:textId="48724B3B" w:rsidR="00BC7B18" w:rsidRPr="00F048B1" w:rsidRDefault="003A2178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Google Scholar search for: </w:t>
            </w:r>
            <w:r w:rsidRPr="003A2178">
              <w:rPr>
                <w:rFonts w:ascii="Calibri" w:eastAsia="Times New Roman" w:hAnsi="Calibri" w:cs="Calibri"/>
                <w:color w:val="000000"/>
              </w:rPr>
              <w:t>feces AND wildlife AND shedding AND pathogen</w:t>
            </w:r>
          </w:p>
        </w:tc>
      </w:tr>
      <w:tr w:rsidR="0009095B" w:rsidRPr="00F048B1" w14:paraId="748BCBA6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C94290" w14:textId="0937CA6D" w:rsidR="00BC7B18" w:rsidRPr="00F048B1" w:rsidRDefault="00BC7B18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Hlk147845320"/>
            <w:r>
              <w:rPr>
                <w:rFonts w:ascii="Calibri" w:eastAsia="Times New Roman" w:hAnsi="Calibri" w:cs="Calibri"/>
                <w:color w:val="000000"/>
              </w:rPr>
              <w:t>Information Source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B7DE1" w14:textId="43434A09" w:rsidR="00BC7B18" w:rsidRPr="00F048B1" w:rsidRDefault="003A2178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78">
              <w:rPr>
                <w:noProof/>
              </w:rPr>
              <w:t xml:space="preserve">Frick, C., J. Vierheilig, R. Linke, D. Savio, H. Zornig, R. Antensteiner, C. Baumgartner, C. Bucher, A. P. Blaschke, J. Derx, A. K. T. Kirschner, G. Ryzinska-Paier, R. Mayer, D. </w:t>
            </w:r>
            <w:r w:rsidRPr="003A2178">
              <w:rPr>
                <w:noProof/>
              </w:rPr>
              <w:lastRenderedPageBreak/>
              <w:t xml:space="preserve">Seidl, T. Nadiotis-Tsaka, R. Sommer and A. H. Farnleitner (2018). "Poikilothermic Animals as a Previously Unrecognized Source of Fecal Indicator Bacteria in a Backwater Ecosystem of a Large River." </w:t>
            </w:r>
            <w:r w:rsidRPr="003A2178">
              <w:rPr>
                <w:noProof/>
                <w:u w:val="single"/>
              </w:rPr>
              <w:t>Appl Environ Microbiol</w:t>
            </w:r>
            <w:r w:rsidRPr="003A2178">
              <w:rPr>
                <w:noProof/>
              </w:rPr>
              <w:t xml:space="preserve"> </w:t>
            </w:r>
            <w:r w:rsidRPr="003A2178">
              <w:rPr>
                <w:b/>
                <w:noProof/>
              </w:rPr>
              <w:t>84</w:t>
            </w:r>
            <w:r w:rsidRPr="003A2178">
              <w:rPr>
                <w:noProof/>
              </w:rPr>
              <w:t>(16): e00715-00718.</w:t>
            </w:r>
          </w:p>
        </w:tc>
      </w:tr>
      <w:bookmarkEnd w:id="1"/>
      <w:tr w:rsidR="0009095B" w:rsidRPr="00F048B1" w14:paraId="0632FEA9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108E20" w14:textId="1439D2A1" w:rsidR="00BC7B18" w:rsidRPr="00F048B1" w:rsidRDefault="00BC7B18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Selection Process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92DFA" w14:textId="5B28D7A5" w:rsidR="00BC7B18" w:rsidRPr="00F048B1" w:rsidRDefault="00990131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article fit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all of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 eligibility criteria and was relevant since it had data on the concentration of pathogens in animal fecal material</w:t>
            </w:r>
          </w:p>
        </w:tc>
      </w:tr>
      <w:tr w:rsidR="0009095B" w:rsidRPr="00F048B1" w14:paraId="6CD9771C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604034" w14:textId="3464A510" w:rsidR="00BC7B18" w:rsidRPr="00F048B1" w:rsidRDefault="00BC7B18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Grouping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9EE11" w14:textId="77777777" w:rsidR="00990131" w:rsidRDefault="00990131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following animals from this article were determined to have the ability to reach a roof top: gastropod, frog, and bird.</w:t>
            </w:r>
          </w:p>
          <w:p w14:paraId="59380671" w14:textId="77777777" w:rsidR="00990131" w:rsidRDefault="00D5146B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990131">
              <w:rPr>
                <w:rFonts w:ascii="Calibri" w:eastAsia="Times New Roman" w:hAnsi="Calibri" w:cs="Calibri"/>
                <w:color w:val="000000"/>
              </w:rPr>
              <w:t xml:space="preserve">rog was </w:t>
            </w:r>
            <w:r>
              <w:rPr>
                <w:rFonts w:ascii="Calibri" w:eastAsia="Times New Roman" w:hAnsi="Calibri" w:cs="Calibri"/>
                <w:color w:val="000000"/>
              </w:rPr>
              <w:t>grouped under the amphibian class, while bird and gastropod were already classes.</w:t>
            </w:r>
          </w:p>
          <w:p w14:paraId="208C0E8B" w14:textId="67F63EF3" w:rsidR="00D5146B" w:rsidRPr="00D5146B" w:rsidRDefault="00D5146B" w:rsidP="00D51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pathogens tested for were 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>Escherichia coli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>Enterococci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>Clostridium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>perfringens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Clostridium was included during data collection but was later excluded during the grouping step.  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Escherichia </w:t>
            </w:r>
            <w:proofErr w:type="gramStart"/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>coli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5146B">
              <w:rPr>
                <w:rFonts w:ascii="Calibri" w:eastAsia="Times New Roman" w:hAnsi="Calibri" w:cs="Calibri"/>
                <w:i/>
                <w:iCs/>
                <w:color w:val="000000"/>
              </w:rPr>
              <w:t>Enterococci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were used as is because they were groups that had been decided on previously.</w:t>
            </w:r>
          </w:p>
        </w:tc>
      </w:tr>
      <w:tr w:rsidR="003F7150" w:rsidRPr="00F048B1" w14:paraId="2E8C61B6" w14:textId="77777777" w:rsidTr="00544B43">
        <w:trPr>
          <w:trHeight w:val="30"/>
        </w:trPr>
        <w:tc>
          <w:tcPr>
            <w:tcW w:w="168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DBB4B6E" w14:textId="5A9848B3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Outcomes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4F07C" w14:textId="55A00310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Pathogen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3A8A6E" w14:textId="2779591E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DD7F72" w14:textId="49299FBC" w:rsidR="007A3EB3" w:rsidRPr="00F048B1" w:rsidRDefault="004B78F0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6EF7F4" w14:textId="5F7D77E6" w:rsidR="007A3EB3" w:rsidRPr="00F048B1" w:rsidRDefault="004B78F0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2B26AF" w14:textId="750ECFED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77AF4A" w14:textId="628A3135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</w:t>
            </w:r>
            <w:r w:rsidR="003F715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8C67B4" w14:textId="34D73998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731240" w14:textId="6C8D5CC0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49A848" w14:textId="7E1013D1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3F7150" w:rsidRPr="00F048B1" w14:paraId="0ECFA2ED" w14:textId="77777777" w:rsidTr="00544B43">
        <w:trPr>
          <w:trHeight w:val="30"/>
        </w:trPr>
        <w:tc>
          <w:tcPr>
            <w:tcW w:w="1682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6B8E374D" w14:textId="77777777" w:rsidR="007A3EB3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85CCEE" w14:textId="2073AAD6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E. Coli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13B85B" w14:textId="26411B15" w:rsidR="007A3EB3" w:rsidRPr="00F048B1" w:rsidRDefault="007A3EB3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943222" w14:textId="5E995653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54093B" w14:textId="5C81E5C2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F31632" w14:textId="76FA6FF1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A73616" w14:textId="2DB772E4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D2AD21" w14:textId="166C3D1E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489B3D" w14:textId="14032EA8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EC719E" w14:textId="52AA4EDA" w:rsidR="007A3EB3" w:rsidRPr="00F048B1" w:rsidRDefault="00E35C8E" w:rsidP="0057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</w:tr>
      <w:tr w:rsidR="007A3EB3" w:rsidRPr="00F048B1" w14:paraId="3EB8E3C9" w14:textId="77777777" w:rsidTr="00544B43">
        <w:trPr>
          <w:trHeight w:val="30"/>
        </w:trPr>
        <w:tc>
          <w:tcPr>
            <w:tcW w:w="1682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3FD97A7F" w14:textId="77777777" w:rsidR="007A3EB3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A05A66" w14:textId="6BEDB28D" w:rsidR="007A3EB3" w:rsidRPr="007A3EB3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mean, median, 5 and 95 percentile and max are in units of log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CFU/g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feces</w:t>
            </w:r>
            <w:proofErr w:type="gramEnd"/>
            <w:r w:rsidR="00E35C8E">
              <w:rPr>
                <w:rFonts w:ascii="Calibri" w:eastAsia="Times New Roman" w:hAnsi="Calibri" w:cs="Calibri"/>
                <w:color w:val="000000"/>
              </w:rPr>
              <w:t xml:space="preserve"> and all statistics were calculated excluding non-detects.</w:t>
            </w:r>
            <w:r w:rsidR="00544B43">
              <w:rPr>
                <w:rFonts w:ascii="Calibri" w:eastAsia="Times New Roman" w:hAnsi="Calibri" w:cs="Calibri"/>
                <w:color w:val="000000"/>
              </w:rPr>
              <w:t xml:space="preserve">  The was also data for Enterococci</w:t>
            </w:r>
            <w:r w:rsidR="001C51CD">
              <w:rPr>
                <w:rFonts w:ascii="Calibri" w:eastAsia="Times New Roman" w:hAnsi="Calibri" w:cs="Calibri"/>
                <w:color w:val="000000"/>
              </w:rPr>
              <w:t>, frogs, and gastropods but for the example we will only follow birds.</w:t>
            </w:r>
            <w:r w:rsidR="003F7C1A">
              <w:rPr>
                <w:rFonts w:ascii="Calibri" w:eastAsia="Times New Roman" w:hAnsi="Calibri" w:cs="Calibri"/>
                <w:color w:val="000000"/>
              </w:rPr>
              <w:t xml:space="preserve">  The limit of detection was (LOD) was 1000 CFU/g</w:t>
            </w:r>
          </w:p>
        </w:tc>
      </w:tr>
      <w:tr w:rsidR="0009095B" w:rsidRPr="00F048B1" w14:paraId="461562D7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8D462D" w14:textId="7ED7DDDB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Enumerated Outcomes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449" w:type="dxa"/>
              <w:tblLook w:val="04A0" w:firstRow="1" w:lastRow="0" w:firstColumn="1" w:lastColumn="0" w:noHBand="0" w:noVBand="1"/>
            </w:tblPr>
            <w:tblGrid>
              <w:gridCol w:w="1251"/>
              <w:gridCol w:w="1135"/>
              <w:gridCol w:w="1010"/>
              <w:gridCol w:w="1023"/>
              <w:gridCol w:w="1010"/>
              <w:gridCol w:w="1010"/>
              <w:gridCol w:w="1010"/>
            </w:tblGrid>
            <w:tr w:rsidR="00F42FCA" w:rsidRPr="00F048B1" w14:paraId="13AE39BF" w14:textId="77777777" w:rsidTr="001C51CD">
              <w:trPr>
                <w:trHeight w:val="30"/>
              </w:trPr>
              <w:tc>
                <w:tcPr>
                  <w:tcW w:w="1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9486B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bookmarkStart w:id="2" w:name="_Hlk148435270"/>
                  <w:r>
                    <w:rPr>
                      <w:rFonts w:ascii="Calibri" w:eastAsia="Times New Roman" w:hAnsi="Calibri" w:cs="Calibri"/>
                      <w:color w:val="000000"/>
                    </w:rPr>
                    <w:t>Pathogen</w:t>
                  </w:r>
                </w:p>
              </w:tc>
              <w:tc>
                <w:tcPr>
                  <w:tcW w:w="11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38BDF68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Source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39FC8BF5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8920402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4B07794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5%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0E81ABF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95%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6356CAC8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Max</w:t>
                  </w:r>
                </w:p>
              </w:tc>
            </w:tr>
            <w:tr w:rsidR="00F42FCA" w:rsidRPr="00F048B1" w14:paraId="63E126CB" w14:textId="77777777" w:rsidTr="001C51CD">
              <w:trPr>
                <w:trHeight w:val="30"/>
              </w:trPr>
              <w:tc>
                <w:tcPr>
                  <w:tcW w:w="1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B14916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E. Coli</w:t>
                  </w:r>
                </w:p>
              </w:tc>
              <w:tc>
                <w:tcPr>
                  <w:tcW w:w="11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84DA6A3" w14:textId="77777777" w:rsidR="00E35C8E" w:rsidRPr="00F048B1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Bird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E056E7C" w14:textId="42BFEF9D" w:rsidR="00E35C8E" w:rsidRPr="0009095B" w:rsidRDefault="0009095B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  <w:r w:rsidR="00250EE3">
                    <w:rPr>
                      <w:rFonts w:ascii="Calibri" w:eastAsia="Times New Roman" w:hAnsi="Calibri" w:cs="Calibri"/>
                      <w:color w:val="000000"/>
                    </w:rPr>
                    <w:t>.00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5</w:t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16C3CCE" w14:textId="5990ACC8" w:rsidR="00E35C8E" w:rsidRPr="00F048B1" w:rsidRDefault="0009095B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6.31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4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30654F54" w14:textId="18E5D81F" w:rsidR="00E35C8E" w:rsidRPr="00F048B1" w:rsidRDefault="00F42FCA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  <w:r w:rsidR="00250EE3">
                    <w:rPr>
                      <w:rFonts w:ascii="Calibri" w:eastAsia="Times New Roman" w:hAnsi="Calibri" w:cs="Calibri"/>
                      <w:color w:val="000000"/>
                    </w:rPr>
                    <w:t>.00</w:t>
                  </w:r>
                  <w:r w:rsidR="0009095B">
                    <w:rPr>
                      <w:rFonts w:ascii="Calibri" w:eastAsia="Times New Roman" w:hAnsi="Calibri" w:cs="Calibri"/>
                      <w:color w:val="000000"/>
                    </w:rPr>
                    <w:t>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2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39A10E9A" w14:textId="7FF46A17" w:rsidR="00E35C8E" w:rsidRPr="00F048B1" w:rsidRDefault="00F42FCA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3.16</w:t>
                  </w:r>
                  <w:r w:rsidR="0009095B">
                    <w:rPr>
                      <w:rFonts w:ascii="Calibri" w:eastAsia="Times New Roman" w:hAnsi="Calibri" w:cs="Calibri"/>
                      <w:color w:val="000000"/>
                    </w:rPr>
                    <w:t>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8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72B9FB0D" w14:textId="6179CD83" w:rsidR="00E35C8E" w:rsidRPr="00F048B1" w:rsidRDefault="0009095B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.58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9</w:t>
                  </w:r>
                </w:p>
              </w:tc>
            </w:tr>
            <w:tr w:rsidR="00F42FCA" w:rsidRPr="007A3EB3" w14:paraId="197D96B0" w14:textId="77777777" w:rsidTr="001C51CD">
              <w:trPr>
                <w:trHeight w:val="30"/>
              </w:trPr>
              <w:tc>
                <w:tcPr>
                  <w:tcW w:w="7449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6BB7F9" w14:textId="6AFA2051" w:rsidR="00E35C8E" w:rsidRPr="007A3EB3" w:rsidRDefault="00E35C8E" w:rsidP="00E35C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The mean, median, 5 and 95 percentile and max are in units of CFU/g feces and all statistics were calculated excluding non-detects.</w:t>
                  </w:r>
                </w:p>
              </w:tc>
            </w:tr>
            <w:bookmarkEnd w:id="2"/>
          </w:tbl>
          <w:p w14:paraId="78CA1BFD" w14:textId="34E682F3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095B" w:rsidRPr="00F048B1" w14:paraId="0202EDF0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7DB589" w14:textId="1B412652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Summary Statistics for Positive samples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449" w:type="dxa"/>
              <w:tblLook w:val="04A0" w:firstRow="1" w:lastRow="0" w:firstColumn="1" w:lastColumn="0" w:noHBand="0" w:noVBand="1"/>
            </w:tblPr>
            <w:tblGrid>
              <w:gridCol w:w="1251"/>
              <w:gridCol w:w="1135"/>
              <w:gridCol w:w="1010"/>
              <w:gridCol w:w="1023"/>
              <w:gridCol w:w="1010"/>
              <w:gridCol w:w="1010"/>
              <w:gridCol w:w="1010"/>
            </w:tblGrid>
            <w:tr w:rsidR="003F7150" w:rsidRPr="00F048B1" w14:paraId="01E7DA2D" w14:textId="77777777" w:rsidTr="001C51CD">
              <w:trPr>
                <w:trHeight w:val="30"/>
              </w:trPr>
              <w:tc>
                <w:tcPr>
                  <w:tcW w:w="1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19A5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Pathogen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B21B3A6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Source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46F59F93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57F7B40D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54C334E8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5%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5FD18E7B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95%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553FB99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Max</w:t>
                  </w:r>
                </w:p>
              </w:tc>
            </w:tr>
            <w:tr w:rsidR="003F7150" w:rsidRPr="00F048B1" w14:paraId="1C5AAB8F" w14:textId="77777777" w:rsidTr="001C51CD">
              <w:trPr>
                <w:trHeight w:val="30"/>
              </w:trPr>
              <w:tc>
                <w:tcPr>
                  <w:tcW w:w="1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CFF265" w14:textId="48456B86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E.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oli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892D706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Bird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44FBBDA" w14:textId="77777777" w:rsidR="003F7150" w:rsidRPr="0009095B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1.00×10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5</w:t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1E6564A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6.31×10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4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C892249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2.00×10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2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53F51659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3.16×10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8</w:t>
                  </w:r>
                </w:p>
              </w:tc>
              <w:tc>
                <w:tcPr>
                  <w:tcW w:w="10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7C672746" w14:textId="77777777" w:rsidR="003F7150" w:rsidRPr="00F048B1" w:rsidRDefault="003F7150" w:rsidP="003F71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1.58×10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9</w:t>
                  </w:r>
                </w:p>
              </w:tc>
            </w:tr>
            <w:tr w:rsidR="001C51CD" w:rsidRPr="007A3EB3" w14:paraId="637A1099" w14:textId="77777777" w:rsidTr="001C51CD">
              <w:trPr>
                <w:trHeight w:val="30"/>
              </w:trPr>
              <w:tc>
                <w:tcPr>
                  <w:tcW w:w="7449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55ED37" w14:textId="3B34FE78" w:rsidR="001C51CD" w:rsidRPr="007A3EB3" w:rsidRDefault="001C51CD" w:rsidP="001C51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The mean, median, 5 and 95 percentile and max are in units of CFU/g feces and all statistics were calculated excluding non-detects.</w:t>
                  </w:r>
                  <w:r w:rsidR="003F7C1A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="003F7C1A">
                    <w:rPr>
                      <w:rFonts w:ascii="Calibri" w:eastAsia="Times New Roman" w:hAnsi="Calibri" w:cs="Calibri"/>
                      <w:color w:val="000000"/>
                    </w:rPr>
                    <w:t>The limit of detection was (LOD) was 1000 CFU/g</w:t>
                  </w:r>
                </w:p>
              </w:tc>
            </w:tr>
          </w:tbl>
          <w:p w14:paraId="1AAA2409" w14:textId="6160F342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095B" w:rsidRPr="00F048B1" w14:paraId="5B436F25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6EB4AD" w14:textId="049042ED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Relationship between normal and log normal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distributiosn</w:t>
            </w:r>
            <w:proofErr w:type="spellEnd"/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4052E" w14:textId="77777777" w:rsidR="007A3EB3" w:rsidRDefault="003F7150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the rest of the rest of this example I will only follow E. coli in bird samples.</w:t>
            </w:r>
          </w:p>
          <w:p w14:paraId="7D68247E" w14:textId="70390793" w:rsidR="00240CFC" w:rsidRDefault="00240CFC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following equations from </w:t>
            </w:r>
            <w:r w:rsidR="004B78F0">
              <w:rPr>
                <w:rFonts w:ascii="Calibri" w:eastAsia="Times New Roman" w:hAnsi="Calibri" w:cs="Calibri"/>
                <w:color w:val="000000"/>
              </w:rPr>
              <w:t xml:space="preserve">the supplementary materials for </w:t>
            </w: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ADDIN EN.CITE &lt;EndNote&gt;&lt;Cite&gt;&lt;Author&gt;Jahne&lt;/Author&gt;&lt;Year&gt;2017&lt;/Year&gt;&lt;RecNum&gt;73&lt;/RecNum&gt;&lt;DisplayText&gt;(Jahne, Schoen et al. 2017)&lt;/DisplayText&gt;&lt;record&gt;&lt;rec-number&gt;73&lt;/rec-number&gt;&lt;foreign-keys&gt;&lt;key app="EN" db-id="ddwedssawzedr4eaxacxtazkvzw5d22fseef" timestamp="1616519248"&gt;73&lt;/key&gt;&lt;key app="ENWeb" db-id=""&gt;0&lt;/key&gt;&lt;/foreign-keys&gt;&lt;ref-type name="Journal Article"&gt;17&lt;/ref-type&gt;&lt;contributors&gt;&lt;authors&gt;&lt;author&gt;Jahne, M. A.&lt;/author&gt;&lt;author&gt;Schoen, M. E.&lt;/author&gt;&lt;author&gt;Garland, J. L.&lt;/author&gt;&lt;author&gt;Ashbolt, N. J.&lt;/author&gt;&lt;/authors&gt;&lt;/contributors&gt;&lt;auth-address&gt;U.S. Environmental Protection Agency, 26 W. Martin Luther King Dr., Cincinnati OH 45268, United States.&amp;#xD;Soller Environmental, 3022 King St., Berkeley, CA 94703, United States.&amp;#xD;University of Alberta, Rm 3-57D South Academic Building, Edmonton, AB T6G 2G7, Canada.&lt;/auth-address&gt;&lt;titles&gt;&lt;title&gt;Simulation of enteric pathogen concentrations in locally-collected greywater and wastewater for microbial risk assessments&lt;/title&gt;&lt;secondary-title&gt;Microb Risk Anal&lt;/secondary-title&gt;&lt;/titles&gt;&lt;periodical&gt;&lt;full-title&gt;Microb Risk Anal&lt;/full-title&gt;&lt;/periodical&gt;&lt;pages&gt;44-52&lt;/pages&gt;&lt;volume&gt;5&lt;/volume&gt;&lt;edition&gt;2017/04/01&lt;/edition&gt;&lt;keywords&gt;&lt;keyword&gt;Decentralized systems&lt;/keyword&gt;&lt;keyword&gt;Greywater&lt;/keyword&gt;&lt;keyword&gt;Microbial risk assessment&lt;/keyword&gt;&lt;keyword&gt;Wastewater&lt;/keyword&gt;&lt;keyword&gt;Water reuse&lt;/keyword&gt;&lt;keyword&gt;Waterborne pathogens&lt;/keyword&gt;&lt;/keywords&gt;&lt;dates&gt;&lt;year&gt;2017&lt;/year&gt;&lt;pub-dates&gt;&lt;date&gt;Apr&lt;/date&gt;&lt;/pub-dates&gt;&lt;/dates&gt;&lt;isbn&gt;2352-3530 (Electronic)&amp;#xD;2352-3522 (Linking)&lt;/isbn&gt;&lt;accession-num&gt;30148198&lt;/accession-num&gt;&lt;urls&gt;&lt;related-urls&gt;&lt;url&gt;https://www.ncbi.nlm.nih.gov/pubmed/30148198&lt;/url&gt;&lt;/related-urls&gt;&lt;/urls&gt;&lt;custom2&gt;PMC6104838&lt;/custom2&gt;&lt;electronic-resource-num&gt;10.1016/j.mran.2016.11.001&lt;/electronic-resource-num&gt;&lt;/record&gt;&lt;/Cite&gt;&lt;/EndNote&gt;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t>(Jahne, Schoen et al. 2017)</w: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 w:rsidR="004B78F0">
              <w:rPr>
                <w:rFonts w:ascii="Calibri" w:eastAsia="Times New Roman" w:hAnsi="Calibri" w:cs="Calibri"/>
                <w:color w:val="000000"/>
              </w:rPr>
              <w:t xml:space="preserve"> were used to fit a distribution to the </w:t>
            </w:r>
          </w:p>
          <w:p w14:paraId="047CD794" w14:textId="278DDA27" w:rsidR="00240CFC" w:rsidRPr="00240CFC" w:rsidRDefault="00240CFC" w:rsidP="007A3EB3">
            <w:pPr>
              <w:spacing w:after="0" w:line="240" w:lineRule="auto"/>
              <w:rPr>
                <w:rFonts w:ascii="Calibri" w:eastAsia="Times New Roman" w:hAnsi="Calibri" w:cs="Calibri"/>
                <w:color w:val="222426"/>
                <w:bdr w:val="none" w:sz="0" w:space="0" w:color="auto" w:frame="1"/>
              </w:rPr>
            </w:pPr>
            <m:oMathPara>
              <m:oMath>
                <m:r>
                  <w:rPr>
                    <w:rStyle w:val="mjxassistivemathml"/>
                    <w:rFonts w:ascii="Cambria Math" w:hAnsi="Cambria Math"/>
                    <w:color w:val="222426"/>
                    <w:bdr w:val="none" w:sz="0" w:space="0" w:color="auto" w:frame="1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426"/>
                        <w:bdr w:val="none" w:sz="0" w:space="0" w:color="auto" w:frame="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426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6.31×10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color w:val="222426"/>
                                <w:bdr w:val="none" w:sz="0" w:space="0" w:color="auto" w:frame="1"/>
                              </w:rPr>
                            </m:ctrlP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+ln⁡(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1.00×10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vertAlign w:val="superscript"/>
                          </w:rPr>
                          <m:t>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)</m:t>
                    </m:r>
                  </m:num>
                  <m:den>
                    <m: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2</m:t>
                    </m:r>
                  </m:den>
                </m:f>
              </m:oMath>
            </m:oMathPara>
          </w:p>
          <w:p w14:paraId="33A88DFC" w14:textId="30F5582E" w:rsidR="00240CFC" w:rsidRPr="004B78F0" w:rsidRDefault="00240CFC" w:rsidP="007A3EB3">
            <w:pPr>
              <w:spacing w:after="0" w:line="240" w:lineRule="auto"/>
              <w:rPr>
                <w:rFonts w:ascii="Calibri" w:eastAsia="Times New Roman" w:hAnsi="Calibri" w:cs="Calibri"/>
                <w:color w:val="222426"/>
                <w:bdr w:val="none" w:sz="0" w:space="0" w:color="auto" w:frame="1"/>
              </w:rPr>
            </w:pPr>
            <m:oMathPara>
              <m:oMath>
                <m:r>
                  <w:rPr>
                    <w:rStyle w:val="mjxassistivemathml"/>
                    <w:rFonts w:ascii="Cambria Math" w:hAnsi="Cambria Math"/>
                    <w:color w:val="222426"/>
                    <w:bdr w:val="none" w:sz="0" w:space="0" w:color="auto" w:frame="1"/>
                  </w:rPr>
                  <m:t>σ=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426"/>
                        <w:bdr w:val="none" w:sz="0" w:space="0" w:color="auto" w:frame="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426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6.31×10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color w:val="222426"/>
                                <w:bdr w:val="none" w:sz="0" w:space="0" w:color="auto" w:frame="1"/>
                              </w:rPr>
                            </m:ctrlP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+ln⁡(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1.00×10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vertAlign w:val="superscript"/>
                          </w:rPr>
                          <m:t>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)</m:t>
                    </m:r>
                  </m:num>
                  <m:den>
                    <m: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3.92</m:t>
                    </m:r>
                  </m:den>
                </m:f>
              </m:oMath>
            </m:oMathPara>
          </w:p>
          <w:p w14:paraId="05A0C6B5" w14:textId="77777777" w:rsidR="004B78F0" w:rsidRDefault="004B78F0" w:rsidP="007A3EB3">
            <w:pPr>
              <w:spacing w:after="0" w:line="240" w:lineRule="auto"/>
              <w:rPr>
                <w:rFonts w:ascii="Calibri" w:eastAsia="Times New Roman" w:hAnsi="Calibri" w:cs="Calibri"/>
                <w:color w:val="222426"/>
                <w:bdr w:val="none" w:sz="0" w:space="0" w:color="auto" w:frame="1"/>
              </w:rPr>
            </w:pPr>
          </w:p>
          <w:p w14:paraId="3C2E2C65" w14:textId="344706C8" w:rsidR="004B78F0" w:rsidRPr="00240CFC" w:rsidRDefault="0001566E" w:rsidP="004B78F0">
            <w:pPr>
              <w:spacing w:after="0" w:line="240" w:lineRule="auto"/>
              <w:rPr>
                <w:rFonts w:ascii="Calibri" w:eastAsia="Times New Roman" w:hAnsi="Calibri" w:cs="Calibri"/>
                <w:color w:val="222426"/>
                <w:bdr w:val="none" w:sz="0" w:space="0" w:color="auto" w:frame="1"/>
              </w:rPr>
            </w:pPr>
            <m:oMathPara>
              <m:oMath>
                <m:r>
                  <w:rPr>
                    <w:rStyle w:val="mjxassistivemathml"/>
                    <w:rFonts w:ascii="Cambria Math" w:hAnsi="Cambria Math"/>
                    <w:color w:val="222426"/>
                    <w:bdr w:val="none" w:sz="0" w:space="0" w:color="auto" w:frame="1"/>
                  </w:rPr>
                  <m:t>13.6</m:t>
                </m:r>
                <m:r>
                  <w:rPr>
                    <w:rStyle w:val="mjxassistivemathml"/>
                    <w:rFonts w:ascii="Cambria Math" w:hAnsi="Cambria Math"/>
                    <w:color w:val="222426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426"/>
                        <w:bdr w:val="none" w:sz="0" w:space="0" w:color="auto" w:frame="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426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percentile</m:t>
                            </m:r>
                            <m:ctrlPr>
                              <w:rPr>
                                <w:rFonts w:ascii="Cambria Math" w:hAnsi="Cambria Math"/>
                                <w:color w:val="222426"/>
                                <w:bdr w:val="none" w:sz="0" w:space="0" w:color="auto" w:frame="1"/>
                              </w:rPr>
                            </m:ctrlP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+ln⁡(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percentile</m:t>
                    </m:r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)</m:t>
                    </m:r>
                  </m:num>
                  <m:den>
                    <m: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2</m:t>
                    </m:r>
                  </m:den>
                </m:f>
              </m:oMath>
            </m:oMathPara>
          </w:p>
          <w:p w14:paraId="43163C4C" w14:textId="2B234FD3" w:rsidR="004B78F0" w:rsidRPr="00203B47" w:rsidRDefault="0001566E" w:rsidP="007A3EB3">
            <w:pPr>
              <w:spacing w:after="0" w:line="240" w:lineRule="auto"/>
              <w:rPr>
                <w:rFonts w:ascii="Calibri" w:eastAsia="Times New Roman" w:hAnsi="Calibri" w:cs="Calibri"/>
                <w:color w:val="222426"/>
                <w:bdr w:val="none" w:sz="0" w:space="0" w:color="auto" w:frame="1"/>
              </w:rPr>
            </w:pPr>
            <m:oMathPara>
              <m:oMath>
                <m:r>
                  <w:rPr>
                    <w:rStyle w:val="mjxassistivemathml"/>
                    <w:rFonts w:ascii="Cambria Math" w:hAnsi="Cambria Math"/>
                    <w:color w:val="222426"/>
                    <w:bdr w:val="none" w:sz="0" w:space="0" w:color="auto" w:frame="1"/>
                  </w:rPr>
                  <m:t>6.93</m:t>
                </m:r>
                <m:r>
                  <w:rPr>
                    <w:rStyle w:val="mjxassistivemathml"/>
                    <w:rFonts w:ascii="Cambria Math" w:hAnsi="Cambria Math"/>
                    <w:color w:val="222426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426"/>
                        <w:bdr w:val="none" w:sz="0" w:space="0" w:color="auto" w:frame="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Cambria Math"/>
                            <w:color w:val="222426"/>
                            <w:bdr w:val="none" w:sz="0" w:space="0" w:color="auto" w:frame="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426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percentile</m:t>
                            </m:r>
                            <m:ctrlPr>
                              <w:rPr>
                                <w:rFonts w:ascii="Cambria Math" w:hAnsi="Cambria Math"/>
                                <w:color w:val="222426"/>
                                <w:bdr w:val="none" w:sz="0" w:space="0" w:color="auto" w:frame="1"/>
                              </w:rPr>
                            </m:ctrlP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+ln⁡(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percentile</m:t>
                    </m:r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)</m:t>
                    </m:r>
                  </m:num>
                  <m:den>
                    <m:r>
                      <w:rPr>
                        <w:rStyle w:val="mjxassistivemathml"/>
                        <w:rFonts w:ascii="Cambria Math" w:hAnsi="Cambria Math"/>
                        <w:color w:val="222426"/>
                        <w:bdr w:val="none" w:sz="0" w:space="0" w:color="auto" w:frame="1"/>
                      </w:rPr>
                      <m:t>3.92</m:t>
                    </m:r>
                  </m:den>
                </m:f>
              </m:oMath>
            </m:oMathPara>
          </w:p>
        </w:tc>
      </w:tr>
      <w:tr w:rsidR="0009095B" w:rsidRPr="00F048B1" w14:paraId="076988BD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BB402" w14:textId="1C7F6180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MLE-NM fit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D70CC" w14:textId="1BB18F3E" w:rsidR="007A3EB3" w:rsidRDefault="00203B47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next step was to convert from a distribution </w:t>
            </w:r>
            <w:r w:rsidR="003F7C1A">
              <w:rPr>
                <w:rFonts w:ascii="Calibri" w:eastAsia="Times New Roman" w:hAnsi="Calibri" w:cs="Calibri"/>
                <w:color w:val="000000"/>
              </w:rPr>
              <w:t xml:space="preserve">for values with no non-to detects to include </w:t>
            </w:r>
            <w:proofErr w:type="spellStart"/>
            <w:r w:rsidR="003F7C1A">
              <w:rPr>
                <w:rFonts w:ascii="Calibri" w:eastAsia="Times New Roman" w:hAnsi="Calibri" w:cs="Calibri"/>
                <w:color w:val="000000"/>
              </w:rPr>
              <w:t>non detects</w:t>
            </w:r>
            <w:proofErr w:type="spellEnd"/>
            <w:r w:rsidR="003F7C1A">
              <w:rPr>
                <w:rFonts w:ascii="Calibri" w:eastAsia="Times New Roman" w:hAnsi="Calibri" w:cs="Calibri"/>
                <w:color w:val="000000"/>
              </w:rPr>
              <w:t xml:space="preserve">.  This is done by generating numbers above </w:t>
            </w:r>
            <w:proofErr w:type="gramStart"/>
            <w:r w:rsidR="003F7C1A">
              <w:rPr>
                <w:rFonts w:ascii="Calibri" w:eastAsia="Times New Roman" w:hAnsi="Calibri" w:cs="Calibri"/>
                <w:color w:val="000000"/>
              </w:rPr>
              <w:t>the  Limit</w:t>
            </w:r>
            <w:proofErr w:type="gramEnd"/>
            <w:r w:rsidR="003F7C1A">
              <w:rPr>
                <w:rFonts w:ascii="Calibri" w:eastAsia="Times New Roman" w:hAnsi="Calibri" w:cs="Calibri"/>
                <w:color w:val="000000"/>
              </w:rPr>
              <w:t xml:space="preserve"> of Detection (15 positive samples) and values below the LOD (58).  These values were generated using the </w:t>
            </w:r>
            <w:proofErr w:type="spellStart"/>
            <w:r w:rsidR="003F7C1A">
              <w:rPr>
                <w:rFonts w:ascii="Calibri" w:eastAsia="Times New Roman" w:hAnsi="Calibri" w:cs="Calibri"/>
                <w:color w:val="000000"/>
              </w:rPr>
              <w:t>rtrunc</w:t>
            </w:r>
            <w:proofErr w:type="spellEnd"/>
            <w:r w:rsidR="003F7C1A">
              <w:rPr>
                <w:rFonts w:ascii="Calibri" w:eastAsia="Times New Roman" w:hAnsi="Calibri" w:cs="Calibri"/>
                <w:color w:val="000000"/>
              </w:rPr>
              <w:t xml:space="preserve"> command</w:t>
            </w:r>
            <w:r w:rsidR="00184A25">
              <w:rPr>
                <w:rFonts w:ascii="Calibri" w:eastAsia="Times New Roman" w:hAnsi="Calibri" w:cs="Calibri"/>
                <w:color w:val="000000"/>
              </w:rPr>
              <w:t xml:space="preserve"> from the mc2d package in R</w:t>
            </w:r>
            <w:r w:rsidR="003F7C1A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5D0F6B3" w14:textId="1B7C73CE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Values below LOD</w:t>
            </w:r>
          </w:p>
          <w:p w14:paraId="34B63591" w14:textId="2BD86EBC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84A25">
              <w:rPr>
                <w:rFonts w:ascii="Calibri" w:eastAsia="Times New Roman" w:hAnsi="Calibri" w:cs="Calibri"/>
                <w:color w:val="000000"/>
              </w:rPr>
              <w:t>rtrunc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84A25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", n=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LoDPrevBelow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, mean =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Impmean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ImpSD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lsup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LOD)</w:t>
            </w:r>
          </w:p>
          <w:p w14:paraId="291CE2A9" w14:textId="7D60D8F7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84A25">
              <w:rPr>
                <w:rFonts w:ascii="Calibri" w:eastAsia="Times New Roman" w:hAnsi="Calibri" w:cs="Calibri"/>
                <w:color w:val="000000"/>
              </w:rPr>
              <w:lastRenderedPageBreak/>
              <w:t>rtrunc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84A25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", n=</w:t>
            </w:r>
            <w:r>
              <w:rPr>
                <w:rFonts w:ascii="Calibri" w:eastAsia="Times New Roman" w:hAnsi="Calibri" w:cs="Calibri"/>
                <w:color w:val="000000"/>
              </w:rPr>
              <w:t>58</w:t>
            </w:r>
            <w:r w:rsidRPr="00184A25">
              <w:rPr>
                <w:rFonts w:ascii="Calibri" w:eastAsia="Times New Roman" w:hAnsi="Calibri" w:cs="Calibri"/>
                <w:color w:val="000000"/>
              </w:rPr>
              <w:t xml:space="preserve">, mean = </w:t>
            </w:r>
            <w:r>
              <w:rPr>
                <w:rFonts w:ascii="Calibri" w:eastAsia="Times New Roman" w:hAnsi="Calibri" w:cs="Calibri"/>
                <w:color w:val="000000"/>
              </w:rPr>
              <w:t>13.6</w:t>
            </w:r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</w:rPr>
              <w:t>6.93</w:t>
            </w:r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lsup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</w:rPr>
              <w:t>1000</w:t>
            </w:r>
            <w:r w:rsidRPr="00184A25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78BAEAC2" w14:textId="55F3734C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Values above LOD</w:t>
            </w:r>
          </w:p>
          <w:p w14:paraId="677772A8" w14:textId="77777777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84A25">
              <w:rPr>
                <w:rFonts w:ascii="Calibri" w:eastAsia="Times New Roman" w:hAnsi="Calibri" w:cs="Calibri"/>
                <w:color w:val="000000"/>
              </w:rPr>
              <w:t>rtrunc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84A25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", n=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LoDPrev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, mean =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Impmean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ImpSD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LOD)</w:t>
            </w:r>
          </w:p>
          <w:p w14:paraId="6C7679B6" w14:textId="77777777" w:rsidR="00184A25" w:rsidRDefault="00184A25" w:rsidP="00184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84A25">
              <w:rPr>
                <w:rFonts w:ascii="Calibri" w:eastAsia="Times New Roman" w:hAnsi="Calibri" w:cs="Calibri"/>
                <w:color w:val="000000"/>
              </w:rPr>
              <w:t>rtrunc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84A25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", n=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Pr="00184A25">
              <w:rPr>
                <w:rFonts w:ascii="Calibri" w:eastAsia="Times New Roman" w:hAnsi="Calibri" w:cs="Calibri"/>
                <w:color w:val="000000"/>
              </w:rPr>
              <w:t xml:space="preserve">, mean = </w:t>
            </w:r>
            <w:r>
              <w:rPr>
                <w:rFonts w:ascii="Calibri" w:eastAsia="Times New Roman" w:hAnsi="Calibri" w:cs="Calibri"/>
                <w:color w:val="000000"/>
              </w:rPr>
              <w:t>13.6</w:t>
            </w:r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</w:rPr>
              <w:t>6.93</w:t>
            </w:r>
            <w:r w:rsidRPr="00184A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</w:rPr>
              <w:t>1000</w:t>
            </w:r>
            <w:r w:rsidRPr="00184A25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1287B01F" w14:textId="77777777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0692505" w14:textId="1E791DAC" w:rsidR="00184A25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values above and below the LOD were combined to create a single data set. 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fitdist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function from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fitdistrplus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 package was used to fit a distribution to the data set that included values below LOD.  This w</w:t>
            </w:r>
            <w:r w:rsidRPr="00833FFD">
              <w:rPr>
                <w:rFonts w:eastAsia="Times New Roman" w:cstheme="minorHAnsi"/>
                <w:color w:val="000000"/>
              </w:rPr>
              <w:t>ould generate new µ and σ</w:t>
            </w:r>
            <w:r w:rsidRPr="00833F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33FFD">
              <w:rPr>
                <w:rFonts w:ascii="Calibri" w:eastAsia="Times New Roman" w:hAnsi="Calibri" w:cs="Calibri"/>
                <w:color w:val="000000"/>
              </w:rPr>
              <w:t xml:space="preserve">for the complete dataset.  The </w:t>
            </w:r>
            <w:proofErr w:type="spellStart"/>
            <w:r w:rsidR="00833FFD">
              <w:rPr>
                <w:rFonts w:ascii="Calibri" w:eastAsia="Times New Roman" w:hAnsi="Calibri" w:cs="Calibri"/>
                <w:color w:val="000000"/>
              </w:rPr>
              <w:t>fitdist</w:t>
            </w:r>
            <w:proofErr w:type="spellEnd"/>
            <w:r w:rsidR="00833FFD">
              <w:rPr>
                <w:rFonts w:ascii="Calibri" w:eastAsia="Times New Roman" w:hAnsi="Calibri" w:cs="Calibri"/>
                <w:color w:val="000000"/>
              </w:rPr>
              <w:t xml:space="preserve"> function uses maximum likelihood estimation with the </w:t>
            </w:r>
            <w:proofErr w:type="spellStart"/>
            <w:r w:rsidR="00833FFD">
              <w:rPr>
                <w:rFonts w:ascii="Calibri" w:eastAsia="Times New Roman" w:hAnsi="Calibri" w:cs="Calibri"/>
                <w:color w:val="000000"/>
              </w:rPr>
              <w:t>Nelder</w:t>
            </w:r>
            <w:proofErr w:type="spellEnd"/>
            <w:r w:rsidR="00833FFD">
              <w:rPr>
                <w:rFonts w:ascii="Calibri" w:eastAsia="Times New Roman" w:hAnsi="Calibri" w:cs="Calibri"/>
                <w:color w:val="000000"/>
              </w:rPr>
              <w:t>-Mead method to fit a distribution.</w:t>
            </w:r>
          </w:p>
          <w:p w14:paraId="6D059B32" w14:textId="5F160E89" w:rsidR="00184A25" w:rsidRPr="00F048B1" w:rsidRDefault="00184A25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84A25">
              <w:rPr>
                <w:rFonts w:ascii="Calibri" w:eastAsia="Times New Roman" w:hAnsi="Calibri" w:cs="Calibri"/>
                <w:color w:val="000000"/>
              </w:rPr>
              <w:t>fitdist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84A25">
              <w:rPr>
                <w:rFonts w:ascii="Calibri" w:eastAsia="Times New Roman" w:hAnsi="Calibri" w:cs="Calibri"/>
                <w:color w:val="000000"/>
              </w:rPr>
              <w:t>e, "</w:t>
            </w:r>
            <w:proofErr w:type="spellStart"/>
            <w:r w:rsidRPr="00184A25">
              <w:rPr>
                <w:rFonts w:ascii="Calibri" w:eastAsia="Times New Roman" w:hAnsi="Calibri" w:cs="Calibri"/>
                <w:color w:val="000000"/>
              </w:rPr>
              <w:t>lnorm</w:t>
            </w:r>
            <w:proofErr w:type="spellEnd"/>
            <w:r w:rsidRPr="00184A25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09095B" w:rsidRPr="00F048B1" w14:paraId="677E9F3A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AF6704" w14:textId="38D8D134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Sensitivity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6CB92" w14:textId="67D3076B" w:rsidR="007A3EB3" w:rsidRDefault="00833FFD" w:rsidP="007A3E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determine the sensitivity of this method 10000 of the complete datasets were generated and 10000 </w:t>
            </w:r>
            <w:r w:rsidRPr="00833FFD">
              <w:rPr>
                <w:rFonts w:eastAsia="Times New Roman" w:cstheme="minorHAnsi"/>
                <w:color w:val="000000"/>
              </w:rPr>
              <w:t>µ and σ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  <w:p w14:paraId="6C2E1023" w14:textId="30C82A78" w:rsidR="00833FFD" w:rsidRPr="00833FFD" w:rsidRDefault="00833FFD" w:rsidP="0083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FFD">
              <w:rPr>
                <w:rFonts w:ascii="Calibri" w:eastAsia="Times New Roman" w:hAnsi="Calibri" w:cs="Calibri"/>
                <w:color w:val="000000"/>
              </w:rPr>
              <w:t>for (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 in 1:10000) {</w:t>
            </w:r>
          </w:p>
          <w:p w14:paraId="3E2E04E1" w14:textId="73B22824" w:rsidR="00833FFD" w:rsidRPr="00833FFD" w:rsidRDefault="00833FFD" w:rsidP="0083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FFD">
              <w:rPr>
                <w:rFonts w:ascii="Calibri" w:eastAsia="Times New Roman" w:hAnsi="Calibri" w:cs="Calibri"/>
                <w:color w:val="000000"/>
              </w:rPr>
              <w:t xml:space="preserve">c &lt;- </w:t>
            </w:r>
            <w:proofErr w:type="spellStart"/>
            <w:proofErr w:type="gramStart"/>
            <w:r w:rsidRPr="00833FFD">
              <w:rPr>
                <w:rFonts w:ascii="Calibri" w:eastAsia="Times New Roman" w:hAnsi="Calibri" w:cs="Calibri"/>
                <w:color w:val="000000"/>
              </w:rPr>
              <w:t>rtrunc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33FFD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>", n=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LoDPrevBelow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, mean =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Impmean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ImpSD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lsup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 = LOD) </w:t>
            </w:r>
          </w:p>
          <w:p w14:paraId="067DF074" w14:textId="58A7D62C" w:rsidR="00833FFD" w:rsidRPr="00833FFD" w:rsidRDefault="00833FFD" w:rsidP="0083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FFD">
              <w:rPr>
                <w:rFonts w:ascii="Calibri" w:eastAsia="Times New Roman" w:hAnsi="Calibri" w:cs="Calibri"/>
                <w:color w:val="000000"/>
              </w:rPr>
              <w:t xml:space="preserve">d &lt;- </w:t>
            </w:r>
            <w:proofErr w:type="gramStart"/>
            <w:r w:rsidRPr="00833FFD">
              <w:rPr>
                <w:rFonts w:ascii="Calibri" w:eastAsia="Times New Roman" w:hAnsi="Calibri" w:cs="Calibri"/>
                <w:color w:val="000000"/>
              </w:rPr>
              <w:t>rtr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unc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33FFD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>", n=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LoDPrev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, mean =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Impmean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ImpSD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 xml:space="preserve"> = LOD)                                                  </w:t>
            </w:r>
          </w:p>
          <w:p w14:paraId="287E34E9" w14:textId="2E39E279" w:rsidR="00833FFD" w:rsidRPr="00833FFD" w:rsidRDefault="00833FFD" w:rsidP="0083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FFD">
              <w:rPr>
                <w:rFonts w:ascii="Calibri" w:eastAsia="Times New Roman" w:hAnsi="Calibri" w:cs="Calibri"/>
                <w:color w:val="000000"/>
              </w:rPr>
              <w:t>e &lt;- c(</w:t>
            </w:r>
            <w:proofErr w:type="spellStart"/>
            <w:proofErr w:type="gramStart"/>
            <w:r w:rsidRPr="00833FFD">
              <w:rPr>
                <w:rFonts w:ascii="Calibri" w:eastAsia="Times New Roman" w:hAnsi="Calibri" w:cs="Calibri"/>
                <w:color w:val="000000"/>
              </w:rPr>
              <w:t>c,d</w:t>
            </w:r>
            <w:proofErr w:type="spellEnd"/>
            <w:proofErr w:type="gramEnd"/>
            <w:r w:rsidRPr="00833FFD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39AF5DDB" w14:textId="04B62276" w:rsidR="00833FFD" w:rsidRDefault="00833FFD" w:rsidP="0083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FFD">
              <w:rPr>
                <w:rFonts w:ascii="Calibri" w:eastAsia="Times New Roman" w:hAnsi="Calibri" w:cs="Calibri"/>
                <w:color w:val="000000"/>
              </w:rPr>
              <w:t xml:space="preserve"> f &lt;- </w:t>
            </w:r>
            <w:proofErr w:type="spellStart"/>
            <w:proofErr w:type="gramStart"/>
            <w:r w:rsidRPr="00833FFD">
              <w:rPr>
                <w:rFonts w:ascii="Calibri" w:eastAsia="Times New Roman" w:hAnsi="Calibri" w:cs="Calibri"/>
                <w:color w:val="000000"/>
              </w:rPr>
              <w:t>fitdist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33FFD">
              <w:rPr>
                <w:rFonts w:ascii="Calibri" w:eastAsia="Times New Roman" w:hAnsi="Calibri" w:cs="Calibri"/>
                <w:color w:val="000000"/>
              </w:rPr>
              <w:t>e, "</w:t>
            </w:r>
            <w:proofErr w:type="spellStart"/>
            <w:r w:rsidRPr="00833FFD">
              <w:rPr>
                <w:rFonts w:ascii="Calibri" w:eastAsia="Times New Roman" w:hAnsi="Calibri" w:cs="Calibri"/>
                <w:color w:val="000000"/>
              </w:rPr>
              <w:t>lnorm</w:t>
            </w:r>
            <w:proofErr w:type="spellEnd"/>
            <w:r w:rsidRPr="00833FFD">
              <w:rPr>
                <w:rFonts w:ascii="Calibri" w:eastAsia="Times New Roman" w:hAnsi="Calibri" w:cs="Calibri"/>
                <w:color w:val="000000"/>
              </w:rPr>
              <w:t>")</w:t>
            </w:r>
          </w:p>
          <w:p w14:paraId="4D5B8DC5" w14:textId="77777777" w:rsidR="00833FFD" w:rsidRDefault="00833FFD" w:rsidP="00833F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Ten thousand datasets were generated to account for the randomness in the way that data sets were generated.  The average </w:t>
            </w:r>
            <w:r w:rsidRPr="00833FFD">
              <w:rPr>
                <w:rFonts w:eastAsia="Times New Roman" w:cstheme="minorHAnsi"/>
                <w:color w:val="000000"/>
              </w:rPr>
              <w:t>µ and σ</w:t>
            </w:r>
            <w:r>
              <w:rPr>
                <w:rFonts w:eastAsia="Times New Roman" w:cstheme="minorHAnsi"/>
                <w:color w:val="000000"/>
              </w:rPr>
              <w:t xml:space="preserve"> for the 10000 datasets was considered the </w:t>
            </w:r>
            <w:r w:rsidRPr="00833FFD">
              <w:rPr>
                <w:rFonts w:eastAsia="Times New Roman" w:cstheme="minorHAnsi"/>
                <w:color w:val="000000"/>
              </w:rPr>
              <w:t>µ and σ</w:t>
            </w:r>
            <w:r>
              <w:rPr>
                <w:rFonts w:eastAsia="Times New Roman" w:cstheme="minorHAnsi"/>
                <w:color w:val="000000"/>
              </w:rPr>
              <w:t xml:space="preserve"> for the whole dataset.</w:t>
            </w:r>
          </w:p>
          <w:p w14:paraId="420FF2AC" w14:textId="2D84E40C" w:rsidR="00517077" w:rsidRPr="00517077" w:rsidRDefault="00517077" w:rsidP="00833F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The distribution parameters for the example study were </w:t>
            </w:r>
            <w:r w:rsidRPr="00833FFD">
              <w:rPr>
                <w:rFonts w:eastAsia="Times New Roman" w:cstheme="minorHAnsi"/>
                <w:color w:val="000000"/>
              </w:rPr>
              <w:t xml:space="preserve">µ </w:t>
            </w:r>
            <w:r>
              <w:rPr>
                <w:rFonts w:eastAsia="Times New Roman" w:cstheme="minorHAnsi"/>
                <w:color w:val="000000"/>
              </w:rPr>
              <w:t xml:space="preserve">=5.55 </w:t>
            </w:r>
            <w:proofErr w:type="spellStart"/>
            <w:r w:rsidRPr="00833FFD">
              <w:rPr>
                <w:rFonts w:eastAsia="Times New Roman" w:cstheme="minorHAnsi"/>
                <w:color w:val="000000"/>
              </w:rPr>
              <w:t>nd</w:t>
            </w:r>
            <w:proofErr w:type="spellEnd"/>
            <w:r w:rsidRPr="00833FFD">
              <w:rPr>
                <w:rFonts w:eastAsia="Times New Roman" w:cstheme="minorHAnsi"/>
                <w:color w:val="000000"/>
              </w:rPr>
              <w:t xml:space="preserve"> σ</w:t>
            </w:r>
            <w:r>
              <w:rPr>
                <w:rFonts w:eastAsia="Times New Roman" w:cstheme="minorHAnsi"/>
                <w:color w:val="000000"/>
              </w:rPr>
              <w:t xml:space="preserve"> = 4.06</w:t>
            </w:r>
          </w:p>
        </w:tc>
      </w:tr>
      <w:tr w:rsidR="0009095B" w:rsidRPr="00F048B1" w14:paraId="5CB2B449" w14:textId="77777777" w:rsidTr="00544B43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AF5EEA" w14:textId="105DDACD" w:rsidR="007A3EB3" w:rsidRPr="00F048B1" w:rsidRDefault="007A3EB3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Synthesis</w:t>
            </w:r>
          </w:p>
        </w:tc>
        <w:tc>
          <w:tcPr>
            <w:tcW w:w="76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EEBD" w14:textId="77777777" w:rsidR="007A3EB3" w:rsidRDefault="00517077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synthesize data from multiple studies the studies were weighed based on there GRADE.  Frick et al. 2018 had a GRADE of Moderate so had a weight of 100.  There were 11 other datasets from 5 reports that had data on E. coli </w:t>
            </w:r>
            <w:r w:rsidR="00F153DF">
              <w:rPr>
                <w:rFonts w:ascii="Calibri" w:eastAsia="Times New Roman" w:hAnsi="Calibri" w:cs="Calibri"/>
                <w:color w:val="000000"/>
              </w:rPr>
              <w:t>from birds.</w:t>
            </w:r>
          </w:p>
          <w:p w14:paraId="2DBF43DF" w14:textId="3C5B532D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Weight of Frick et al. 2018 =100</w:t>
            </w:r>
          </w:p>
          <w:p w14:paraId="7D69B59F" w14:textId="35A32FD8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Weight of other datasets = 10 + 100 + 4 × 100 + 5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× 100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+ 1000 = 2010</w:t>
            </w:r>
          </w:p>
          <w:p w14:paraId="506F37FA" w14:textId="0DEEA01C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weight = 2110</w:t>
            </w:r>
          </w:p>
          <w:p w14:paraId="16810859" w14:textId="6F29FE51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0E6E46" w14:textId="1F928007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10000 point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data set was created by randomly generating a portion of the 10000 points from the distributions of each data set.</w:t>
            </w:r>
          </w:p>
          <w:p w14:paraId="65667D0F" w14:textId="40A526FA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Frick et al. 2018</w:t>
            </w:r>
          </w:p>
          <w:p w14:paraId="1AD509C2" w14:textId="3FA01B7B" w:rsidR="00F153DF" w:rsidRDefault="00F153DF" w:rsidP="007A3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 xml:space="preserve">100 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W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eight of Frick 2018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2110 Total Weight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</w:rPr>
                  <m:t>10000 points= 474 points</m:t>
                </m:r>
              </m:oMath>
            </m:oMathPara>
          </w:p>
          <w:p w14:paraId="26FDCCCA" w14:textId="37011516" w:rsidR="00C913AC" w:rsidRP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EnumAniSubset$WValues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 &lt;-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EnumAniSubset$Weight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EnumSum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>*10000</w:t>
            </w:r>
          </w:p>
          <w:p w14:paraId="7E471B03" w14:textId="77777777" w:rsidR="00F153DF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EnumAniSubset$WValues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 &lt;- </w:t>
            </w:r>
            <w:proofErr w:type="gramStart"/>
            <w:r w:rsidRPr="00C913AC">
              <w:rPr>
                <w:rFonts w:ascii="Calibri" w:eastAsia="Times New Roman" w:hAnsi="Calibri" w:cs="Calibri"/>
                <w:color w:val="000000"/>
              </w:rPr>
              <w:t>round(</w:t>
            </w:r>
            <w:proofErr w:type="spellStart"/>
            <w:proofErr w:type="gramEnd"/>
            <w:r w:rsidRPr="00C913AC">
              <w:rPr>
                <w:rFonts w:ascii="Calibri" w:eastAsia="Times New Roman" w:hAnsi="Calibri" w:cs="Calibri"/>
                <w:color w:val="000000"/>
              </w:rPr>
              <w:t>EnumAniSubset$WValues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>, digits=0)</w:t>
            </w:r>
          </w:p>
          <w:p w14:paraId="35E75EFB" w14:textId="77777777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BD7467C" w14:textId="015C1F8D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randomly generate the points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function from base R was used.</w:t>
            </w:r>
          </w:p>
          <w:p w14:paraId="1AAD97E1" w14:textId="77777777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913AC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C913AC">
              <w:rPr>
                <w:rFonts w:ascii="Calibri" w:eastAsia="Times New Roman" w:hAnsi="Calibri" w:cs="Calibri"/>
                <w:color w:val="000000"/>
              </w:rPr>
              <w:t>EnumRandn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meanlog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EnumRandmean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sdlog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EnumRandsd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67A3C9CA" w14:textId="77777777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913AC">
              <w:rPr>
                <w:rFonts w:ascii="Calibri" w:eastAsia="Times New Roman" w:hAnsi="Calibri" w:cs="Calibri"/>
                <w:color w:val="000000"/>
              </w:rPr>
              <w:t>rlnorm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474</w:t>
            </w:r>
            <w:r w:rsidRPr="00C913A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eastAsia="Times New Roman" w:cstheme="minorHAnsi"/>
                <w:color w:val="000000"/>
              </w:rPr>
              <w:t>5.55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C913AC"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EnumRandmean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913AC">
              <w:rPr>
                <w:rFonts w:ascii="Calibri" w:eastAsia="Times New Roman" w:hAnsi="Calibri" w:cs="Calibri"/>
                <w:color w:val="000000"/>
              </w:rPr>
              <w:t>sdlog</w:t>
            </w:r>
            <w:proofErr w:type="spellEnd"/>
            <w:r w:rsidRPr="00C913AC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>4.06</w:t>
            </w:r>
            <w:r w:rsidRPr="00C913AC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25374F46" w14:textId="77777777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530EDD4" w14:textId="77777777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 distribution was then fit to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10000 point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synthesized dataset using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fitdist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function from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fitdistrplus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 package use the same method as in the MLE-NM fit section.</w:t>
            </w:r>
          </w:p>
          <w:p w14:paraId="2D517438" w14:textId="77777777" w:rsidR="00C913AC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5D937F7" w14:textId="2A93AD32" w:rsidR="00C913AC" w:rsidRPr="00F048B1" w:rsidRDefault="00C913AC" w:rsidP="00C9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process was repeated 10000 times and the </w:t>
            </w:r>
            <w:r w:rsidR="00611060">
              <w:rPr>
                <w:rFonts w:ascii="Calibri" w:eastAsia="Times New Roman" w:hAnsi="Calibri" w:cs="Calibri"/>
                <w:color w:val="000000"/>
              </w:rPr>
              <w:t xml:space="preserve">average </w:t>
            </w:r>
            <w:r w:rsidR="00611060" w:rsidRPr="00833FFD">
              <w:rPr>
                <w:rFonts w:eastAsia="Times New Roman" w:cstheme="minorHAnsi"/>
                <w:color w:val="000000"/>
              </w:rPr>
              <w:t>µ and σ</w:t>
            </w:r>
            <w:r w:rsidR="00611060">
              <w:rPr>
                <w:rFonts w:eastAsia="Times New Roman" w:cstheme="minorHAnsi"/>
                <w:color w:val="000000"/>
              </w:rPr>
              <w:t xml:space="preserve"> from the synthesized datasets was calculated (</w:t>
            </w:r>
            <w:r w:rsidR="00611060" w:rsidRPr="00833FFD">
              <w:rPr>
                <w:rFonts w:eastAsia="Times New Roman" w:cstheme="minorHAnsi"/>
                <w:color w:val="000000"/>
              </w:rPr>
              <w:t>µ</w:t>
            </w:r>
            <w:r w:rsidR="00611060">
              <w:rPr>
                <w:rFonts w:eastAsia="Times New Roman" w:cstheme="minorHAnsi"/>
                <w:color w:val="000000"/>
              </w:rPr>
              <w:t xml:space="preserve"> = 9.19</w:t>
            </w:r>
            <w:r w:rsidR="00611060" w:rsidRPr="00833FFD">
              <w:rPr>
                <w:rFonts w:eastAsia="Times New Roman" w:cstheme="minorHAnsi"/>
                <w:color w:val="000000"/>
              </w:rPr>
              <w:t xml:space="preserve"> and σ</w:t>
            </w:r>
            <w:r w:rsidR="00611060">
              <w:rPr>
                <w:rFonts w:eastAsia="Times New Roman" w:cstheme="minorHAnsi"/>
                <w:color w:val="000000"/>
              </w:rPr>
              <w:t xml:space="preserve"> = 7.04).</w:t>
            </w:r>
          </w:p>
        </w:tc>
      </w:tr>
    </w:tbl>
    <w:p w14:paraId="4643F330" w14:textId="77777777" w:rsidR="003A2178" w:rsidRDefault="003A2178" w:rsidP="00BC7B18"/>
    <w:p w14:paraId="0CEAA92B" w14:textId="77777777" w:rsidR="003A2178" w:rsidRDefault="003A2178" w:rsidP="00BC7B18"/>
    <w:p w14:paraId="2D76FE71" w14:textId="77777777" w:rsidR="004B78F0" w:rsidRPr="004B78F0" w:rsidRDefault="003A2178" w:rsidP="004B78F0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B78F0" w:rsidRPr="004B78F0">
        <w:t xml:space="preserve">Jahne, M. A., M. E. Schoen, J. L. Garland and N. J. Ashbolt (2017). "Simulation of enteric pathogen concentrations in locally-collected greywater and wastewater for microbial risk assessments." </w:t>
      </w:r>
      <w:r w:rsidR="004B78F0" w:rsidRPr="004B78F0">
        <w:rPr>
          <w:u w:val="single"/>
        </w:rPr>
        <w:t>Microb Risk Anal</w:t>
      </w:r>
      <w:r w:rsidR="004B78F0" w:rsidRPr="004B78F0">
        <w:t xml:space="preserve"> </w:t>
      </w:r>
      <w:r w:rsidR="004B78F0" w:rsidRPr="004B78F0">
        <w:rPr>
          <w:b/>
        </w:rPr>
        <w:t>5</w:t>
      </w:r>
      <w:r w:rsidR="004B78F0" w:rsidRPr="004B78F0">
        <w:t>: 44-52.</w:t>
      </w:r>
    </w:p>
    <w:p w14:paraId="5F91CE42" w14:textId="2989FB36" w:rsidR="00BC7B18" w:rsidRPr="00BC7B18" w:rsidRDefault="003A2178" w:rsidP="00BC7B18">
      <w:r>
        <w:fldChar w:fldCharType="end"/>
      </w:r>
    </w:p>
    <w:sectPr w:rsidR="00BC7B18" w:rsidRPr="00BC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dwedssawzedr4eaxacxtazkvzw5d22fseef&quot;&gt;David Demaree EndNote Library&lt;record-ids&gt;&lt;item&gt;73&lt;/item&gt;&lt;/record-ids&gt;&lt;/item&gt;&lt;/Libraries&gt;"/>
  </w:docVars>
  <w:rsids>
    <w:rsidRoot w:val="00BC7B18"/>
    <w:rsid w:val="0001566E"/>
    <w:rsid w:val="0009095B"/>
    <w:rsid w:val="00184A25"/>
    <w:rsid w:val="001C51CD"/>
    <w:rsid w:val="00203B47"/>
    <w:rsid w:val="00240CFC"/>
    <w:rsid w:val="00250EE3"/>
    <w:rsid w:val="0025684A"/>
    <w:rsid w:val="003A2178"/>
    <w:rsid w:val="003F7150"/>
    <w:rsid w:val="003F7C1A"/>
    <w:rsid w:val="004B78F0"/>
    <w:rsid w:val="00517077"/>
    <w:rsid w:val="00544B43"/>
    <w:rsid w:val="00552DD4"/>
    <w:rsid w:val="00611060"/>
    <w:rsid w:val="007A3EB3"/>
    <w:rsid w:val="00833FFD"/>
    <w:rsid w:val="00990131"/>
    <w:rsid w:val="00BC7B18"/>
    <w:rsid w:val="00C913AC"/>
    <w:rsid w:val="00D5146B"/>
    <w:rsid w:val="00E35C8E"/>
    <w:rsid w:val="00E52B79"/>
    <w:rsid w:val="00F153DF"/>
    <w:rsid w:val="00F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46F2"/>
  <w15:chartTrackingRefBased/>
  <w15:docId w15:val="{4D8DF6F3-9D29-454C-AC5F-30309A60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2title">
    <w:name w:val="MDPI_1.2_title"/>
    <w:next w:val="Normal"/>
    <w:qFormat/>
    <w:rsid w:val="00BC7B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21heading1">
    <w:name w:val="MDPI_2.1_heading1"/>
    <w:qFormat/>
    <w:rsid w:val="00BC7B18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link w:val="MDPI31textChar"/>
    <w:qFormat/>
    <w:rsid w:val="00BC7B18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MDPI31textChar">
    <w:name w:val="MDPI_3.1_text Char"/>
    <w:basedOn w:val="DefaultParagraphFont"/>
    <w:link w:val="MDPI31text"/>
    <w:rsid w:val="00BC7B18"/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EndNoteBibliographyTitle">
    <w:name w:val="EndNote Bibliography Title"/>
    <w:basedOn w:val="Normal"/>
    <w:link w:val="EndNoteBibliographyTitleChar"/>
    <w:rsid w:val="003A21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A21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A21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A2178"/>
    <w:rPr>
      <w:rFonts w:ascii="Calibri" w:hAnsi="Calibri" w:cs="Calibri"/>
      <w:noProof/>
    </w:rPr>
  </w:style>
  <w:style w:type="character" w:customStyle="1" w:styleId="mjxassistivemathml">
    <w:name w:val="mjx_assistive_mathml"/>
    <w:basedOn w:val="DefaultParagraphFont"/>
    <w:rsid w:val="00240CFC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84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4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Demaree, David</dc:creator>
  <cp:keywords/>
  <dc:description/>
  <cp:lastModifiedBy>Demaree, David</cp:lastModifiedBy>
  <cp:revision>4</cp:revision>
  <dcterms:created xsi:type="dcterms:W3CDTF">2023-10-12T20:35:00Z</dcterms:created>
  <dcterms:modified xsi:type="dcterms:W3CDTF">2023-10-17T20:47:00Z</dcterms:modified>
</cp:coreProperties>
</file>