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446EC" w14:textId="4E243C77" w:rsidR="000F221B" w:rsidRDefault="000F221B" w:rsidP="004B7E44"/>
    <w:p w14:paraId="5F306DBB" w14:textId="77777777" w:rsidR="003D7352" w:rsidRDefault="003D7352" w:rsidP="004B7E44"/>
    <w:p w14:paraId="0DFD8C00" w14:textId="512D9C5F" w:rsidR="000F221B" w:rsidRDefault="00F3166B" w:rsidP="004B7E44">
      <w:r w:rsidRPr="000F221B">
        <w:rPr>
          <w:noProof/>
          <w:lang w:bidi="en-GB"/>
        </w:rPr>
        <mc:AlternateContent>
          <mc:Choice Requires="wps">
            <w:drawing>
              <wp:anchor distT="0" distB="0" distL="114300" distR="114300" simplePos="0" relativeHeight="251659264" behindDoc="1" locked="0" layoutInCell="1" allowOverlap="1" wp14:anchorId="70343C02" wp14:editId="513611FD">
                <wp:simplePos x="0" y="0"/>
                <wp:positionH relativeFrom="column">
                  <wp:posOffset>-960120</wp:posOffset>
                </wp:positionH>
                <wp:positionV relativeFrom="page">
                  <wp:posOffset>1005840</wp:posOffset>
                </wp:positionV>
                <wp:extent cx="7780020" cy="7086600"/>
                <wp:effectExtent l="0" t="0" r="0" b="0"/>
                <wp:wrapNone/>
                <wp:docPr id="2" name="Rectangle 2" descr="coloured rectangle"/>
                <wp:cNvGraphicFramePr/>
                <a:graphic xmlns:a="http://schemas.openxmlformats.org/drawingml/2006/main">
                  <a:graphicData uri="http://schemas.microsoft.com/office/word/2010/wordprocessingShape">
                    <wps:wsp>
                      <wps:cNvSpPr/>
                      <wps:spPr>
                        <a:xfrm>
                          <a:off x="0" y="0"/>
                          <a:ext cx="7780020" cy="7086600"/>
                        </a:xfrm>
                        <a:prstGeom prst="rect">
                          <a:avLst/>
                        </a:prstGeom>
                        <a:solidFill>
                          <a:srgbClr val="0070C0">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FE516" id="Rectangle 2" o:spid="_x0000_s1026" alt="coloured rectangle" style="position:absolute;margin-left:-75.6pt;margin-top:79.2pt;width:612.6pt;height:55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" fillcolor="#0070c0" stroked="f" strokeweight="2pt">
                <v:fill opacity="58853f"/>
                <w10:wrap anchory="page"/>
              </v:rect>
            </w:pict>
          </mc:Fallback>
        </mc:AlternateContent>
      </w:r>
    </w:p>
    <w:p w14:paraId="742FB0CC" w14:textId="77777777" w:rsidR="000F221B" w:rsidRPr="000F221B" w:rsidRDefault="000F221B" w:rsidP="004B7E44"/>
    <w:tbl>
      <w:tblPr>
        <w:tblStyle w:val="TableGrid"/>
        <w:tblW w:w="100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12"/>
      </w:tblGrid>
      <w:tr w:rsidR="000F221B" w:rsidRPr="000F221B" w14:paraId="2F7443E3" w14:textId="77777777" w:rsidTr="009C7748">
        <w:trPr>
          <w:trHeight w:val="1152"/>
        </w:trPr>
        <w:tc>
          <w:tcPr>
            <w:tcW w:w="10012" w:type="dxa"/>
          </w:tcPr>
          <w:p w14:paraId="4441E829" w14:textId="1DD87BB7" w:rsidR="000F221B" w:rsidRPr="000F221B" w:rsidRDefault="000F221B" w:rsidP="000F221B">
            <w:pPr>
              <w:pStyle w:val="Title"/>
              <w:spacing w:line="276" w:lineRule="auto"/>
              <w:rPr>
                <w:color w:val="FFFFFF" w:themeColor="background1"/>
                <w:lang w:val="nl-NL"/>
              </w:rPr>
            </w:pPr>
            <w:r w:rsidRPr="000F221B">
              <w:rPr>
                <w:color w:val="FFFFFF" w:themeColor="background1"/>
                <w:lang w:val="nl-NL" w:bidi="en-GB"/>
              </w:rPr>
              <w:t xml:space="preserve">RAPPORT </w:t>
            </w:r>
            <w:r w:rsidR="00DF6680">
              <w:rPr>
                <w:color w:val="FFFFFF" w:themeColor="background1"/>
                <w:lang w:val="nl-NL" w:bidi="en-GB"/>
              </w:rPr>
              <w:t>26</w:t>
            </w:r>
          </w:p>
        </w:tc>
      </w:tr>
      <w:tr w:rsidR="000F221B" w:rsidRPr="00DF6680" w14:paraId="04292AA4" w14:textId="77777777" w:rsidTr="009C7748">
        <w:trPr>
          <w:trHeight w:val="3299"/>
        </w:trPr>
        <w:tc>
          <w:tcPr>
            <w:tcW w:w="10012" w:type="dxa"/>
          </w:tcPr>
          <w:p w14:paraId="1A5D30E3" w14:textId="7F1048FE" w:rsidR="005E7663" w:rsidRPr="00100AB0" w:rsidRDefault="00DF6680" w:rsidP="00582D42">
            <w:pPr>
              <w:pStyle w:val="Subtitle"/>
              <w:spacing w:line="276" w:lineRule="auto"/>
              <w:rPr>
                <w:color w:val="FFFFFF" w:themeColor="background1"/>
                <w:lang w:val="en-US" w:bidi="en-GB"/>
              </w:rPr>
            </w:pPr>
            <w:r w:rsidRPr="00100AB0">
              <w:rPr>
                <w:color w:val="FFFFFF" w:themeColor="background1"/>
                <w:lang w:val="en-US" w:bidi="en-GB"/>
              </w:rPr>
              <w:t xml:space="preserve">Existe-t-il un soutien motivationnel pour </w:t>
            </w:r>
            <w:r w:rsidR="009C7748" w:rsidRPr="00100AB0">
              <w:rPr>
                <w:color w:val="FFFFFF" w:themeColor="background1"/>
                <w:lang w:val="en-US" w:bidi="en-GB"/>
              </w:rPr>
              <w:t>un</w:t>
            </w:r>
            <w:r w:rsidRPr="00100AB0">
              <w:rPr>
                <w:color w:val="FFFFFF" w:themeColor="background1"/>
                <w:lang w:val="en-US" w:bidi="en-GB"/>
              </w:rPr>
              <w:t xml:space="preserve"> </w:t>
            </w:r>
            <w:r w:rsidR="009C7748" w:rsidRPr="00100AB0">
              <w:rPr>
                <w:color w:val="FFFFFF" w:themeColor="background1"/>
                <w:lang w:val="en-US" w:bidi="en-GB"/>
              </w:rPr>
              <w:t>renforcement des mesures</w:t>
            </w:r>
            <w:r w:rsidR="00100AB0">
              <w:rPr>
                <w:color w:val="FFFFFF" w:themeColor="background1"/>
                <w:lang w:val="en-US" w:bidi="en-GB"/>
              </w:rPr>
              <w:t>?</w:t>
            </w:r>
          </w:p>
        </w:tc>
      </w:tr>
      <w:tr w:rsidR="000F221B" w:rsidRPr="00DF6680" w14:paraId="6A9703B2" w14:textId="77777777" w:rsidTr="009C7748">
        <w:trPr>
          <w:trHeight w:val="2157"/>
        </w:trPr>
        <w:tc>
          <w:tcPr>
            <w:tcW w:w="10012" w:type="dxa"/>
          </w:tcPr>
          <w:p w14:paraId="7869218B" w14:textId="77777777" w:rsidR="005E7663" w:rsidRPr="00100AB0" w:rsidRDefault="005E7663" w:rsidP="00C96DC1">
            <w:pPr>
              <w:rPr>
                <w:b/>
                <w:lang w:val="en-US"/>
              </w:rPr>
            </w:pPr>
          </w:p>
          <w:p w14:paraId="5F340B01" w14:textId="0D037629" w:rsidR="007A71D7" w:rsidRPr="00100AB0" w:rsidRDefault="007A71D7" w:rsidP="007A71D7">
            <w:pPr>
              <w:jc w:val="center"/>
              <w:rPr>
                <w:color w:val="FFFFFF" w:themeColor="background1"/>
                <w:lang w:val="en-US" w:bidi="en-GB"/>
              </w:rPr>
            </w:pPr>
          </w:p>
        </w:tc>
      </w:tr>
      <w:tr w:rsidR="000F221B" w:rsidRPr="000F221B" w14:paraId="0057BA2A" w14:textId="77777777" w:rsidTr="009C7748">
        <w:trPr>
          <w:trHeight w:val="549"/>
        </w:trPr>
        <w:tc>
          <w:tcPr>
            <w:tcW w:w="10012" w:type="dxa"/>
          </w:tcPr>
          <w:p w14:paraId="3A559591" w14:textId="4A2BB937" w:rsidR="000F221B" w:rsidRPr="00F3166B" w:rsidRDefault="009C7748" w:rsidP="000F221B">
            <w:pPr>
              <w:pStyle w:val="Heading1"/>
              <w:spacing w:line="276" w:lineRule="auto"/>
              <w:outlineLvl w:val="0"/>
              <w:rPr>
                <w:color w:val="FFFFFF" w:themeColor="background1"/>
                <w:lang w:val="nl-NL"/>
              </w:rPr>
            </w:pPr>
            <w:r>
              <w:rPr>
                <w:color w:val="FFFFFF" w:themeColor="background1"/>
                <w:lang w:val="nl-NL" w:bidi="en-GB"/>
              </w:rPr>
              <w:t>The Motivation Barometer</w:t>
            </w:r>
          </w:p>
        </w:tc>
      </w:tr>
      <w:tr w:rsidR="000F221B" w:rsidRPr="00100AB0" w14:paraId="123E2ABD" w14:textId="77777777" w:rsidTr="009C7748">
        <w:trPr>
          <w:trHeight w:val="1279"/>
        </w:trPr>
        <w:tc>
          <w:tcPr>
            <w:tcW w:w="10012" w:type="dxa"/>
          </w:tcPr>
          <w:p w14:paraId="6BC53C6E" w14:textId="799583A9" w:rsidR="00C96DC1" w:rsidRDefault="000F221B" w:rsidP="000F221B">
            <w:pPr>
              <w:spacing w:line="276" w:lineRule="auto"/>
              <w:rPr>
                <w:color w:val="FFFFFF" w:themeColor="background1"/>
                <w:lang w:val="nl-NL" w:bidi="en-GB"/>
              </w:rPr>
            </w:pPr>
            <w:r w:rsidRPr="00F3166B">
              <w:rPr>
                <w:color w:val="FFFFFF" w:themeColor="background1"/>
                <w:lang w:val="nl-NL" w:bidi="en-GB"/>
              </w:rPr>
              <w:t xml:space="preserve">Auteurs </w:t>
            </w:r>
            <w:r w:rsidR="000C74FD">
              <w:rPr>
                <w:color w:val="FFFFFF" w:themeColor="background1"/>
                <w:lang w:val="nl-NL" w:bidi="en-GB"/>
              </w:rPr>
              <w:t>(par ordre alphabétique)</w:t>
            </w:r>
            <w:r w:rsidR="00100AB0">
              <w:rPr>
                <w:color w:val="FFFFFF" w:themeColor="background1"/>
                <w:lang w:val="nl-NL" w:bidi="en-GB"/>
              </w:rPr>
              <w:t>:</w:t>
            </w:r>
            <w:r w:rsidRPr="00F3166B">
              <w:rPr>
                <w:color w:val="FFFFFF" w:themeColor="background1"/>
                <w:lang w:val="nl-NL" w:bidi="en-GB"/>
              </w:rPr>
              <w:t xml:space="preserve"> </w:t>
            </w:r>
            <w:r w:rsidR="00C96DC1">
              <w:rPr>
                <w:color w:val="FFFFFF" w:themeColor="background1"/>
                <w:lang w:val="nl-NL" w:bidi="en-GB"/>
              </w:rPr>
              <w:t>Olivier Klein, Olivier Luminet, Sofie Morbée, Mathias Schmitz, Omer Van den Bergh, Pascaline Van Oost, Maarten Vansteenkiste, Joachim Waterschoot, Vincent Yzerbyt</w:t>
            </w:r>
          </w:p>
          <w:p w14:paraId="408D929B" w14:textId="77777777" w:rsidR="000F221B" w:rsidRPr="00F3166B" w:rsidRDefault="000F221B" w:rsidP="000F221B">
            <w:pPr>
              <w:spacing w:after="200" w:line="276" w:lineRule="auto"/>
              <w:rPr>
                <w:color w:val="FFFFFF" w:themeColor="background1"/>
                <w:lang w:val="nl-BE" w:bidi="en-GB"/>
              </w:rPr>
            </w:pPr>
          </w:p>
        </w:tc>
      </w:tr>
      <w:tr w:rsidR="000F221B" w:rsidRPr="00DF6680" w14:paraId="595DFDC5" w14:textId="77777777" w:rsidTr="009C7748">
        <w:trPr>
          <w:trHeight w:val="930"/>
        </w:trPr>
        <w:tc>
          <w:tcPr>
            <w:tcW w:w="10012" w:type="dxa"/>
          </w:tcPr>
          <w:p w14:paraId="51A59BFC" w14:textId="3CC4C99B" w:rsidR="000F221B" w:rsidRPr="00100AB0" w:rsidRDefault="00F3166B" w:rsidP="009C7748">
            <w:pPr>
              <w:rPr>
                <w:lang w:val="en-US"/>
              </w:rPr>
            </w:pPr>
            <w:r w:rsidRPr="00100AB0">
              <w:rPr>
                <w:color w:val="FFFFFF" w:themeColor="background1"/>
                <w:lang w:val="en-US" w:bidi="en-GB"/>
              </w:rPr>
              <w:t>Référence</w:t>
            </w:r>
            <w:r w:rsidR="00100AB0">
              <w:rPr>
                <w:color w:val="FFFFFF" w:themeColor="background1"/>
                <w:lang w:val="en-US" w:bidi="en-GB"/>
              </w:rPr>
              <w:t>:</w:t>
            </w:r>
            <w:r w:rsidR="000F221B" w:rsidRPr="00100AB0">
              <w:rPr>
                <w:color w:val="FFFFFF" w:themeColor="background1"/>
                <w:lang w:val="en-US" w:bidi="en-GB"/>
              </w:rPr>
              <w:t xml:space="preserve"> Motivationbarometer (</w:t>
            </w:r>
            <w:r w:rsidR="00DF6680" w:rsidRPr="00100AB0">
              <w:rPr>
                <w:color w:val="FFFFFF" w:themeColor="background1"/>
                <w:lang w:val="en-US" w:bidi="en-GB"/>
              </w:rPr>
              <w:t xml:space="preserve">24 </w:t>
            </w:r>
            <w:r w:rsidR="00064C9C" w:rsidRPr="00100AB0">
              <w:rPr>
                <w:color w:val="FFFFFF" w:themeColor="background1"/>
                <w:lang w:val="en-US" w:bidi="en-GB"/>
              </w:rPr>
              <w:t>mars</w:t>
            </w:r>
            <w:r w:rsidRPr="00100AB0">
              <w:rPr>
                <w:color w:val="FFFFFF" w:themeColor="background1"/>
                <w:lang w:val="en-US" w:bidi="en-GB"/>
              </w:rPr>
              <w:t xml:space="preserve">, </w:t>
            </w:r>
            <w:r w:rsidR="000F221B" w:rsidRPr="00100AB0">
              <w:rPr>
                <w:color w:val="FFFFFF" w:themeColor="background1"/>
                <w:lang w:val="en-US" w:bidi="en-GB"/>
              </w:rPr>
              <w:t xml:space="preserve">2021). </w:t>
            </w:r>
            <w:r w:rsidR="009C7748" w:rsidRPr="00100AB0">
              <w:rPr>
                <w:color w:val="FFFFFF" w:themeColor="background1"/>
                <w:lang w:val="en-US" w:bidi="en-GB"/>
              </w:rPr>
              <w:t>Existe-t-il un soutien motivationnel pour un renforcement des mesures</w:t>
            </w:r>
            <w:r w:rsidR="00100AB0" w:rsidRPr="00100AB0">
              <w:rPr>
                <w:color w:val="FFFFFF" w:themeColor="background1"/>
                <w:lang w:val="en-US" w:bidi="en-GB"/>
              </w:rPr>
              <w:t>?</w:t>
            </w:r>
            <w:r w:rsidR="009C7748" w:rsidRPr="00100AB0">
              <w:rPr>
                <w:color w:val="FFFFFF" w:themeColor="background1"/>
                <w:lang w:val="en-US" w:bidi="en-GB"/>
              </w:rPr>
              <w:t xml:space="preserve"> </w:t>
            </w:r>
            <w:r w:rsidR="000F221B" w:rsidRPr="00100AB0">
              <w:rPr>
                <w:color w:val="FFFFFF" w:themeColor="background1"/>
                <w:lang w:val="en-US" w:bidi="en-GB"/>
              </w:rPr>
              <w:t xml:space="preserve">Gand </w:t>
            </w:r>
            <w:r w:rsidR="00064C9C" w:rsidRPr="00100AB0">
              <w:rPr>
                <w:color w:val="FFFFFF" w:themeColor="background1"/>
                <w:lang w:val="en-US" w:bidi="en-GB"/>
              </w:rPr>
              <w:t>et Louvain</w:t>
            </w:r>
            <w:r w:rsidR="00B032B3" w:rsidRPr="00100AB0">
              <w:rPr>
                <w:color w:val="FFFFFF" w:themeColor="background1"/>
                <w:lang w:val="en-US" w:bidi="en-GB"/>
              </w:rPr>
              <w:t>-la-Neuve</w:t>
            </w:r>
            <w:r w:rsidR="00064C9C" w:rsidRPr="00100AB0">
              <w:rPr>
                <w:color w:val="FFFFFF" w:themeColor="background1"/>
                <w:lang w:val="en-US" w:bidi="en-GB"/>
              </w:rPr>
              <w:t xml:space="preserve">, </w:t>
            </w:r>
            <w:r w:rsidR="000F221B" w:rsidRPr="00100AB0">
              <w:rPr>
                <w:color w:val="FFFFFF" w:themeColor="background1"/>
                <w:lang w:val="en-US" w:bidi="en-GB"/>
              </w:rPr>
              <w:t>Belgique.</w:t>
            </w:r>
          </w:p>
        </w:tc>
      </w:tr>
    </w:tbl>
    <w:p w14:paraId="5444D7B7" w14:textId="6E768257" w:rsidR="004970B3" w:rsidRPr="00100AB0" w:rsidRDefault="007F6CA4" w:rsidP="004970B3">
      <w:pPr>
        <w:spacing w:after="200"/>
        <w:rPr>
          <w:rFonts w:ascii="Arial" w:eastAsia="Arial" w:hAnsi="Arial" w:cs="Arial"/>
          <w:szCs w:val="24"/>
          <w:lang w:val="en-US"/>
        </w:rPr>
      </w:pPr>
      <w:r w:rsidRPr="000F221B">
        <w:rPr>
          <w:noProof/>
          <w:lang w:bidi="en-GB"/>
        </w:rPr>
        <w:drawing>
          <wp:anchor distT="0" distB="0" distL="114300" distR="114300" simplePos="0" relativeHeight="251660288" behindDoc="0" locked="0" layoutInCell="1" allowOverlap="1" wp14:anchorId="533DAF6B" wp14:editId="05B93AF1">
            <wp:simplePos x="0" y="0"/>
            <wp:positionH relativeFrom="margin">
              <wp:posOffset>1221105</wp:posOffset>
            </wp:positionH>
            <wp:positionV relativeFrom="margin">
              <wp:posOffset>7029976</wp:posOffset>
            </wp:positionV>
            <wp:extent cx="3655060" cy="2566670"/>
            <wp:effectExtent l="0" t="0" r="0" b="0"/>
            <wp:wrapSquare wrapText="bothSides"/>
            <wp:docPr id="12" name="Graphic 201">
              <a:extLst xmlns:a="http://schemas.openxmlformats.org/drawingml/2006/main">
                <a:ext uri="{FF2B5EF4-FFF2-40B4-BE49-F238E27FC236}">
                  <a16:creationId xmlns:a16="http://schemas.microsoft.com/office/drawing/2014/main" id="{F3D65186-AB5A-4584-87C3-0FAA299226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201">
                      <a:extLst>
                        <a:ext uri="{FF2B5EF4-FFF2-40B4-BE49-F238E27FC236}">
                          <a16:creationId xmlns:a16="http://schemas.microsoft.com/office/drawing/2014/main" id="{F3D65186-AB5A-4584-87C3-0FAA2992263B}"/>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5060" cy="2566670"/>
                    </a:xfrm>
                    <a:prstGeom prst="rect">
                      <a:avLst/>
                    </a:prstGeom>
                  </pic:spPr>
                </pic:pic>
              </a:graphicData>
            </a:graphic>
            <wp14:sizeRelH relativeFrom="margin">
              <wp14:pctWidth>0</wp14:pctWidth>
            </wp14:sizeRelH>
            <wp14:sizeRelV relativeFrom="margin">
              <wp14:pctHeight>0</wp14:pctHeight>
            </wp14:sizeRelV>
          </wp:anchor>
        </w:drawing>
      </w:r>
      <w:r w:rsidR="004B7E44" w:rsidRPr="00100AB0">
        <w:rPr>
          <w:lang w:val="en-US" w:bidi="en-GB"/>
        </w:rPr>
        <w:br w:type="page"/>
      </w:r>
    </w:p>
    <w:p w14:paraId="2428A72D" w14:textId="5844D263" w:rsidR="00583701" w:rsidRDefault="004970B3" w:rsidP="00583701">
      <w:r>
        <w:rPr>
          <w:noProof/>
        </w:rPr>
        <w:lastRenderedPageBreak/>
        <mc:AlternateContent>
          <mc:Choice Requires="wps">
            <w:drawing>
              <wp:inline distT="0" distB="0" distL="0" distR="0" wp14:anchorId="04B0F393" wp14:editId="7B3C31D2">
                <wp:extent cx="5953539" cy="1562100"/>
                <wp:effectExtent l="0" t="0" r="9525" b="0"/>
                <wp:docPr id="17" name="Rounded Rectangle 17"/>
                <wp:cNvGraphicFramePr/>
                <a:graphic xmlns:a="http://schemas.openxmlformats.org/drawingml/2006/main">
                  <a:graphicData uri="http://schemas.microsoft.com/office/word/2010/wordprocessingShape">
                    <wps:wsp>
                      <wps:cNvSpPr/>
                      <wps:spPr>
                        <a:xfrm>
                          <a:off x="0" y="0"/>
                          <a:ext cx="5953539" cy="1562100"/>
                        </a:xfrm>
                        <a:prstGeom prst="roundRect">
                          <a:avLst>
                            <a:gd name="adj" fmla="val 3385"/>
                          </a:avLst>
                        </a:prstGeom>
                        <a:solidFill>
                          <a:srgbClr val="0070C0">
                            <a:alpha val="6902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13D293" w14:textId="16DD9329" w:rsidR="004970B3" w:rsidRPr="00C70C20" w:rsidRDefault="00C70C20" w:rsidP="002655B8">
                            <w:pPr>
                              <w:rPr>
                                <w:i/>
                                <w:iCs/>
                                <w:color w:val="FFFFFF" w:themeColor="background1"/>
                                <w:lang w:val="nl-BE"/>
                              </w:rPr>
                            </w:pPr>
                            <w:r w:rsidRPr="00C70C20">
                              <w:rPr>
                                <w:i/>
                                <w:iCs/>
                                <w:color w:val="FFFFFF" w:themeColor="background1"/>
                                <w:lang w:val="nl-BE"/>
                              </w:rPr>
                              <w:t xml:space="preserve">Maintenant que les chiffres </w:t>
                            </w:r>
                            <w:r w:rsidR="009C7748">
                              <w:rPr>
                                <w:i/>
                                <w:iCs/>
                                <w:color w:val="FFFFFF" w:themeColor="background1"/>
                                <w:lang w:val="nl-BE"/>
                              </w:rPr>
                              <w:t>COVID</w:t>
                            </w:r>
                            <w:r w:rsidRPr="00C70C20">
                              <w:rPr>
                                <w:i/>
                                <w:iCs/>
                                <w:color w:val="FFFFFF" w:themeColor="background1"/>
                                <w:lang w:val="nl-BE"/>
                              </w:rPr>
                              <w:t xml:space="preserve"> sont à nouveau en hausse et que l'appel à des mesures plus strictes se fait plus pressant, la question se pose de savoir s'il existe un soutien motivationnel suffisant pour cela. Par le passé, nous avons établi que l'assouplissement des mesures n'est pas nécessairement motivant et que leur </w:t>
                            </w:r>
                            <w:r w:rsidR="009C7748">
                              <w:rPr>
                                <w:i/>
                                <w:iCs/>
                                <w:color w:val="FFFFFF" w:themeColor="background1"/>
                                <w:lang w:val="nl-BE"/>
                              </w:rPr>
                              <w:t xml:space="preserve">renforcement </w:t>
                            </w:r>
                            <w:r w:rsidRPr="00C70C20">
                              <w:rPr>
                                <w:i/>
                                <w:iCs/>
                                <w:color w:val="FFFFFF" w:themeColor="background1"/>
                                <w:lang w:val="nl-BE"/>
                              </w:rPr>
                              <w:t xml:space="preserve">n'est pas nécessairement démotivant (voir les rapports n° 15 et n° 16, www.motivationbarometer.com). Tout dépend du cadre et du calendrier des mesures prises en fonction de la gravité de la pandémie.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4B0F393" id="Rounded Rectangle 17" o:spid="_x0000_s1026" style="width:468.8pt;height:123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" fillcolor="#0070c0" stroked="f" strokeweight="2pt">
                <v:fill opacity="45232f"/>
                <v:textbox>
                  <w:txbxContent>
                    <w:p w14:paraId="3B13D293" w14:textId="16DD9329" w:rsidR="004970B3" w:rsidRPr="00C70C20" w:rsidRDefault="00C70C20" w:rsidP="002655B8">
                      <w:pPr>
                        <w:rPr>
                          <w:i/>
                          <w:iCs/>
                          <w:color w:val="FFFFFF" w:themeColor="background1"/>
                          <w:lang w:val="nl-BE"/>
                        </w:rPr>
                      </w:pPr>
                      <w:r w:rsidRPr="00C70C20">
                        <w:rPr>
                          <w:i/>
                          <w:iCs/>
                          <w:color w:val="FFFFFF" w:themeColor="background1"/>
                          <w:lang w:val="nl-BE"/>
                        </w:rPr>
                        <w:t xml:space="preserve">Maintenant que les chiffres </w:t>
                      </w:r>
                      <w:r w:rsidR="009C7748">
                        <w:rPr>
                          <w:i/>
                          <w:iCs/>
                          <w:color w:val="FFFFFF" w:themeColor="background1"/>
                          <w:lang w:val="nl-BE"/>
                        </w:rPr>
                        <w:t>COVID</w:t>
                      </w:r>
                      <w:r w:rsidRPr="00C70C20">
                        <w:rPr>
                          <w:i/>
                          <w:iCs/>
                          <w:color w:val="FFFFFF" w:themeColor="background1"/>
                          <w:lang w:val="nl-BE"/>
                        </w:rPr>
                        <w:t xml:space="preserve"> sont à nouveau en hausse et que l'appel à des mesures plus strictes se fait plus pressant, la question se pose de savoir s'il existe un soutien motivationnel suffisant pour cela. Par le passé, nous avons établi que l'assouplissement des mesures n'est pas nécessairement motivant et que leur </w:t>
                      </w:r>
                      <w:r w:rsidR="009C7748">
                        <w:rPr>
                          <w:i/>
                          <w:iCs/>
                          <w:color w:val="FFFFFF" w:themeColor="background1"/>
                          <w:lang w:val="nl-BE"/>
                        </w:rPr>
                        <w:t xml:space="preserve">renforcement </w:t>
                      </w:r>
                      <w:r w:rsidRPr="00C70C20">
                        <w:rPr>
                          <w:i/>
                          <w:iCs/>
                          <w:color w:val="FFFFFF" w:themeColor="background1"/>
                          <w:lang w:val="nl-BE"/>
                        </w:rPr>
                        <w:t xml:space="preserve">n'est pas nécessairement démotivant (voir les rapports n° 15 et n° 16, www.motivationbarometer.com). Tout dépend du cadre et du calendrier des mesures prises en fonction de la gravité de la pandémie. </w:t>
                      </w:r>
                    </w:p>
                  </w:txbxContent>
                </v:textbox>
                <w10:anchorlock/>
              </v:roundrect>
            </w:pict>
          </mc:Fallback>
        </mc:AlternateContent>
      </w:r>
    </w:p>
    <w:p w14:paraId="1794F737" w14:textId="23FD39AB" w:rsidR="00AD3F0F" w:rsidRDefault="00AD3F0F" w:rsidP="00AD3F0F">
      <w:pPr>
        <w:rPr>
          <w:lang w:val="nl-BE"/>
        </w:rPr>
      </w:pPr>
    </w:p>
    <w:p w14:paraId="03FC4BC7" w14:textId="7E7E2D7B" w:rsidR="00DF6680" w:rsidRPr="00DF6680" w:rsidRDefault="00DF6680" w:rsidP="00C70C20">
      <w:pPr>
        <w:pStyle w:val="Heading2"/>
        <w:rPr>
          <w:lang w:val="nl-BE"/>
        </w:rPr>
      </w:pPr>
      <w:r w:rsidRPr="00DF6680">
        <w:rPr>
          <w:lang w:val="nl-BE"/>
        </w:rPr>
        <w:t>Qu'en est-il de notre motivation</w:t>
      </w:r>
      <w:r w:rsidR="00100AB0">
        <w:rPr>
          <w:lang w:val="nl-BE"/>
        </w:rPr>
        <w:t>?</w:t>
      </w:r>
      <w:r w:rsidRPr="00DF6680">
        <w:rPr>
          <w:lang w:val="nl-BE"/>
        </w:rPr>
        <w:t xml:space="preserve"> </w:t>
      </w:r>
    </w:p>
    <w:p w14:paraId="00F3D6C1" w14:textId="77777777" w:rsidR="00DF6680" w:rsidRPr="00DF6680" w:rsidRDefault="00DF6680" w:rsidP="00DF6680">
      <w:pPr>
        <w:rPr>
          <w:lang w:val="nl-BE"/>
        </w:rPr>
      </w:pPr>
    </w:p>
    <w:p w14:paraId="25826C34" w14:textId="2BA55C4C" w:rsidR="00DF6680" w:rsidRPr="00DF6680" w:rsidRDefault="00DF6680" w:rsidP="00C70C20">
      <w:pPr>
        <w:pStyle w:val="Heading3"/>
        <w:rPr>
          <w:lang w:val="nl-BE"/>
        </w:rPr>
      </w:pPr>
      <w:r w:rsidRPr="00DF6680">
        <w:rPr>
          <w:lang w:val="nl-BE"/>
        </w:rPr>
        <w:t>Reste-t-il un soutien</w:t>
      </w:r>
      <w:r w:rsidR="00100AB0">
        <w:rPr>
          <w:lang w:val="nl-BE"/>
        </w:rPr>
        <w:t>?</w:t>
      </w:r>
      <w:r w:rsidRPr="00DF6680">
        <w:rPr>
          <w:lang w:val="nl-BE"/>
        </w:rPr>
        <w:t xml:space="preserve"> </w:t>
      </w:r>
    </w:p>
    <w:p w14:paraId="177DC250" w14:textId="40DFF645" w:rsidR="00DF6680" w:rsidRPr="00100AB0" w:rsidRDefault="00DF6680" w:rsidP="00DF6680">
      <w:pPr>
        <w:rPr>
          <w:lang w:val="en-US"/>
        </w:rPr>
      </w:pPr>
      <w:r w:rsidRPr="00DF6680">
        <w:rPr>
          <w:lang w:val="nl-BE"/>
        </w:rPr>
        <w:t xml:space="preserve">Le soutien motivationnel est maintenant plus bas qu'en novembre et beaucoup plus bas qu'en mars de l'année dernière. </w:t>
      </w:r>
      <w:r w:rsidRPr="00100AB0">
        <w:rPr>
          <w:lang w:val="en-US"/>
        </w:rPr>
        <w:t xml:space="preserve">Nous constatons une évolution similaire pour le suivi des mesures (voir figure 1). La </w:t>
      </w:r>
      <w:r w:rsidR="009C7748" w:rsidRPr="00100AB0">
        <w:rPr>
          <w:lang w:val="en-US"/>
        </w:rPr>
        <w:t>perception</w:t>
      </w:r>
      <w:r w:rsidRPr="00100AB0">
        <w:rPr>
          <w:lang w:val="en-US"/>
        </w:rPr>
        <w:t xml:space="preserve"> du risque est également plus faible aujourd'hui qu'à la mi-octobre, lorsque les taux d'hospitalisation étaient tout aussi élevés (voir la figure 2). Cela suggère que nous nous fermons davantage, ou qu'il y a eu accoutumance ou fatigue. Dans tous les cas, la motivation pour l'adhésion est plutôt modérée. </w:t>
      </w:r>
    </w:p>
    <w:p w14:paraId="4E94379D" w14:textId="77777777" w:rsidR="00DF6680" w:rsidRPr="00100AB0" w:rsidRDefault="00DF6680" w:rsidP="00DF6680">
      <w:pPr>
        <w:rPr>
          <w:lang w:val="en-US"/>
        </w:rPr>
      </w:pPr>
    </w:p>
    <w:p w14:paraId="27265B3D" w14:textId="7B583D6B" w:rsidR="00DF6680" w:rsidRPr="00100AB0" w:rsidRDefault="00DF6680" w:rsidP="00C70C20">
      <w:pPr>
        <w:pStyle w:val="Heading3"/>
        <w:rPr>
          <w:lang w:val="en-US"/>
        </w:rPr>
      </w:pPr>
      <w:r w:rsidRPr="00100AB0">
        <w:rPr>
          <w:lang w:val="en-US"/>
        </w:rPr>
        <w:t xml:space="preserve">Divers indicateurs montrent que la motivation est de plus en plus forte. </w:t>
      </w:r>
    </w:p>
    <w:p w14:paraId="05870330" w14:textId="4851955F" w:rsidR="00DF6680" w:rsidRPr="00DF6680" w:rsidRDefault="00DF6680" w:rsidP="00DF6680">
      <w:pPr>
        <w:rPr>
          <w:lang w:val="nl-BE"/>
        </w:rPr>
      </w:pPr>
      <w:r w:rsidRPr="00100AB0">
        <w:rPr>
          <w:lang w:val="en-US"/>
        </w:rPr>
        <w:t xml:space="preserve">En même temps, la figure 1 montre qu'il y a eu une amélioration depuis le point bas de la motivation atteint en février, après l'ouverture des salons de coiffure (ce n'est qu'en août que la motivation était encore plus basse). </w:t>
      </w:r>
      <w:r w:rsidRPr="00DF6680">
        <w:rPr>
          <w:lang w:val="nl-BE"/>
        </w:rPr>
        <w:t>Bien que l'évolution mensuelle des chiffres de motivation de la figure 1 indique que le soutien motivationnel aux mesures a progressivement diminué depuis le début du deuxième épisode de lockdown, on constate une amélioration depuis le début du mois de mars</w:t>
      </w:r>
      <w:r w:rsidR="00100AB0">
        <w:rPr>
          <w:lang w:val="nl-BE"/>
        </w:rPr>
        <w:t>:</w:t>
      </w:r>
      <w:r w:rsidRPr="00DF6680">
        <w:rPr>
          <w:lang w:val="nl-BE"/>
        </w:rPr>
        <w:t xml:space="preserve"> la population est à nouveau plus convaincue de la nécessité des mesures, se sent plus capable de faire les efforts nécessaires et considère à nouveau les mesures comme plus efficaces. </w:t>
      </w:r>
    </w:p>
    <w:p w14:paraId="2791FB9E" w14:textId="77777777" w:rsidR="00DF6680" w:rsidRPr="00DF6680" w:rsidRDefault="00DF6680" w:rsidP="00DF6680">
      <w:pPr>
        <w:rPr>
          <w:lang w:val="nl-BE"/>
        </w:rPr>
      </w:pPr>
    </w:p>
    <w:p w14:paraId="266E9233" w14:textId="0A3CCCA2" w:rsidR="00DF6680" w:rsidRPr="00DF6680" w:rsidRDefault="00DF6680" w:rsidP="00C70C20">
      <w:pPr>
        <w:pStyle w:val="Heading3"/>
        <w:rPr>
          <w:lang w:val="nl-BE"/>
        </w:rPr>
      </w:pPr>
      <w:r w:rsidRPr="00DF6680">
        <w:rPr>
          <w:lang w:val="nl-BE"/>
        </w:rPr>
        <w:t>Comment cela se fait-il</w:t>
      </w:r>
      <w:r w:rsidR="00100AB0">
        <w:rPr>
          <w:lang w:val="nl-BE"/>
        </w:rPr>
        <w:t>?</w:t>
      </w:r>
      <w:r w:rsidRPr="00DF6680">
        <w:rPr>
          <w:lang w:val="nl-BE"/>
        </w:rPr>
        <w:t xml:space="preserve"> </w:t>
      </w:r>
    </w:p>
    <w:p w14:paraId="7AEB7209" w14:textId="2B12742A" w:rsidR="00DF6680" w:rsidRPr="00DF6680" w:rsidRDefault="00DF6680" w:rsidP="00DF6680">
      <w:pPr>
        <w:rPr>
          <w:lang w:val="nl-BE"/>
        </w:rPr>
      </w:pPr>
      <w:r w:rsidRPr="00DF6680">
        <w:rPr>
          <w:lang w:val="nl-BE"/>
        </w:rPr>
        <w:t>L'augmentation des taux de</w:t>
      </w:r>
      <w:r w:rsidR="009C7748">
        <w:rPr>
          <w:lang w:val="nl-BE"/>
        </w:rPr>
        <w:t xml:space="preserve"> COVID </w:t>
      </w:r>
      <w:r w:rsidRPr="00DF6680">
        <w:rPr>
          <w:lang w:val="nl-BE"/>
        </w:rPr>
        <w:t xml:space="preserve">peut expliquer cette motivation croissante et un meilleur suivi des mesures aujourd'hui. Ils sont source d'un plus grand engagement car ils alimentent la </w:t>
      </w:r>
      <w:r w:rsidR="009C7748">
        <w:rPr>
          <w:lang w:val="nl-BE"/>
        </w:rPr>
        <w:t>perception</w:t>
      </w:r>
      <w:r w:rsidRPr="00DF6680">
        <w:rPr>
          <w:lang w:val="nl-BE"/>
        </w:rPr>
        <w:t xml:space="preserve"> des risques (voir rapport n°25). </w:t>
      </w:r>
    </w:p>
    <w:p w14:paraId="3582B65C" w14:textId="77777777" w:rsidR="00DF6680" w:rsidRPr="00DF6680" w:rsidRDefault="00DF6680" w:rsidP="00DF6680">
      <w:pPr>
        <w:rPr>
          <w:lang w:val="nl-BE"/>
        </w:rPr>
      </w:pPr>
    </w:p>
    <w:p w14:paraId="729AC142" w14:textId="15DF92F8" w:rsidR="00DF6680" w:rsidRPr="00100AB0" w:rsidRDefault="00DF6680" w:rsidP="00C70C20">
      <w:pPr>
        <w:pStyle w:val="Heading3"/>
        <w:rPr>
          <w:lang w:val="en-US"/>
        </w:rPr>
      </w:pPr>
      <w:r w:rsidRPr="00100AB0">
        <w:rPr>
          <w:lang w:val="en-US"/>
        </w:rPr>
        <w:t xml:space="preserve">Le soutien </w:t>
      </w:r>
      <w:r w:rsidR="009C7748" w:rsidRPr="00100AB0">
        <w:rPr>
          <w:lang w:val="en-US"/>
        </w:rPr>
        <w:t xml:space="preserve">motivationnel </w:t>
      </w:r>
      <w:r w:rsidRPr="00100AB0">
        <w:rPr>
          <w:lang w:val="en-US"/>
        </w:rPr>
        <w:t>est-il correctement encouragé et soutenu</w:t>
      </w:r>
      <w:r w:rsidR="00100AB0">
        <w:rPr>
          <w:lang w:val="en-US"/>
        </w:rPr>
        <w:t>?</w:t>
      </w:r>
      <w:r w:rsidRPr="00100AB0">
        <w:rPr>
          <w:lang w:val="en-US"/>
        </w:rPr>
        <w:t xml:space="preserve"> </w:t>
      </w:r>
    </w:p>
    <w:p w14:paraId="35F4F903" w14:textId="6E008881" w:rsidR="00DF6680" w:rsidRPr="00DF6680" w:rsidRDefault="00DF6680" w:rsidP="00DF6680">
      <w:pPr>
        <w:rPr>
          <w:lang w:val="nl-BE"/>
        </w:rPr>
      </w:pPr>
      <w:r w:rsidRPr="00100AB0">
        <w:rPr>
          <w:lang w:val="en-US"/>
        </w:rPr>
        <w:t xml:space="preserve">Après chaque conférence de presse, le style de communication de l'équipe gouvernementale a été </w:t>
      </w:r>
      <w:r w:rsidR="009C7748" w:rsidRPr="00100AB0">
        <w:rPr>
          <w:lang w:val="en-US"/>
        </w:rPr>
        <w:t>évalué</w:t>
      </w:r>
      <w:r w:rsidRPr="00100AB0">
        <w:rPr>
          <w:lang w:val="en-US"/>
        </w:rPr>
        <w:t xml:space="preserve">. La communication du vendredi 19 mars (N = 2711 ; 69% de femmes) a été perçue par les participants comme </w:t>
      </w:r>
      <w:r w:rsidR="009C7748" w:rsidRPr="00100AB0">
        <w:rPr>
          <w:lang w:val="en-US"/>
        </w:rPr>
        <w:t xml:space="preserve">étant </w:t>
      </w:r>
      <w:r w:rsidR="00A30A7D" w:rsidRPr="00100AB0">
        <w:rPr>
          <w:lang w:val="en-US"/>
        </w:rPr>
        <w:t>“</w:t>
      </w:r>
      <w:r w:rsidR="009C7748" w:rsidRPr="00100AB0">
        <w:rPr>
          <w:lang w:val="en-US"/>
        </w:rPr>
        <w:t>attent</w:t>
      </w:r>
      <w:r w:rsidR="00A30A7D" w:rsidRPr="00100AB0">
        <w:rPr>
          <w:lang w:val="en-US"/>
        </w:rPr>
        <w:t>ist</w:t>
      </w:r>
      <w:r w:rsidR="009C7748" w:rsidRPr="00100AB0">
        <w:rPr>
          <w:lang w:val="en-US"/>
        </w:rPr>
        <w:t>e</w:t>
      </w:r>
      <w:r w:rsidR="00A30A7D" w:rsidRPr="00100AB0">
        <w:rPr>
          <w:lang w:val="en-US"/>
        </w:rPr>
        <w:t>”</w:t>
      </w:r>
      <w:r w:rsidR="009C7748" w:rsidRPr="00100AB0">
        <w:rPr>
          <w:lang w:val="en-US"/>
        </w:rPr>
        <w:t xml:space="preserve"> </w:t>
      </w:r>
      <w:r w:rsidR="00A30A7D" w:rsidRPr="00100AB0">
        <w:rPr>
          <w:lang w:val="en-US"/>
        </w:rPr>
        <w:t xml:space="preserve">(laissant les choses suivre leur cours) </w:t>
      </w:r>
      <w:r w:rsidRPr="00100AB0">
        <w:rPr>
          <w:lang w:val="en-US"/>
        </w:rPr>
        <w:t>plutôt qu</w:t>
      </w:r>
      <w:r w:rsidR="009C7748" w:rsidRPr="00100AB0">
        <w:rPr>
          <w:lang w:val="en-US"/>
        </w:rPr>
        <w:t>e</w:t>
      </w:r>
      <w:r w:rsidR="00A30A7D" w:rsidRPr="00100AB0">
        <w:rPr>
          <w:lang w:val="en-US"/>
        </w:rPr>
        <w:t xml:space="preserve"> dirigée vers un but</w:t>
      </w:r>
      <w:r w:rsidRPr="00100AB0">
        <w:rPr>
          <w:lang w:val="en-US"/>
        </w:rPr>
        <w:t xml:space="preserve">. </w:t>
      </w:r>
      <w:r w:rsidRPr="00DF6680">
        <w:rPr>
          <w:lang w:val="nl-BE"/>
        </w:rPr>
        <w:t xml:space="preserve">Un schéma de communication similaire a été observé à la fin du mois d'octobre, une semaine avant l'annonce du deuxième confinement. </w:t>
      </w:r>
    </w:p>
    <w:p w14:paraId="1201C1A2" w14:textId="77777777" w:rsidR="00DF6680" w:rsidRPr="00DF6680" w:rsidRDefault="00DF6680" w:rsidP="00DF6680">
      <w:pPr>
        <w:rPr>
          <w:lang w:val="nl-BE"/>
        </w:rPr>
      </w:pPr>
    </w:p>
    <w:p w14:paraId="686E19A6" w14:textId="299FEE36" w:rsidR="00DF6680" w:rsidRPr="00DF6680" w:rsidRDefault="00DF6680" w:rsidP="00DF6680">
      <w:pPr>
        <w:rPr>
          <w:lang w:val="nl-BE"/>
        </w:rPr>
      </w:pPr>
      <w:r w:rsidRPr="00DF6680">
        <w:rPr>
          <w:lang w:val="nl-BE"/>
        </w:rPr>
        <w:lastRenderedPageBreak/>
        <w:t>En résumé, les chiffres d'hospitalisation en hausse ne laissent pas d'autre choix aujourd'hui que de passer à la vitesse supérieure</w:t>
      </w:r>
      <w:r w:rsidR="00100AB0">
        <w:rPr>
          <w:lang w:val="nl-BE"/>
        </w:rPr>
        <w:t>:</w:t>
      </w:r>
      <w:r w:rsidRPr="00DF6680">
        <w:rPr>
          <w:lang w:val="nl-BE"/>
        </w:rPr>
        <w:t xml:space="preserve"> des mesures supplémentaires sont nécessaires. Ce n'est pas parce que les mesures sont devenues moins efficaces, mais parce qu'une partie au moins de la population est moins encline à les suivre dans un contexte où le climat de motivation est insuffisant et où une variante plus contagieuse gagne du terrain. La perception de la population est qu'il y a eu trop d'attentisme le vendredi 19 mars. Cet élément, ainsi que d'autres indicateurs, indique un soutien croissant, bien que la sensibilisation aux risques soit encore quelque peu à la traîne. </w:t>
      </w:r>
    </w:p>
    <w:p w14:paraId="62DADF2D" w14:textId="77777777" w:rsidR="00DF6680" w:rsidRPr="00DF6680" w:rsidRDefault="00DF6680" w:rsidP="00DF6680">
      <w:pPr>
        <w:rPr>
          <w:lang w:val="nl-BE"/>
        </w:rPr>
      </w:pPr>
    </w:p>
    <w:p w14:paraId="01B0B471" w14:textId="0B9E2682" w:rsidR="00DF6680" w:rsidRPr="00100AB0" w:rsidRDefault="00DF6680" w:rsidP="00D55692">
      <w:pPr>
        <w:pStyle w:val="Heading2"/>
        <w:rPr>
          <w:lang w:val="en-US"/>
        </w:rPr>
      </w:pPr>
      <w:r w:rsidRPr="00100AB0">
        <w:rPr>
          <w:lang w:val="en-US"/>
        </w:rPr>
        <w:t>Comment renforcer la base de soutien</w:t>
      </w:r>
      <w:r w:rsidR="00A30A7D" w:rsidRPr="00100AB0">
        <w:rPr>
          <w:lang w:val="en-US"/>
        </w:rPr>
        <w:t xml:space="preserve"> motivationnel</w:t>
      </w:r>
      <w:r w:rsidR="00100AB0">
        <w:rPr>
          <w:lang w:val="en-US"/>
        </w:rPr>
        <w:t>?</w:t>
      </w:r>
    </w:p>
    <w:p w14:paraId="73070686" w14:textId="77777777" w:rsidR="00DF6680" w:rsidRPr="00100AB0" w:rsidRDefault="00DF6680" w:rsidP="00DF6680">
      <w:pPr>
        <w:rPr>
          <w:lang w:val="en-US"/>
        </w:rPr>
      </w:pPr>
    </w:p>
    <w:p w14:paraId="6F923AB7" w14:textId="6FC57BE9" w:rsidR="00DF6680" w:rsidRPr="00DF6680" w:rsidRDefault="00DF6680" w:rsidP="00D55692">
      <w:pPr>
        <w:pStyle w:val="Heading3"/>
        <w:rPr>
          <w:lang w:val="nl-BE"/>
        </w:rPr>
      </w:pPr>
      <w:r w:rsidRPr="00DF6680">
        <w:rPr>
          <w:lang w:val="nl-BE"/>
        </w:rPr>
        <w:t>Acc</w:t>
      </w:r>
      <w:r w:rsidR="001A7A4F">
        <w:rPr>
          <w:lang w:val="nl-BE"/>
        </w:rPr>
        <w:t>roissez</w:t>
      </w:r>
      <w:r w:rsidRPr="00DF6680">
        <w:rPr>
          <w:lang w:val="nl-BE"/>
        </w:rPr>
        <w:t xml:space="preserve"> la </w:t>
      </w:r>
      <w:r w:rsidR="00A30A7D">
        <w:rPr>
          <w:lang w:val="nl-BE"/>
        </w:rPr>
        <w:t>perception</w:t>
      </w:r>
      <w:r w:rsidRPr="00DF6680">
        <w:rPr>
          <w:lang w:val="nl-BE"/>
        </w:rPr>
        <w:t xml:space="preserve"> </w:t>
      </w:r>
      <w:r w:rsidR="00A30A7D">
        <w:rPr>
          <w:lang w:val="nl-BE"/>
        </w:rPr>
        <w:t>des</w:t>
      </w:r>
      <w:r w:rsidRPr="00DF6680">
        <w:rPr>
          <w:lang w:val="nl-BE"/>
        </w:rPr>
        <w:t xml:space="preserve"> risques</w:t>
      </w:r>
    </w:p>
    <w:p w14:paraId="57E36EF2" w14:textId="653454BF" w:rsidR="00DF6680" w:rsidRPr="00DF6680" w:rsidRDefault="00DF6680" w:rsidP="00DF6680">
      <w:pPr>
        <w:rPr>
          <w:lang w:val="nl-BE"/>
        </w:rPr>
      </w:pPr>
      <w:r w:rsidRPr="00DF6680">
        <w:rPr>
          <w:lang w:val="nl-BE"/>
        </w:rPr>
        <w:t xml:space="preserve">Soulignez les risques sanitaires croissants que courent les gens et la pression accrue sur le système de soins de santé. Montrez par des exemples concrets combien de personnes sont surprises d'être infectées. De tels exemples sont plus éloquents que la description verbale d'une infectiosité accrue de 50 % au Royaume-Uni. Cela garantit une </w:t>
      </w:r>
      <w:r w:rsidR="001A7A4F">
        <w:rPr>
          <w:lang w:val="nl-BE"/>
        </w:rPr>
        <w:t>perception</w:t>
      </w:r>
      <w:r w:rsidRPr="00DF6680">
        <w:rPr>
          <w:lang w:val="nl-BE"/>
        </w:rPr>
        <w:t xml:space="preserve"> des risques</w:t>
      </w:r>
      <w:r w:rsidR="001A7A4F" w:rsidRPr="001A7A4F">
        <w:rPr>
          <w:lang w:val="nl-BE"/>
        </w:rPr>
        <w:t xml:space="preserve"> </w:t>
      </w:r>
      <w:r w:rsidR="001A7A4F" w:rsidRPr="00DF6680">
        <w:rPr>
          <w:lang w:val="nl-BE"/>
        </w:rPr>
        <w:t>plus réaliste</w:t>
      </w:r>
      <w:r w:rsidRPr="00DF6680">
        <w:rPr>
          <w:lang w:val="nl-BE"/>
        </w:rPr>
        <w:t xml:space="preserve">, car nous semblons sous-estimer la fragilité de la situation. </w:t>
      </w:r>
    </w:p>
    <w:p w14:paraId="4B242C7B" w14:textId="77777777" w:rsidR="00DF6680" w:rsidRPr="00DF6680" w:rsidRDefault="00DF6680" w:rsidP="00DF6680">
      <w:pPr>
        <w:rPr>
          <w:lang w:val="nl-BE"/>
        </w:rPr>
      </w:pPr>
    </w:p>
    <w:p w14:paraId="45CB3A1C" w14:textId="255626B4" w:rsidR="00DF6680" w:rsidRPr="00DF6680" w:rsidRDefault="00DF6680" w:rsidP="00D55692">
      <w:pPr>
        <w:pStyle w:val="Heading3"/>
        <w:rPr>
          <w:lang w:val="nl-BE"/>
        </w:rPr>
      </w:pPr>
      <w:r w:rsidRPr="00DF6680">
        <w:rPr>
          <w:lang w:val="nl-BE"/>
        </w:rPr>
        <w:t xml:space="preserve">Soulignez les avantages à long terme </w:t>
      </w:r>
    </w:p>
    <w:p w14:paraId="20810C54" w14:textId="708E095B" w:rsidR="00DF6680" w:rsidRPr="00DF6680" w:rsidRDefault="00DF6680" w:rsidP="00DF6680">
      <w:pPr>
        <w:rPr>
          <w:lang w:val="nl-BE"/>
        </w:rPr>
      </w:pPr>
      <w:r w:rsidRPr="00DF6680">
        <w:rPr>
          <w:lang w:val="nl-BE"/>
        </w:rPr>
        <w:t xml:space="preserve">Expliquez que la </w:t>
      </w:r>
      <w:r w:rsidR="00A30A7D">
        <w:rPr>
          <w:lang w:val="nl-BE"/>
        </w:rPr>
        <w:t>mise en place</w:t>
      </w:r>
      <w:r w:rsidRPr="00DF6680">
        <w:rPr>
          <w:lang w:val="nl-BE"/>
        </w:rPr>
        <w:t xml:space="preserve"> de mesures visant à réduire les risques est cruciale non seulement d'un point de vue médical, mais aussi d'un point de vue psychologique. En échange de mesures plus strictes, non seulement nous gagnons en sécurité, mais notre santé mentale est également moins sollicitée à long terme. Grâce à ce cadre, les mesures sont vécues comme nécessaires plutôt que comme illégitimes et/ou disproportionnées.</w:t>
      </w:r>
    </w:p>
    <w:p w14:paraId="11C2C949" w14:textId="77777777" w:rsidR="00DF6680" w:rsidRPr="00DF6680" w:rsidRDefault="00DF6680" w:rsidP="00DF6680">
      <w:pPr>
        <w:rPr>
          <w:lang w:val="nl-BE"/>
        </w:rPr>
      </w:pPr>
    </w:p>
    <w:p w14:paraId="78B0B608" w14:textId="4EF601BE" w:rsidR="00DF6680" w:rsidRPr="00DF6680" w:rsidRDefault="00DF6680" w:rsidP="00D55692">
      <w:pPr>
        <w:pStyle w:val="Heading3"/>
        <w:rPr>
          <w:lang w:val="nl-BE"/>
        </w:rPr>
      </w:pPr>
      <w:r w:rsidRPr="00DF6680">
        <w:rPr>
          <w:lang w:val="nl-BE"/>
        </w:rPr>
        <w:t>Fai</w:t>
      </w:r>
      <w:r w:rsidR="00A30A7D">
        <w:rPr>
          <w:lang w:val="nl-BE"/>
        </w:rPr>
        <w:t>tes</w:t>
      </w:r>
      <w:r w:rsidRPr="00DF6680">
        <w:rPr>
          <w:lang w:val="nl-BE"/>
        </w:rPr>
        <w:t xml:space="preserve"> des choix ciblés et fondés </w:t>
      </w:r>
    </w:p>
    <w:p w14:paraId="2E4439CF" w14:textId="23A41E7F" w:rsidR="00DF6680" w:rsidRPr="00DF6680" w:rsidRDefault="00DF6680" w:rsidP="00DF6680">
      <w:pPr>
        <w:rPr>
          <w:lang w:val="nl-BE"/>
        </w:rPr>
      </w:pPr>
      <w:r w:rsidRPr="00DF6680">
        <w:rPr>
          <w:lang w:val="nl-BE"/>
        </w:rPr>
        <w:t xml:space="preserve">Après un an de crise, la population n'accepte aucune forme de </w:t>
      </w:r>
      <w:r w:rsidR="00A30A7D">
        <w:rPr>
          <w:lang w:val="nl-BE"/>
        </w:rPr>
        <w:t>durcissement</w:t>
      </w:r>
      <w:r w:rsidRPr="00DF6680">
        <w:rPr>
          <w:lang w:val="nl-BE"/>
        </w:rPr>
        <w:t xml:space="preserve">. Avec les experts, ils ont développé une attitude critique quant aux mesures qui sont efficaces et celles qui n'ont qu'une valeur ajoutée virologique limitée et un impact psychologique élevé. </w:t>
      </w:r>
    </w:p>
    <w:p w14:paraId="7744ABD8" w14:textId="00AAE169" w:rsidR="00D55692" w:rsidRDefault="00DF6680" w:rsidP="00DF6680">
      <w:pPr>
        <w:pStyle w:val="ListParagraph"/>
        <w:numPr>
          <w:ilvl w:val="0"/>
          <w:numId w:val="15"/>
        </w:numPr>
        <w:rPr>
          <w:lang w:val="nl-BE"/>
        </w:rPr>
      </w:pPr>
      <w:r w:rsidRPr="00D55692">
        <w:rPr>
          <w:lang w:val="nl-BE"/>
        </w:rPr>
        <w:t>Interven</w:t>
      </w:r>
      <w:r w:rsidR="00A30A7D">
        <w:rPr>
          <w:lang w:val="nl-BE"/>
        </w:rPr>
        <w:t>ez</w:t>
      </w:r>
      <w:r w:rsidRPr="00D55692">
        <w:rPr>
          <w:lang w:val="nl-BE"/>
        </w:rPr>
        <w:t xml:space="preserve"> de manière ciblée et choisi</w:t>
      </w:r>
      <w:r w:rsidR="00A30A7D">
        <w:rPr>
          <w:lang w:val="nl-BE"/>
        </w:rPr>
        <w:t>ssez</w:t>
      </w:r>
      <w:r w:rsidRPr="00D55692">
        <w:rPr>
          <w:lang w:val="nl-BE"/>
        </w:rPr>
        <w:t xml:space="preserve"> </w:t>
      </w:r>
      <w:r w:rsidR="00A30A7D">
        <w:rPr>
          <w:lang w:val="nl-BE"/>
        </w:rPr>
        <w:t>ainsi</w:t>
      </w:r>
      <w:r w:rsidRPr="00D55692">
        <w:rPr>
          <w:lang w:val="nl-BE"/>
        </w:rPr>
        <w:t xml:space="preserve"> qui ont une fonction de signal. Tout comme l'ouverture des coiffeurs a favorisé la perception de la sécurité et la démotivation (voir rapport n°24), la fermeture des coiffeurs peut indiquer la gravité de la situation. Accorder une semaine de réflexion dans le domaine de l'éducation peut également constituer un signal fort. En novembre, le soutien motivationnel a atteint son point culminant lors du deuxième confinement. </w:t>
      </w:r>
    </w:p>
    <w:p w14:paraId="31B343DD" w14:textId="1B826447" w:rsidR="00DF6680" w:rsidRPr="00D55692" w:rsidRDefault="00DF6680" w:rsidP="00DF6680">
      <w:pPr>
        <w:pStyle w:val="ListParagraph"/>
        <w:numPr>
          <w:ilvl w:val="0"/>
          <w:numId w:val="15"/>
        </w:numPr>
        <w:rPr>
          <w:lang w:val="nl-BE"/>
        </w:rPr>
      </w:pPr>
      <w:r w:rsidRPr="00D55692">
        <w:rPr>
          <w:lang w:val="nl-BE"/>
        </w:rPr>
        <w:t>Fourni</w:t>
      </w:r>
      <w:r w:rsidR="00A30A7D">
        <w:rPr>
          <w:lang w:val="nl-BE"/>
        </w:rPr>
        <w:t>sez</w:t>
      </w:r>
      <w:r w:rsidRPr="00D55692">
        <w:rPr>
          <w:lang w:val="nl-BE"/>
        </w:rPr>
        <w:t xml:space="preserve"> un ensemble de mesures cohérent sur le plan interne. Applique</w:t>
      </w:r>
      <w:r w:rsidR="00A30A7D">
        <w:rPr>
          <w:lang w:val="nl-BE"/>
        </w:rPr>
        <w:t>z</w:t>
      </w:r>
      <w:r w:rsidRPr="00D55692">
        <w:rPr>
          <w:lang w:val="nl-BE"/>
        </w:rPr>
        <w:t xml:space="preserve"> de manière cohérente quelques principes virologiques de base (par exemple</w:t>
      </w:r>
      <w:r w:rsidR="00A30A7D">
        <w:rPr>
          <w:lang w:val="nl-BE"/>
        </w:rPr>
        <w:t>: à l’extérieur, à l’extérieur, à l’extérieur</w:t>
      </w:r>
      <w:r w:rsidRPr="00D55692">
        <w:rPr>
          <w:lang w:val="nl-BE"/>
        </w:rPr>
        <w:t>). Par exemple, si un groupe extérieur de 10 personnes est autorisé, il est préférable de maintenir ce principe pour les adultes et les enfants.</w:t>
      </w:r>
    </w:p>
    <w:p w14:paraId="26D726CD" w14:textId="21C4EC69" w:rsidR="00DF6680" w:rsidRPr="00100AB0" w:rsidRDefault="00DF6680" w:rsidP="00D55692">
      <w:pPr>
        <w:pStyle w:val="Heading3"/>
        <w:rPr>
          <w:lang w:val="en-US"/>
        </w:rPr>
      </w:pPr>
      <w:r w:rsidRPr="00100AB0">
        <w:rPr>
          <w:lang w:val="en-US"/>
        </w:rPr>
        <w:lastRenderedPageBreak/>
        <w:t>Confirmer la confiance dans la population et dans les mesures</w:t>
      </w:r>
    </w:p>
    <w:p w14:paraId="1FBC43F2" w14:textId="41C20FDD" w:rsidR="00DF6680" w:rsidRPr="00100AB0" w:rsidRDefault="00DF6680" w:rsidP="00DF6680">
      <w:pPr>
        <w:rPr>
          <w:lang w:val="en-US"/>
        </w:rPr>
      </w:pPr>
      <w:r w:rsidRPr="00100AB0">
        <w:rPr>
          <w:lang w:val="en-US"/>
        </w:rPr>
        <w:t xml:space="preserve">Donnez un message socialement </w:t>
      </w:r>
      <w:r w:rsidR="00A30A7D" w:rsidRPr="00100AB0">
        <w:rPr>
          <w:lang w:val="en-US"/>
        </w:rPr>
        <w:t>fédérateur</w:t>
      </w:r>
      <w:r w:rsidRPr="00100AB0">
        <w:rPr>
          <w:lang w:val="en-US"/>
        </w:rPr>
        <w:t xml:space="preserve"> qui met l'accent sur un objectif commun que nous pouvons atteindre ensemble. </w:t>
      </w:r>
      <w:r w:rsidR="00A30A7D" w:rsidRPr="00100AB0">
        <w:rPr>
          <w:lang w:val="en-US"/>
        </w:rPr>
        <w:t>Prenez</w:t>
      </w:r>
      <w:r w:rsidRPr="00100AB0">
        <w:rPr>
          <w:lang w:val="en-US"/>
        </w:rPr>
        <w:t xml:space="preserve"> un rôle de coach par le biais de moments de communication fixes au cours desquels le Premier ministre/ministre et des experts décrivent la situation, indiquent la direction dans laquelle nous allons, les ajustements nécessaires, les effets si nous le faisons ou ne le faisons pas (par le biais de graphiques didactiques), et laisse</w:t>
      </w:r>
      <w:r w:rsidR="00A30A7D" w:rsidRPr="00100AB0">
        <w:rPr>
          <w:lang w:val="en-US"/>
        </w:rPr>
        <w:t>z</w:t>
      </w:r>
      <w:r w:rsidRPr="00100AB0">
        <w:rPr>
          <w:lang w:val="en-US"/>
        </w:rPr>
        <w:t xml:space="preserve"> la parole </w:t>
      </w:r>
      <w:r w:rsidR="00A30A7D" w:rsidRPr="00100AB0">
        <w:rPr>
          <w:lang w:val="en-US"/>
        </w:rPr>
        <w:t>à des</w:t>
      </w:r>
      <w:r w:rsidRPr="00100AB0">
        <w:rPr>
          <w:lang w:val="en-US"/>
        </w:rPr>
        <w:t xml:space="preserve"> personnes </w:t>
      </w:r>
      <w:r w:rsidR="00A30A7D" w:rsidRPr="00100AB0">
        <w:rPr>
          <w:lang w:val="en-US"/>
        </w:rPr>
        <w:t>auxquelles on s’identifie, que l’on reconnaît,</w:t>
      </w:r>
      <w:r w:rsidRPr="00100AB0">
        <w:rPr>
          <w:lang w:val="en-US"/>
        </w:rPr>
        <w:t xml:space="preserve"> avec leurs questions, leurs difficultés, </w:t>
      </w:r>
      <w:r w:rsidR="00A30A7D" w:rsidRPr="00100AB0">
        <w:rPr>
          <w:lang w:val="en-US"/>
        </w:rPr>
        <w:t>d</w:t>
      </w:r>
      <w:r w:rsidRPr="00100AB0">
        <w:rPr>
          <w:lang w:val="en-US"/>
        </w:rPr>
        <w:t xml:space="preserve">es bons exemples et </w:t>
      </w:r>
      <w:r w:rsidR="00A30A7D" w:rsidRPr="00100AB0">
        <w:rPr>
          <w:lang w:val="en-US"/>
        </w:rPr>
        <w:t>d</w:t>
      </w:r>
      <w:r w:rsidRPr="00100AB0">
        <w:rPr>
          <w:lang w:val="en-US"/>
        </w:rPr>
        <w:t xml:space="preserve">es histoires d'actions </w:t>
      </w:r>
      <w:r w:rsidR="00A30A7D" w:rsidRPr="00100AB0">
        <w:rPr>
          <w:lang w:val="en-US"/>
        </w:rPr>
        <w:t>qui créent du lien social</w:t>
      </w:r>
      <w:r w:rsidRPr="00100AB0">
        <w:rPr>
          <w:lang w:val="en-US"/>
        </w:rPr>
        <w:t xml:space="preserve">. </w:t>
      </w:r>
    </w:p>
    <w:p w14:paraId="5EBDD52F" w14:textId="77777777" w:rsidR="00D55692" w:rsidRPr="00100AB0" w:rsidRDefault="00D55692" w:rsidP="00DF6680">
      <w:pPr>
        <w:rPr>
          <w:lang w:val="en-US"/>
        </w:rPr>
      </w:pPr>
    </w:p>
    <w:p w14:paraId="1487659F" w14:textId="5A03CC34" w:rsidR="00DF6680" w:rsidRPr="00100AB0" w:rsidRDefault="00DF6680" w:rsidP="00D55692">
      <w:pPr>
        <w:pStyle w:val="Heading3"/>
        <w:rPr>
          <w:lang w:val="en-US"/>
        </w:rPr>
      </w:pPr>
      <w:r w:rsidRPr="00100AB0">
        <w:rPr>
          <w:lang w:val="en-US"/>
        </w:rPr>
        <w:t xml:space="preserve">Offrir une perspective axée sur les objectifs plutôt que sur le temps. </w:t>
      </w:r>
    </w:p>
    <w:p w14:paraId="29523BE9" w14:textId="66C34EDF" w:rsidR="00DF6680" w:rsidRPr="00DF6680" w:rsidRDefault="00DF6680" w:rsidP="00DF6680">
      <w:pPr>
        <w:rPr>
          <w:lang w:val="nl-BE"/>
        </w:rPr>
      </w:pPr>
      <w:r w:rsidRPr="00DF6680">
        <w:rPr>
          <w:lang w:val="nl-BE"/>
        </w:rPr>
        <w:t xml:space="preserve">Évitez de faire des promesses limitées dans le temps concernant la durée des mesures plus strictes qui ne pourront être appliquées ultérieurement. Optez pour une perspective liée à l'objectif, dans laquelle un calendrier estimatif est donné. Indiquez les étapes intermédiaires si la perspective finale liée à l'objectif couvre une période trop longue. Soulignez l'importance de notre comportement comme facteur clé pour atteindre cet objectif. Présentez des graphiques "si-alors" montrant comment différents degrés </w:t>
      </w:r>
      <w:r w:rsidR="001A7A4F">
        <w:rPr>
          <w:lang w:val="nl-BE"/>
        </w:rPr>
        <w:t>d</w:t>
      </w:r>
      <w:r w:rsidRPr="00DF6680">
        <w:rPr>
          <w:lang w:val="nl-BE"/>
        </w:rPr>
        <w:t>'appli</w:t>
      </w:r>
      <w:r w:rsidR="001A7A4F">
        <w:rPr>
          <w:lang w:val="nl-BE"/>
        </w:rPr>
        <w:t xml:space="preserve">- </w:t>
      </w:r>
      <w:r w:rsidRPr="00DF6680">
        <w:rPr>
          <w:lang w:val="nl-BE"/>
        </w:rPr>
        <w:t xml:space="preserve">cation des mesures permettront d'atteindre </w:t>
      </w:r>
      <w:r w:rsidR="001A7A4F">
        <w:rPr>
          <w:lang w:val="nl-BE"/>
        </w:rPr>
        <w:t>l’</w:t>
      </w:r>
      <w:r w:rsidRPr="00DF6680">
        <w:rPr>
          <w:lang w:val="nl-BE"/>
        </w:rPr>
        <w:t xml:space="preserve">objectif plus rapidement ou plus lentement. </w:t>
      </w:r>
    </w:p>
    <w:p w14:paraId="02A56910" w14:textId="2F384DB8" w:rsidR="00D55692" w:rsidRPr="00DF6680" w:rsidRDefault="00D55692" w:rsidP="00DF6680">
      <w:pPr>
        <w:rPr>
          <w:lang w:val="nl-BE"/>
        </w:rPr>
      </w:pPr>
    </w:p>
    <w:p w14:paraId="13FDFC95" w14:textId="7AECD381" w:rsidR="00DF6680" w:rsidRPr="00D55692" w:rsidRDefault="00DF6680" w:rsidP="00DF6680">
      <w:pPr>
        <w:rPr>
          <w:sz w:val="18"/>
          <w:szCs w:val="18"/>
          <w:lang w:val="nl-BE"/>
        </w:rPr>
      </w:pPr>
      <w:r w:rsidRPr="00D55692">
        <w:rPr>
          <w:i/>
          <w:iCs/>
          <w:sz w:val="18"/>
          <w:szCs w:val="18"/>
          <w:lang w:val="nl-BE"/>
        </w:rPr>
        <w:t>Figure 1</w:t>
      </w:r>
      <w:r w:rsidR="00D55692" w:rsidRPr="00D55692">
        <w:rPr>
          <w:i/>
          <w:iCs/>
          <w:sz w:val="18"/>
          <w:szCs w:val="18"/>
          <w:lang w:val="nl-BE"/>
        </w:rPr>
        <w:t xml:space="preserve">. </w:t>
      </w:r>
      <w:r w:rsidRPr="00D55692">
        <w:rPr>
          <w:sz w:val="18"/>
          <w:szCs w:val="18"/>
          <w:lang w:val="nl-BE"/>
        </w:rPr>
        <w:t>Évolution du soutien motivationnel</w:t>
      </w:r>
    </w:p>
    <w:p w14:paraId="11CF9FE5" w14:textId="602F901A" w:rsidR="00DF6680" w:rsidRPr="00D55692" w:rsidRDefault="00DF6680" w:rsidP="00DF6680">
      <w:pPr>
        <w:rPr>
          <w:sz w:val="18"/>
          <w:szCs w:val="18"/>
          <w:lang w:val="nl-BE"/>
        </w:rPr>
      </w:pPr>
      <w:r w:rsidRPr="00D55692">
        <w:rPr>
          <w:sz w:val="18"/>
          <w:szCs w:val="18"/>
          <w:lang w:val="nl-BE"/>
        </w:rPr>
        <w:t xml:space="preserve"> </w:t>
      </w:r>
      <w:r w:rsidR="00D55692" w:rsidRPr="00D55692">
        <w:rPr>
          <w:noProof/>
          <w:sz w:val="18"/>
          <w:szCs w:val="18"/>
        </w:rPr>
        <w:drawing>
          <wp:inline distT="0" distB="0" distL="0" distR="0" wp14:anchorId="1BB80F96" wp14:editId="565A1C3B">
            <wp:extent cx="5730943" cy="16519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30943" cy="1651935"/>
                    </a:xfrm>
                    <a:prstGeom prst="rect">
                      <a:avLst/>
                    </a:prstGeom>
                    <a:noFill/>
                    <a:ln>
                      <a:noFill/>
                    </a:ln>
                  </pic:spPr>
                </pic:pic>
              </a:graphicData>
            </a:graphic>
          </wp:inline>
        </w:drawing>
      </w:r>
    </w:p>
    <w:p w14:paraId="5394F340" w14:textId="77777777" w:rsidR="00D55692" w:rsidRPr="00D55692" w:rsidRDefault="00D55692" w:rsidP="00DF6680">
      <w:pPr>
        <w:rPr>
          <w:sz w:val="18"/>
          <w:szCs w:val="18"/>
          <w:lang w:val="nl-BE"/>
        </w:rPr>
      </w:pPr>
    </w:p>
    <w:p w14:paraId="643096E1" w14:textId="5D806AF0" w:rsidR="00DF6680" w:rsidRPr="00100AB0" w:rsidRDefault="00DF6680" w:rsidP="00DF6680">
      <w:pPr>
        <w:rPr>
          <w:sz w:val="18"/>
          <w:szCs w:val="18"/>
          <w:lang w:val="en-US"/>
        </w:rPr>
      </w:pPr>
      <w:r w:rsidRPr="00100AB0">
        <w:rPr>
          <w:i/>
          <w:iCs/>
          <w:sz w:val="18"/>
          <w:szCs w:val="18"/>
          <w:lang w:val="en-US"/>
        </w:rPr>
        <w:t>Figure 2</w:t>
      </w:r>
      <w:r w:rsidR="00100AB0">
        <w:rPr>
          <w:i/>
          <w:iCs/>
          <w:sz w:val="18"/>
          <w:szCs w:val="18"/>
          <w:lang w:val="en-US"/>
        </w:rPr>
        <w:t>:</w:t>
      </w:r>
      <w:r w:rsidR="00D55692" w:rsidRPr="00100AB0">
        <w:rPr>
          <w:i/>
          <w:iCs/>
          <w:sz w:val="18"/>
          <w:szCs w:val="18"/>
          <w:lang w:val="en-US"/>
        </w:rPr>
        <w:t xml:space="preserve"> </w:t>
      </w:r>
      <w:r w:rsidRPr="00100AB0">
        <w:rPr>
          <w:sz w:val="18"/>
          <w:szCs w:val="18"/>
          <w:lang w:val="en-US"/>
        </w:rPr>
        <w:t>Évolution de la perception des risques</w:t>
      </w:r>
    </w:p>
    <w:p w14:paraId="371925C2" w14:textId="739281AD" w:rsidR="00DF6680" w:rsidRPr="00DF6680" w:rsidRDefault="00D55692" w:rsidP="00DF6680">
      <w:pPr>
        <w:rPr>
          <w:lang w:val="nl-BE"/>
        </w:rPr>
      </w:pPr>
      <w:r>
        <w:rPr>
          <w:noProof/>
        </w:rPr>
        <w:drawing>
          <wp:inline distT="0" distB="0" distL="0" distR="0" wp14:anchorId="5685B12C" wp14:editId="5FE62371">
            <wp:extent cx="6308984" cy="2638697"/>
            <wp:effectExtent l="0" t="0" r="317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3540" b="12829"/>
                    <a:stretch/>
                  </pic:blipFill>
                  <pic:spPr bwMode="auto">
                    <a:xfrm>
                      <a:off x="0" y="0"/>
                      <a:ext cx="6337126" cy="2650467"/>
                    </a:xfrm>
                    <a:prstGeom prst="rect">
                      <a:avLst/>
                    </a:prstGeom>
                    <a:noFill/>
                    <a:ln>
                      <a:noFill/>
                    </a:ln>
                    <a:extLst>
                      <a:ext uri="{53640926-AAD7-44D8-BBD7-CCE9431645EC}">
                        <a14:shadowObscured xmlns:a14="http://schemas.microsoft.com/office/drawing/2010/main"/>
                      </a:ext>
                    </a:extLst>
                  </pic:spPr>
                </pic:pic>
              </a:graphicData>
            </a:graphic>
          </wp:inline>
        </w:drawing>
      </w:r>
    </w:p>
    <w:p w14:paraId="5FDBB9A5" w14:textId="45965DC2" w:rsidR="007D5263" w:rsidRDefault="007D5263" w:rsidP="00C82F70">
      <w:pPr>
        <w:rPr>
          <w:rFonts w:eastAsia="Times New Roman" w:cs="Times New Roman"/>
          <w:b/>
          <w:caps/>
          <w:color w:val="FFFFFF" w:themeColor="background1"/>
          <w:spacing w:val="20"/>
          <w:kern w:val="28"/>
          <w:lang w:val="nl-NL"/>
        </w:rPr>
      </w:pPr>
      <w:r w:rsidRPr="000F221B">
        <w:rPr>
          <w:noProof/>
          <w:lang w:bidi="en-GB"/>
        </w:rPr>
        <w:lastRenderedPageBreak/>
        <mc:AlternateContent>
          <mc:Choice Requires="wps">
            <w:drawing>
              <wp:inline distT="0" distB="0" distL="0" distR="0" wp14:anchorId="7495AA0F" wp14:editId="7215B48B">
                <wp:extent cx="5976730" cy="5444359"/>
                <wp:effectExtent l="0" t="0" r="5080" b="4445"/>
                <wp:docPr id="19" name="Rectangle 19" descr="coloured rectangle"/>
                <wp:cNvGraphicFramePr/>
                <a:graphic xmlns:a="http://schemas.openxmlformats.org/drawingml/2006/main">
                  <a:graphicData uri="http://schemas.microsoft.com/office/word/2010/wordprocessingShape">
                    <wps:wsp>
                      <wps:cNvSpPr/>
                      <wps:spPr>
                        <a:xfrm>
                          <a:off x="0" y="0"/>
                          <a:ext cx="5976730" cy="5444359"/>
                        </a:xfrm>
                        <a:prstGeom prst="rect">
                          <a:avLst/>
                        </a:prstGeom>
                        <a:solidFill>
                          <a:srgbClr val="0070C0">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DF2E1E" w14:textId="0C417EDA" w:rsidR="000C74FD" w:rsidRDefault="007D5263" w:rsidP="000C74FD">
                            <w:pPr>
                              <w:pStyle w:val="Heading4"/>
                              <w:rPr>
                                <w:color w:val="FFFFFF" w:themeColor="background1"/>
                                <w:lang w:val="nl-NL"/>
                              </w:rPr>
                            </w:pPr>
                            <w:r w:rsidRPr="00F3166B">
                              <w:rPr>
                                <w:color w:val="FFFFFF" w:themeColor="background1"/>
                                <w:lang w:val="nl-NL"/>
                              </w:rPr>
                              <w:t>Coordonnées de contact</w:t>
                            </w:r>
                          </w:p>
                          <w:p w14:paraId="47AC2592" w14:textId="77777777" w:rsidR="000C74FD" w:rsidRDefault="000C74FD" w:rsidP="000C74FD">
                            <w:pPr>
                              <w:pStyle w:val="Heading4"/>
                              <w:rPr>
                                <w:color w:val="FFFFFF" w:themeColor="background1"/>
                                <w:lang w:val="nl-NL"/>
                              </w:rPr>
                            </w:pPr>
                          </w:p>
                          <w:p w14:paraId="06CC1996" w14:textId="0AF5ED6C" w:rsidR="000C74FD" w:rsidRPr="00C82F70" w:rsidRDefault="000C74FD" w:rsidP="000C74FD">
                            <w:pPr>
                              <w:pStyle w:val="ListParagraph"/>
                              <w:numPr>
                                <w:ilvl w:val="0"/>
                                <w:numId w:val="1"/>
                              </w:numPr>
                              <w:spacing w:line="360" w:lineRule="auto"/>
                              <w:rPr>
                                <w:b/>
                                <w:bCs/>
                                <w:color w:val="FFFFFF" w:themeColor="background1"/>
                                <w:sz w:val="22"/>
                                <w:szCs w:val="21"/>
                                <w:lang w:val="nl-NL"/>
                              </w:rPr>
                            </w:pPr>
                            <w:r w:rsidRPr="00C82F70">
                              <w:rPr>
                                <w:b/>
                                <w:bCs/>
                                <w:color w:val="FFFFFF" w:themeColor="background1"/>
                                <w:sz w:val="22"/>
                                <w:szCs w:val="21"/>
                                <w:lang w:val="nl-NL"/>
                              </w:rPr>
                              <w:t>Chercheur principal</w:t>
                            </w:r>
                            <w:r w:rsidR="00100AB0">
                              <w:rPr>
                                <w:b/>
                                <w:bCs/>
                                <w:color w:val="FFFFFF" w:themeColor="background1"/>
                                <w:sz w:val="22"/>
                                <w:szCs w:val="21"/>
                                <w:lang w:val="nl-NL"/>
                              </w:rPr>
                              <w:t>:</w:t>
                            </w:r>
                            <w:r w:rsidRPr="00C82F70">
                              <w:rPr>
                                <w:b/>
                                <w:bCs/>
                                <w:color w:val="FFFFFF" w:themeColor="background1"/>
                                <w:sz w:val="22"/>
                                <w:szCs w:val="21"/>
                                <w:lang w:val="nl-NL"/>
                              </w:rPr>
                              <w:t xml:space="preserve"> </w:t>
                            </w:r>
                          </w:p>
                          <w:p w14:paraId="0FB8B26D" w14:textId="6BF583D5" w:rsidR="000C74FD" w:rsidRDefault="007D5263" w:rsidP="000C74FD">
                            <w:pPr>
                              <w:pStyle w:val="ListParagraph"/>
                              <w:spacing w:line="360" w:lineRule="auto"/>
                              <w:rPr>
                                <w:color w:val="FFFFFF" w:themeColor="background1"/>
                                <w:sz w:val="22"/>
                                <w:szCs w:val="21"/>
                                <w:lang w:val="nl-NL"/>
                              </w:rPr>
                            </w:pPr>
                            <w:r w:rsidRPr="000C74FD">
                              <w:rPr>
                                <w:color w:val="FFFFFF" w:themeColor="background1"/>
                                <w:sz w:val="22"/>
                                <w:szCs w:val="21"/>
                                <w:lang w:val="nl-NL"/>
                              </w:rPr>
                              <w:t>Prof. Dr. Maarten Vansteenkiste (Maarten.Vansteenkiste@ugent.be)</w:t>
                            </w:r>
                          </w:p>
                          <w:p w14:paraId="44CF624A" w14:textId="77777777" w:rsidR="005A2EC6" w:rsidRDefault="005A2EC6" w:rsidP="000C74FD">
                            <w:pPr>
                              <w:pStyle w:val="ListParagraph"/>
                              <w:spacing w:line="360" w:lineRule="auto"/>
                              <w:rPr>
                                <w:color w:val="FFFFFF" w:themeColor="background1"/>
                                <w:sz w:val="22"/>
                                <w:szCs w:val="21"/>
                                <w:lang w:val="nl-NL"/>
                              </w:rPr>
                            </w:pPr>
                          </w:p>
                          <w:p w14:paraId="1E959FED" w14:textId="3D89F80C" w:rsidR="003D7352" w:rsidRPr="00C82F70" w:rsidRDefault="001A7A4F" w:rsidP="003D7352">
                            <w:pPr>
                              <w:pStyle w:val="ListParagraph"/>
                              <w:numPr>
                                <w:ilvl w:val="0"/>
                                <w:numId w:val="1"/>
                              </w:numPr>
                              <w:spacing w:line="360" w:lineRule="auto"/>
                              <w:rPr>
                                <w:b/>
                                <w:bCs/>
                                <w:color w:val="FFFFFF" w:themeColor="background1"/>
                                <w:sz w:val="22"/>
                                <w:szCs w:val="21"/>
                                <w:lang w:val="nl-NL"/>
                              </w:rPr>
                            </w:pPr>
                            <w:r>
                              <w:rPr>
                                <w:b/>
                                <w:bCs/>
                                <w:color w:val="FFFFFF" w:themeColor="background1"/>
                                <w:sz w:val="22"/>
                                <w:szCs w:val="21"/>
                                <w:lang w:val="nl-NL"/>
                              </w:rPr>
                              <w:t>Chercheurs collaborateurs</w:t>
                            </w:r>
                            <w:r w:rsidR="00100AB0">
                              <w:rPr>
                                <w:b/>
                                <w:bCs/>
                                <w:color w:val="FFFFFF" w:themeColor="background1"/>
                                <w:sz w:val="22"/>
                                <w:szCs w:val="21"/>
                                <w:lang w:val="nl-NL"/>
                              </w:rPr>
                              <w:t>:</w:t>
                            </w:r>
                            <w:r w:rsidR="003D7352" w:rsidRPr="00C82F70">
                              <w:rPr>
                                <w:b/>
                                <w:bCs/>
                                <w:color w:val="FFFFFF" w:themeColor="background1"/>
                                <w:sz w:val="22"/>
                                <w:szCs w:val="21"/>
                                <w:lang w:val="nl-NL"/>
                              </w:rPr>
                              <w:t xml:space="preserve"> </w:t>
                            </w:r>
                          </w:p>
                          <w:p w14:paraId="273D1865" w14:textId="6403E3E9" w:rsidR="00976BBA" w:rsidRDefault="003D7352" w:rsidP="00976BBA">
                            <w:pPr>
                              <w:pStyle w:val="ListParagraph"/>
                              <w:spacing w:line="360" w:lineRule="auto"/>
                              <w:rPr>
                                <w:color w:val="FFFFFF" w:themeColor="background1"/>
                                <w:sz w:val="22"/>
                                <w:szCs w:val="21"/>
                                <w:lang w:val="nl-NL"/>
                              </w:rPr>
                            </w:pPr>
                            <w:r w:rsidRPr="000C74FD">
                              <w:rPr>
                                <w:color w:val="FFFFFF" w:themeColor="background1"/>
                                <w:sz w:val="22"/>
                                <w:szCs w:val="21"/>
                                <w:lang w:val="nl-NL"/>
                              </w:rPr>
                              <w:t xml:space="preserve">Prof. Dr. </w:t>
                            </w:r>
                            <w:r>
                              <w:rPr>
                                <w:color w:val="FFFFFF" w:themeColor="background1"/>
                                <w:sz w:val="22"/>
                                <w:szCs w:val="21"/>
                                <w:lang w:val="nl-NL"/>
                              </w:rPr>
                              <w:t xml:space="preserve">Omer Van den Bergh </w:t>
                            </w:r>
                            <w:r w:rsidRPr="000C74FD">
                              <w:rPr>
                                <w:color w:val="FFFFFF" w:themeColor="background1"/>
                                <w:sz w:val="22"/>
                                <w:szCs w:val="21"/>
                                <w:lang w:val="nl-NL"/>
                              </w:rPr>
                              <w:t>(</w:t>
                            </w:r>
                            <w:r w:rsidR="00976BBA">
                              <w:rPr>
                                <w:color w:val="FFFFFF" w:themeColor="background1"/>
                                <w:sz w:val="22"/>
                                <w:szCs w:val="21"/>
                                <w:lang w:val="nl-NL"/>
                              </w:rPr>
                              <w:t xml:space="preserve">Omer. </w:t>
                            </w:r>
                            <w:r w:rsidRPr="003D7352">
                              <w:rPr>
                                <w:color w:val="FFFFFF" w:themeColor="background1"/>
                                <w:sz w:val="22"/>
                                <w:szCs w:val="21"/>
                                <w:lang w:val="nl-NL"/>
                              </w:rPr>
                              <w:t>Vandenbergh@kuleuven.</w:t>
                            </w:r>
                            <w:r w:rsidR="00976BBA">
                              <w:rPr>
                                <w:color w:val="FFFFFF" w:themeColor="background1"/>
                                <w:sz w:val="22"/>
                                <w:szCs w:val="21"/>
                                <w:lang w:val="nl-NL"/>
                              </w:rPr>
                              <w:t>be)</w:t>
                            </w:r>
                          </w:p>
                          <w:p w14:paraId="313D3A0B" w14:textId="7667D844" w:rsidR="00976BBA" w:rsidRDefault="00976BBA" w:rsidP="00976BBA">
                            <w:pPr>
                              <w:pStyle w:val="ListParagraph"/>
                              <w:spacing w:line="360" w:lineRule="auto"/>
                              <w:rPr>
                                <w:color w:val="FFFFFF" w:themeColor="background1"/>
                                <w:sz w:val="22"/>
                                <w:szCs w:val="21"/>
                                <w:lang w:val="nl-NL"/>
                              </w:rPr>
                            </w:pPr>
                            <w:r>
                              <w:rPr>
                                <w:color w:val="FFFFFF" w:themeColor="background1"/>
                                <w:sz w:val="22"/>
                                <w:szCs w:val="21"/>
                                <w:lang w:val="nl-NL"/>
                              </w:rPr>
                              <w:t>Prof. Dr. Olivier Klein (Olivier.Klein@ulb.be)</w:t>
                            </w:r>
                          </w:p>
                          <w:p w14:paraId="3BAFC99E" w14:textId="5E077291" w:rsidR="00976BBA" w:rsidRPr="00976BBA" w:rsidRDefault="00976BBA" w:rsidP="00976BBA">
                            <w:pPr>
                              <w:pStyle w:val="ListParagraph"/>
                              <w:spacing w:line="360" w:lineRule="auto"/>
                              <w:rPr>
                                <w:color w:val="FFFFFF" w:themeColor="background1"/>
                                <w:sz w:val="22"/>
                                <w:szCs w:val="21"/>
                                <w:lang w:val="en-US"/>
                              </w:rPr>
                            </w:pPr>
                            <w:r w:rsidRPr="00976BBA">
                              <w:rPr>
                                <w:color w:val="FFFFFF" w:themeColor="background1"/>
                                <w:sz w:val="22"/>
                                <w:szCs w:val="21"/>
                                <w:lang w:val="en-US"/>
                              </w:rPr>
                              <w:t>Prof. Dr. Olivier Luminet (Olivier. Luminet@uclouvain.be)</w:t>
                            </w:r>
                          </w:p>
                          <w:p w14:paraId="0FF944CC" w14:textId="6CC12AF7" w:rsidR="00976BBA" w:rsidRDefault="00976BBA" w:rsidP="00976BBA">
                            <w:pPr>
                              <w:pStyle w:val="ListParagraph"/>
                              <w:spacing w:line="360" w:lineRule="auto"/>
                              <w:rPr>
                                <w:color w:val="FFFFFF" w:themeColor="background1"/>
                                <w:sz w:val="22"/>
                                <w:szCs w:val="21"/>
                                <w:lang w:val="nl-NL"/>
                              </w:rPr>
                            </w:pPr>
                            <w:r>
                              <w:rPr>
                                <w:color w:val="FFFFFF" w:themeColor="background1"/>
                                <w:sz w:val="22"/>
                                <w:szCs w:val="21"/>
                                <w:lang w:val="nl-NL"/>
                              </w:rPr>
                              <w:t>Prof. Dr. Vincent Yzerbyt (Vincent.Yzerbyt@uclouvain.be)</w:t>
                            </w:r>
                          </w:p>
                          <w:p w14:paraId="499A499B" w14:textId="77777777" w:rsidR="005A2EC6" w:rsidRPr="00976BBA" w:rsidRDefault="005A2EC6" w:rsidP="00976BBA">
                            <w:pPr>
                              <w:pStyle w:val="ListParagraph"/>
                              <w:spacing w:line="360" w:lineRule="auto"/>
                              <w:rPr>
                                <w:color w:val="FFFFFF" w:themeColor="background1"/>
                                <w:sz w:val="22"/>
                                <w:szCs w:val="21"/>
                                <w:lang w:val="nl-NL"/>
                              </w:rPr>
                            </w:pPr>
                          </w:p>
                          <w:p w14:paraId="20AB3F3F" w14:textId="4FFB0D45" w:rsidR="000C74FD" w:rsidRPr="00100AB0" w:rsidRDefault="001A7A4F" w:rsidP="000C74FD">
                            <w:pPr>
                              <w:pStyle w:val="ListParagraph"/>
                              <w:numPr>
                                <w:ilvl w:val="0"/>
                                <w:numId w:val="1"/>
                              </w:numPr>
                              <w:spacing w:line="360" w:lineRule="auto"/>
                              <w:rPr>
                                <w:b/>
                                <w:bCs/>
                                <w:color w:val="FFFFFF" w:themeColor="background1"/>
                                <w:sz w:val="22"/>
                                <w:szCs w:val="21"/>
                                <w:lang w:val="en-US"/>
                              </w:rPr>
                            </w:pPr>
                            <w:r w:rsidRPr="00100AB0">
                              <w:rPr>
                                <w:b/>
                                <w:bCs/>
                                <w:color w:val="FFFFFF" w:themeColor="background1"/>
                                <w:sz w:val="22"/>
                                <w:szCs w:val="21"/>
                                <w:lang w:val="en-US"/>
                              </w:rPr>
                              <w:t>Gestion et diffusion du questionnaire</w:t>
                            </w:r>
                            <w:r w:rsidR="00100AB0">
                              <w:rPr>
                                <w:b/>
                                <w:bCs/>
                                <w:color w:val="FFFFFF" w:themeColor="background1"/>
                                <w:sz w:val="22"/>
                                <w:szCs w:val="21"/>
                                <w:lang w:val="en-US"/>
                              </w:rPr>
                              <w:t>:</w:t>
                            </w:r>
                          </w:p>
                          <w:p w14:paraId="7C4C2E92" w14:textId="09180410" w:rsidR="000C74FD" w:rsidRDefault="007D5263" w:rsidP="000C74FD">
                            <w:pPr>
                              <w:pStyle w:val="ListParagraph"/>
                              <w:spacing w:line="360" w:lineRule="auto"/>
                              <w:rPr>
                                <w:color w:val="FFFFFF" w:themeColor="background1"/>
                                <w:sz w:val="22"/>
                                <w:szCs w:val="21"/>
                                <w:lang w:val="nl-BE"/>
                              </w:rPr>
                            </w:pPr>
                            <w:r w:rsidRPr="000C74FD">
                              <w:rPr>
                                <w:color w:val="FFFFFF" w:themeColor="background1"/>
                                <w:sz w:val="22"/>
                                <w:szCs w:val="21"/>
                                <w:lang w:val="nl-BE"/>
                              </w:rPr>
                              <w:t>Drs Sofie Morbee (Sofie.Morbee@ugent.be)</w:t>
                            </w:r>
                          </w:p>
                          <w:p w14:paraId="7960868B" w14:textId="457DB741" w:rsidR="00976BBA" w:rsidRDefault="00976BBA" w:rsidP="000C74FD">
                            <w:pPr>
                              <w:pStyle w:val="ListParagraph"/>
                              <w:spacing w:line="360" w:lineRule="auto"/>
                              <w:rPr>
                                <w:color w:val="FFFFFF" w:themeColor="background1"/>
                                <w:sz w:val="22"/>
                                <w:szCs w:val="21"/>
                                <w:lang w:val="nl-BE"/>
                              </w:rPr>
                            </w:pPr>
                            <w:r>
                              <w:rPr>
                                <w:color w:val="FFFFFF" w:themeColor="background1"/>
                                <w:sz w:val="22"/>
                                <w:szCs w:val="21"/>
                                <w:lang w:val="nl-BE"/>
                              </w:rPr>
                              <w:t>Drs Pascaline Van Oost (Pascaline.Vanoost@uclouvain.be)</w:t>
                            </w:r>
                          </w:p>
                          <w:p w14:paraId="02EC00D9" w14:textId="77777777" w:rsidR="005A2EC6" w:rsidRPr="000C74FD" w:rsidRDefault="005A2EC6" w:rsidP="000C74FD">
                            <w:pPr>
                              <w:pStyle w:val="ListParagraph"/>
                              <w:spacing w:line="360" w:lineRule="auto"/>
                              <w:rPr>
                                <w:color w:val="FFFFFF" w:themeColor="background1"/>
                                <w:sz w:val="22"/>
                                <w:szCs w:val="21"/>
                                <w:lang w:val="nl-BE"/>
                              </w:rPr>
                            </w:pPr>
                          </w:p>
                          <w:p w14:paraId="36F689B4" w14:textId="3C6F2F93" w:rsidR="000C74FD" w:rsidRPr="00C82F70" w:rsidRDefault="007D5263" w:rsidP="000C74FD">
                            <w:pPr>
                              <w:pStyle w:val="ListParagraph"/>
                              <w:numPr>
                                <w:ilvl w:val="0"/>
                                <w:numId w:val="1"/>
                              </w:numPr>
                              <w:spacing w:line="360" w:lineRule="auto"/>
                              <w:rPr>
                                <w:b/>
                                <w:bCs/>
                                <w:color w:val="FFFFFF" w:themeColor="background1"/>
                                <w:sz w:val="22"/>
                                <w:szCs w:val="21"/>
                                <w:lang w:val="en-US"/>
                              </w:rPr>
                            </w:pPr>
                            <w:r w:rsidRPr="00C82F70">
                              <w:rPr>
                                <w:b/>
                                <w:bCs/>
                                <w:color w:val="FFFFFF" w:themeColor="background1"/>
                                <w:sz w:val="22"/>
                                <w:szCs w:val="21"/>
                                <w:lang w:val="en-US"/>
                              </w:rPr>
                              <w:t xml:space="preserve">Données </w:t>
                            </w:r>
                            <w:r w:rsidR="000C74FD" w:rsidRPr="00C82F70">
                              <w:rPr>
                                <w:b/>
                                <w:bCs/>
                                <w:color w:val="FFFFFF" w:themeColor="background1"/>
                                <w:sz w:val="22"/>
                                <w:szCs w:val="21"/>
                                <w:lang w:val="en-US"/>
                              </w:rPr>
                              <w:t>et analyses</w:t>
                            </w:r>
                            <w:r w:rsidR="00100AB0">
                              <w:rPr>
                                <w:b/>
                                <w:bCs/>
                                <w:color w:val="FFFFFF" w:themeColor="background1"/>
                                <w:sz w:val="22"/>
                                <w:szCs w:val="21"/>
                                <w:lang w:val="en-US"/>
                              </w:rPr>
                              <w:t>:</w:t>
                            </w:r>
                            <w:r w:rsidRPr="00C82F70">
                              <w:rPr>
                                <w:b/>
                                <w:bCs/>
                                <w:color w:val="FFFFFF" w:themeColor="background1"/>
                                <w:sz w:val="22"/>
                                <w:szCs w:val="21"/>
                                <w:lang w:val="en-US"/>
                              </w:rPr>
                              <w:t xml:space="preserve"> </w:t>
                            </w:r>
                          </w:p>
                          <w:p w14:paraId="156985DF" w14:textId="73402B0F" w:rsidR="000C74FD" w:rsidRDefault="007D5263" w:rsidP="000C74FD">
                            <w:pPr>
                              <w:pStyle w:val="ListParagraph"/>
                              <w:spacing w:line="360" w:lineRule="auto"/>
                              <w:rPr>
                                <w:color w:val="FFFFFF" w:themeColor="background1"/>
                                <w:sz w:val="22"/>
                                <w:szCs w:val="21"/>
                                <w:lang w:val="en-US"/>
                              </w:rPr>
                            </w:pPr>
                            <w:r w:rsidRPr="000C74FD">
                              <w:rPr>
                                <w:color w:val="FFFFFF" w:themeColor="background1"/>
                                <w:sz w:val="22"/>
                                <w:szCs w:val="21"/>
                                <w:lang w:val="en-US"/>
                              </w:rPr>
                              <w:t xml:space="preserve">Joachim Waterschoot </w:t>
                            </w:r>
                            <w:r w:rsidR="000C74FD">
                              <w:rPr>
                                <w:color w:val="FFFFFF" w:themeColor="background1"/>
                                <w:sz w:val="22"/>
                                <w:szCs w:val="21"/>
                                <w:lang w:val="en-US"/>
                              </w:rPr>
                              <w:t>(Joachim.Waterschoot@ugent.be)</w:t>
                            </w:r>
                          </w:p>
                          <w:p w14:paraId="30E49645" w14:textId="3DD31445" w:rsidR="001A7A4F" w:rsidRPr="001A7A4F" w:rsidRDefault="00976BBA" w:rsidP="001A7A4F">
                            <w:pPr>
                              <w:pStyle w:val="ListParagraph"/>
                              <w:spacing w:line="360" w:lineRule="auto"/>
                              <w:rPr>
                                <w:color w:val="FFFFFF" w:themeColor="background1"/>
                                <w:sz w:val="22"/>
                                <w:szCs w:val="21"/>
                                <w:lang w:val="nl-BE"/>
                              </w:rPr>
                            </w:pPr>
                            <w:r w:rsidRPr="00B360D9">
                              <w:rPr>
                                <w:color w:val="FFFFFF" w:themeColor="background1"/>
                                <w:sz w:val="22"/>
                                <w:szCs w:val="21"/>
                                <w:lang w:val="nl-BE"/>
                              </w:rPr>
                              <w:t>Dr. Mathias Schmitz (Mathias.Schmitz@uclouvain.be)</w:t>
                            </w:r>
                          </w:p>
                          <w:p w14:paraId="198B2B47" w14:textId="4C659E1F" w:rsidR="007D5263" w:rsidRPr="00F3166B" w:rsidRDefault="007D5263" w:rsidP="007D5263">
                            <w:pPr>
                              <w:pStyle w:val="Heading3"/>
                              <w:spacing w:line="360" w:lineRule="auto"/>
                              <w:rPr>
                                <w:lang w:val="nl-NL"/>
                              </w:rPr>
                            </w:pPr>
                            <w:r>
                              <w:rPr>
                                <w:lang w:val="nl-NL"/>
                              </w:rPr>
                              <w:t>www.motivationbarometer.com</w:t>
                            </w:r>
                            <w:r>
                              <w:rPr>
                                <w:lang w:val="nl-NL"/>
                              </w:rPr>
                              <w:tab/>
                            </w:r>
                            <w:r>
                              <w:rPr>
                                <w:lang w:val="nl-NL"/>
                              </w:rPr>
                              <w:tab/>
                            </w:r>
                            <w:r>
                              <w:rPr>
                                <w:lang w:val="nl-NL"/>
                              </w:rPr>
                              <w:tab/>
                            </w:r>
                            <w:r w:rsidR="000C74FD">
                              <w:rPr>
                                <w:lang w:val="nl-NL"/>
                              </w:rPr>
                              <w:t xml:space="preserve">            </w:t>
                            </w:r>
                            <w:r>
                              <w:rPr>
                                <w:lang w:val="nl-NL"/>
                              </w:rPr>
                              <w:tab/>
                            </w:r>
                            <w:r w:rsidRPr="007D5263">
                              <w:rPr>
                                <w:noProof/>
                                <w:color w:val="FFFFFF" w:themeColor="background1"/>
                                <w:lang w:val="en-US"/>
                              </w:rPr>
                              <w:t xml:space="preserve"> </w:t>
                            </w:r>
                            <w:r>
                              <w:rPr>
                                <w:noProof/>
                                <w:color w:val="FFFFFF" w:themeColor="background1"/>
                                <w:lang w:val="en-US"/>
                              </w:rPr>
                              <w:drawing>
                                <wp:inline distT="0" distB="0" distL="0" distR="0" wp14:anchorId="0B07FED0" wp14:editId="4CC737FF">
                                  <wp:extent cx="1182414" cy="654943"/>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extLst>
                                              <a:ext uri="{28A0092B-C50C-407E-A947-70E740481C1C}">
                                                <a14:useLocalDpi xmlns:a14="http://schemas.microsoft.com/office/drawing/2010/main" val="0"/>
                                              </a:ext>
                                            </a:extLst>
                                          </a:blip>
                                          <a:stretch>
                                            <a:fillRect/>
                                          </a:stretch>
                                        </pic:blipFill>
                                        <pic:spPr>
                                          <a:xfrm>
                                            <a:off x="0" y="0"/>
                                            <a:ext cx="1182414" cy="65494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495AA0F" id="Rectangle 19" o:spid="_x0000_s1027" alt="coloured rectangle" style="width:470.6pt;height:428.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" fillcolor="#0070c0" stroked="f" strokeweight="2pt">
                <v:fill opacity="58853f"/>
                <v:textbox>
                  <w:txbxContent>
                    <w:p w14:paraId="5EDF2E1E" w14:textId="0C417EDA" w:rsidR="000C74FD" w:rsidRDefault="007D5263" w:rsidP="000C74FD">
                      <w:pPr>
                        <w:pStyle w:val="Heading4"/>
                        <w:rPr>
                          <w:color w:val="FFFFFF" w:themeColor="background1"/>
                          <w:lang w:val="nl-NL"/>
                        </w:rPr>
                      </w:pPr>
                      <w:r w:rsidRPr="00F3166B">
                        <w:rPr>
                          <w:color w:val="FFFFFF" w:themeColor="background1"/>
                          <w:lang w:val="nl-NL"/>
                        </w:rPr>
                        <w:t>Coordonnées de contact</w:t>
                      </w:r>
                    </w:p>
                    <w:p w14:paraId="47AC2592" w14:textId="77777777" w:rsidR="000C74FD" w:rsidRDefault="000C74FD" w:rsidP="000C74FD">
                      <w:pPr>
                        <w:pStyle w:val="Heading4"/>
                        <w:rPr>
                          <w:color w:val="FFFFFF" w:themeColor="background1"/>
                          <w:lang w:val="nl-NL"/>
                        </w:rPr>
                      </w:pPr>
                    </w:p>
                    <w:p w14:paraId="06CC1996" w14:textId="0AF5ED6C" w:rsidR="000C74FD" w:rsidRPr="00C82F70" w:rsidRDefault="000C74FD" w:rsidP="000C74FD">
                      <w:pPr>
                        <w:pStyle w:val="ListParagraph"/>
                        <w:numPr>
                          <w:ilvl w:val="0"/>
                          <w:numId w:val="1"/>
                        </w:numPr>
                        <w:spacing w:line="360" w:lineRule="auto"/>
                        <w:rPr>
                          <w:b/>
                          <w:bCs/>
                          <w:color w:val="FFFFFF" w:themeColor="background1"/>
                          <w:sz w:val="22"/>
                          <w:szCs w:val="21"/>
                          <w:lang w:val="nl-NL"/>
                        </w:rPr>
                      </w:pPr>
                      <w:r w:rsidRPr="00C82F70">
                        <w:rPr>
                          <w:b/>
                          <w:bCs/>
                          <w:color w:val="FFFFFF" w:themeColor="background1"/>
                          <w:sz w:val="22"/>
                          <w:szCs w:val="21"/>
                          <w:lang w:val="nl-NL"/>
                        </w:rPr>
                        <w:t>Chercheur principal</w:t>
                      </w:r>
                      <w:r w:rsidR="00100AB0">
                        <w:rPr>
                          <w:b/>
                          <w:bCs/>
                          <w:color w:val="FFFFFF" w:themeColor="background1"/>
                          <w:sz w:val="22"/>
                          <w:szCs w:val="21"/>
                          <w:lang w:val="nl-NL"/>
                        </w:rPr>
                        <w:t>:</w:t>
                      </w:r>
                      <w:r w:rsidRPr="00C82F70">
                        <w:rPr>
                          <w:b/>
                          <w:bCs/>
                          <w:color w:val="FFFFFF" w:themeColor="background1"/>
                          <w:sz w:val="22"/>
                          <w:szCs w:val="21"/>
                          <w:lang w:val="nl-NL"/>
                        </w:rPr>
                        <w:t xml:space="preserve"> </w:t>
                      </w:r>
                    </w:p>
                    <w:p w14:paraId="0FB8B26D" w14:textId="6BF583D5" w:rsidR="000C74FD" w:rsidRDefault="007D5263" w:rsidP="000C74FD">
                      <w:pPr>
                        <w:pStyle w:val="ListParagraph"/>
                        <w:spacing w:line="360" w:lineRule="auto"/>
                        <w:rPr>
                          <w:color w:val="FFFFFF" w:themeColor="background1"/>
                          <w:sz w:val="22"/>
                          <w:szCs w:val="21"/>
                          <w:lang w:val="nl-NL"/>
                        </w:rPr>
                      </w:pPr>
                      <w:r w:rsidRPr="000C74FD">
                        <w:rPr>
                          <w:color w:val="FFFFFF" w:themeColor="background1"/>
                          <w:sz w:val="22"/>
                          <w:szCs w:val="21"/>
                          <w:lang w:val="nl-NL"/>
                        </w:rPr>
                        <w:t>Prof. Dr. Maarten Vansteenkiste (Maarten.Vansteenkiste@ugent.be)</w:t>
                      </w:r>
                    </w:p>
                    <w:p w14:paraId="44CF624A" w14:textId="77777777" w:rsidR="005A2EC6" w:rsidRDefault="005A2EC6" w:rsidP="000C74FD">
                      <w:pPr>
                        <w:pStyle w:val="ListParagraph"/>
                        <w:spacing w:line="360" w:lineRule="auto"/>
                        <w:rPr>
                          <w:color w:val="FFFFFF" w:themeColor="background1"/>
                          <w:sz w:val="22"/>
                          <w:szCs w:val="21"/>
                          <w:lang w:val="nl-NL"/>
                        </w:rPr>
                      </w:pPr>
                    </w:p>
                    <w:p w14:paraId="1E959FED" w14:textId="3D89F80C" w:rsidR="003D7352" w:rsidRPr="00C82F70" w:rsidRDefault="001A7A4F" w:rsidP="003D7352">
                      <w:pPr>
                        <w:pStyle w:val="ListParagraph"/>
                        <w:numPr>
                          <w:ilvl w:val="0"/>
                          <w:numId w:val="1"/>
                        </w:numPr>
                        <w:spacing w:line="360" w:lineRule="auto"/>
                        <w:rPr>
                          <w:b/>
                          <w:bCs/>
                          <w:color w:val="FFFFFF" w:themeColor="background1"/>
                          <w:sz w:val="22"/>
                          <w:szCs w:val="21"/>
                          <w:lang w:val="nl-NL"/>
                        </w:rPr>
                      </w:pPr>
                      <w:r>
                        <w:rPr>
                          <w:b/>
                          <w:bCs/>
                          <w:color w:val="FFFFFF" w:themeColor="background1"/>
                          <w:sz w:val="22"/>
                          <w:szCs w:val="21"/>
                          <w:lang w:val="nl-NL"/>
                        </w:rPr>
                        <w:t>Chercheurs collaborateurs</w:t>
                      </w:r>
                      <w:r w:rsidR="00100AB0">
                        <w:rPr>
                          <w:b/>
                          <w:bCs/>
                          <w:color w:val="FFFFFF" w:themeColor="background1"/>
                          <w:sz w:val="22"/>
                          <w:szCs w:val="21"/>
                          <w:lang w:val="nl-NL"/>
                        </w:rPr>
                        <w:t>:</w:t>
                      </w:r>
                      <w:r w:rsidR="003D7352" w:rsidRPr="00C82F70">
                        <w:rPr>
                          <w:b/>
                          <w:bCs/>
                          <w:color w:val="FFFFFF" w:themeColor="background1"/>
                          <w:sz w:val="22"/>
                          <w:szCs w:val="21"/>
                          <w:lang w:val="nl-NL"/>
                        </w:rPr>
                        <w:t xml:space="preserve"> </w:t>
                      </w:r>
                    </w:p>
                    <w:p w14:paraId="273D1865" w14:textId="6403E3E9" w:rsidR="00976BBA" w:rsidRDefault="003D7352" w:rsidP="00976BBA">
                      <w:pPr>
                        <w:pStyle w:val="ListParagraph"/>
                        <w:spacing w:line="360" w:lineRule="auto"/>
                        <w:rPr>
                          <w:color w:val="FFFFFF" w:themeColor="background1"/>
                          <w:sz w:val="22"/>
                          <w:szCs w:val="21"/>
                          <w:lang w:val="nl-NL"/>
                        </w:rPr>
                      </w:pPr>
                      <w:r w:rsidRPr="000C74FD">
                        <w:rPr>
                          <w:color w:val="FFFFFF" w:themeColor="background1"/>
                          <w:sz w:val="22"/>
                          <w:szCs w:val="21"/>
                          <w:lang w:val="nl-NL"/>
                        </w:rPr>
                        <w:t xml:space="preserve">Prof. Dr. </w:t>
                      </w:r>
                      <w:r>
                        <w:rPr>
                          <w:color w:val="FFFFFF" w:themeColor="background1"/>
                          <w:sz w:val="22"/>
                          <w:szCs w:val="21"/>
                          <w:lang w:val="nl-NL"/>
                        </w:rPr>
                        <w:t xml:space="preserve">Omer Van den Bergh </w:t>
                      </w:r>
                      <w:r w:rsidRPr="000C74FD">
                        <w:rPr>
                          <w:color w:val="FFFFFF" w:themeColor="background1"/>
                          <w:sz w:val="22"/>
                          <w:szCs w:val="21"/>
                          <w:lang w:val="nl-NL"/>
                        </w:rPr>
                        <w:t>(</w:t>
                      </w:r>
                      <w:r w:rsidR="00976BBA">
                        <w:rPr>
                          <w:color w:val="FFFFFF" w:themeColor="background1"/>
                          <w:sz w:val="22"/>
                          <w:szCs w:val="21"/>
                          <w:lang w:val="nl-NL"/>
                        </w:rPr>
                        <w:t xml:space="preserve">Omer. </w:t>
                      </w:r>
                      <w:r w:rsidRPr="003D7352">
                        <w:rPr>
                          <w:color w:val="FFFFFF" w:themeColor="background1"/>
                          <w:sz w:val="22"/>
                          <w:szCs w:val="21"/>
                          <w:lang w:val="nl-NL"/>
                        </w:rPr>
                        <w:t>Vandenbergh@kuleuven.</w:t>
                      </w:r>
                      <w:r w:rsidR="00976BBA">
                        <w:rPr>
                          <w:color w:val="FFFFFF" w:themeColor="background1"/>
                          <w:sz w:val="22"/>
                          <w:szCs w:val="21"/>
                          <w:lang w:val="nl-NL"/>
                        </w:rPr>
                        <w:t>be)</w:t>
                      </w:r>
                    </w:p>
                    <w:p w14:paraId="313D3A0B" w14:textId="7667D844" w:rsidR="00976BBA" w:rsidRDefault="00976BBA" w:rsidP="00976BBA">
                      <w:pPr>
                        <w:pStyle w:val="ListParagraph"/>
                        <w:spacing w:line="360" w:lineRule="auto"/>
                        <w:rPr>
                          <w:color w:val="FFFFFF" w:themeColor="background1"/>
                          <w:sz w:val="22"/>
                          <w:szCs w:val="21"/>
                          <w:lang w:val="nl-NL"/>
                        </w:rPr>
                      </w:pPr>
                      <w:r>
                        <w:rPr>
                          <w:color w:val="FFFFFF" w:themeColor="background1"/>
                          <w:sz w:val="22"/>
                          <w:szCs w:val="21"/>
                          <w:lang w:val="nl-NL"/>
                        </w:rPr>
                        <w:t>Prof. Dr. Olivier Klein (Olivier.Klein@ulb.be)</w:t>
                      </w:r>
                    </w:p>
                    <w:p w14:paraId="3BAFC99E" w14:textId="5E077291" w:rsidR="00976BBA" w:rsidRPr="00976BBA" w:rsidRDefault="00976BBA" w:rsidP="00976BBA">
                      <w:pPr>
                        <w:pStyle w:val="ListParagraph"/>
                        <w:spacing w:line="360" w:lineRule="auto"/>
                        <w:rPr>
                          <w:color w:val="FFFFFF" w:themeColor="background1"/>
                          <w:sz w:val="22"/>
                          <w:szCs w:val="21"/>
                          <w:lang w:val="en-US"/>
                        </w:rPr>
                      </w:pPr>
                      <w:r w:rsidRPr="00976BBA">
                        <w:rPr>
                          <w:color w:val="FFFFFF" w:themeColor="background1"/>
                          <w:sz w:val="22"/>
                          <w:szCs w:val="21"/>
                          <w:lang w:val="en-US"/>
                        </w:rPr>
                        <w:t>Prof. Dr. Olivier Luminet (Olivier. Luminet@uclouvain.be)</w:t>
                      </w:r>
                    </w:p>
                    <w:p w14:paraId="0FF944CC" w14:textId="6CC12AF7" w:rsidR="00976BBA" w:rsidRDefault="00976BBA" w:rsidP="00976BBA">
                      <w:pPr>
                        <w:pStyle w:val="ListParagraph"/>
                        <w:spacing w:line="360" w:lineRule="auto"/>
                        <w:rPr>
                          <w:color w:val="FFFFFF" w:themeColor="background1"/>
                          <w:sz w:val="22"/>
                          <w:szCs w:val="21"/>
                          <w:lang w:val="nl-NL"/>
                        </w:rPr>
                      </w:pPr>
                      <w:r>
                        <w:rPr>
                          <w:color w:val="FFFFFF" w:themeColor="background1"/>
                          <w:sz w:val="22"/>
                          <w:szCs w:val="21"/>
                          <w:lang w:val="nl-NL"/>
                        </w:rPr>
                        <w:t>Prof. Dr. Vincent Yzerbyt (Vincent.Yzerbyt@uclouvain.be)</w:t>
                      </w:r>
                    </w:p>
                    <w:p w14:paraId="499A499B" w14:textId="77777777" w:rsidR="005A2EC6" w:rsidRPr="00976BBA" w:rsidRDefault="005A2EC6" w:rsidP="00976BBA">
                      <w:pPr>
                        <w:pStyle w:val="ListParagraph"/>
                        <w:spacing w:line="360" w:lineRule="auto"/>
                        <w:rPr>
                          <w:color w:val="FFFFFF" w:themeColor="background1"/>
                          <w:sz w:val="22"/>
                          <w:szCs w:val="21"/>
                          <w:lang w:val="nl-NL"/>
                        </w:rPr>
                      </w:pPr>
                    </w:p>
                    <w:p w14:paraId="20AB3F3F" w14:textId="4FFB0D45" w:rsidR="000C74FD" w:rsidRPr="00100AB0" w:rsidRDefault="001A7A4F" w:rsidP="000C74FD">
                      <w:pPr>
                        <w:pStyle w:val="ListParagraph"/>
                        <w:numPr>
                          <w:ilvl w:val="0"/>
                          <w:numId w:val="1"/>
                        </w:numPr>
                        <w:spacing w:line="360" w:lineRule="auto"/>
                        <w:rPr>
                          <w:b/>
                          <w:bCs/>
                          <w:color w:val="FFFFFF" w:themeColor="background1"/>
                          <w:sz w:val="22"/>
                          <w:szCs w:val="21"/>
                          <w:lang w:val="en-US"/>
                        </w:rPr>
                      </w:pPr>
                      <w:r w:rsidRPr="00100AB0">
                        <w:rPr>
                          <w:b/>
                          <w:bCs/>
                          <w:color w:val="FFFFFF" w:themeColor="background1"/>
                          <w:sz w:val="22"/>
                          <w:szCs w:val="21"/>
                          <w:lang w:val="en-US"/>
                        </w:rPr>
                        <w:t>Gestion et diffusion du questionnaire</w:t>
                      </w:r>
                      <w:r w:rsidR="00100AB0">
                        <w:rPr>
                          <w:b/>
                          <w:bCs/>
                          <w:color w:val="FFFFFF" w:themeColor="background1"/>
                          <w:sz w:val="22"/>
                          <w:szCs w:val="21"/>
                          <w:lang w:val="en-US"/>
                        </w:rPr>
                        <w:t>:</w:t>
                      </w:r>
                    </w:p>
                    <w:p w14:paraId="7C4C2E92" w14:textId="09180410" w:rsidR="000C74FD" w:rsidRDefault="007D5263" w:rsidP="000C74FD">
                      <w:pPr>
                        <w:pStyle w:val="ListParagraph"/>
                        <w:spacing w:line="360" w:lineRule="auto"/>
                        <w:rPr>
                          <w:color w:val="FFFFFF" w:themeColor="background1"/>
                          <w:sz w:val="22"/>
                          <w:szCs w:val="21"/>
                          <w:lang w:val="nl-BE"/>
                        </w:rPr>
                      </w:pPr>
                      <w:r w:rsidRPr="000C74FD">
                        <w:rPr>
                          <w:color w:val="FFFFFF" w:themeColor="background1"/>
                          <w:sz w:val="22"/>
                          <w:szCs w:val="21"/>
                          <w:lang w:val="nl-BE"/>
                        </w:rPr>
                        <w:t>Drs Sofie Morbee (Sofie.Morbee@ugent.be)</w:t>
                      </w:r>
                    </w:p>
                    <w:p w14:paraId="7960868B" w14:textId="457DB741" w:rsidR="00976BBA" w:rsidRDefault="00976BBA" w:rsidP="000C74FD">
                      <w:pPr>
                        <w:pStyle w:val="ListParagraph"/>
                        <w:spacing w:line="360" w:lineRule="auto"/>
                        <w:rPr>
                          <w:color w:val="FFFFFF" w:themeColor="background1"/>
                          <w:sz w:val="22"/>
                          <w:szCs w:val="21"/>
                          <w:lang w:val="nl-BE"/>
                        </w:rPr>
                      </w:pPr>
                      <w:r>
                        <w:rPr>
                          <w:color w:val="FFFFFF" w:themeColor="background1"/>
                          <w:sz w:val="22"/>
                          <w:szCs w:val="21"/>
                          <w:lang w:val="nl-BE"/>
                        </w:rPr>
                        <w:t>Drs Pascaline Van Oost (Pascaline.Vanoost@uclouvain.be)</w:t>
                      </w:r>
                    </w:p>
                    <w:p w14:paraId="02EC00D9" w14:textId="77777777" w:rsidR="005A2EC6" w:rsidRPr="000C74FD" w:rsidRDefault="005A2EC6" w:rsidP="000C74FD">
                      <w:pPr>
                        <w:pStyle w:val="ListParagraph"/>
                        <w:spacing w:line="360" w:lineRule="auto"/>
                        <w:rPr>
                          <w:color w:val="FFFFFF" w:themeColor="background1"/>
                          <w:sz w:val="22"/>
                          <w:szCs w:val="21"/>
                          <w:lang w:val="nl-BE"/>
                        </w:rPr>
                      </w:pPr>
                    </w:p>
                    <w:p w14:paraId="36F689B4" w14:textId="3C6F2F93" w:rsidR="000C74FD" w:rsidRPr="00C82F70" w:rsidRDefault="007D5263" w:rsidP="000C74FD">
                      <w:pPr>
                        <w:pStyle w:val="ListParagraph"/>
                        <w:numPr>
                          <w:ilvl w:val="0"/>
                          <w:numId w:val="1"/>
                        </w:numPr>
                        <w:spacing w:line="360" w:lineRule="auto"/>
                        <w:rPr>
                          <w:b/>
                          <w:bCs/>
                          <w:color w:val="FFFFFF" w:themeColor="background1"/>
                          <w:sz w:val="22"/>
                          <w:szCs w:val="21"/>
                          <w:lang w:val="en-US"/>
                        </w:rPr>
                      </w:pPr>
                      <w:r w:rsidRPr="00C82F70">
                        <w:rPr>
                          <w:b/>
                          <w:bCs/>
                          <w:color w:val="FFFFFF" w:themeColor="background1"/>
                          <w:sz w:val="22"/>
                          <w:szCs w:val="21"/>
                          <w:lang w:val="en-US"/>
                        </w:rPr>
                        <w:t xml:space="preserve">Données </w:t>
                      </w:r>
                      <w:r w:rsidR="000C74FD" w:rsidRPr="00C82F70">
                        <w:rPr>
                          <w:b/>
                          <w:bCs/>
                          <w:color w:val="FFFFFF" w:themeColor="background1"/>
                          <w:sz w:val="22"/>
                          <w:szCs w:val="21"/>
                          <w:lang w:val="en-US"/>
                        </w:rPr>
                        <w:t>et analyses</w:t>
                      </w:r>
                      <w:r w:rsidR="00100AB0">
                        <w:rPr>
                          <w:b/>
                          <w:bCs/>
                          <w:color w:val="FFFFFF" w:themeColor="background1"/>
                          <w:sz w:val="22"/>
                          <w:szCs w:val="21"/>
                          <w:lang w:val="en-US"/>
                        </w:rPr>
                        <w:t>:</w:t>
                      </w:r>
                      <w:r w:rsidRPr="00C82F70">
                        <w:rPr>
                          <w:b/>
                          <w:bCs/>
                          <w:color w:val="FFFFFF" w:themeColor="background1"/>
                          <w:sz w:val="22"/>
                          <w:szCs w:val="21"/>
                          <w:lang w:val="en-US"/>
                        </w:rPr>
                        <w:t xml:space="preserve"> </w:t>
                      </w:r>
                    </w:p>
                    <w:p w14:paraId="156985DF" w14:textId="73402B0F" w:rsidR="000C74FD" w:rsidRDefault="007D5263" w:rsidP="000C74FD">
                      <w:pPr>
                        <w:pStyle w:val="ListParagraph"/>
                        <w:spacing w:line="360" w:lineRule="auto"/>
                        <w:rPr>
                          <w:color w:val="FFFFFF" w:themeColor="background1"/>
                          <w:sz w:val="22"/>
                          <w:szCs w:val="21"/>
                          <w:lang w:val="en-US"/>
                        </w:rPr>
                      </w:pPr>
                      <w:r w:rsidRPr="000C74FD">
                        <w:rPr>
                          <w:color w:val="FFFFFF" w:themeColor="background1"/>
                          <w:sz w:val="22"/>
                          <w:szCs w:val="21"/>
                          <w:lang w:val="en-US"/>
                        </w:rPr>
                        <w:t xml:space="preserve">Joachim Waterschoot </w:t>
                      </w:r>
                      <w:r w:rsidR="000C74FD">
                        <w:rPr>
                          <w:color w:val="FFFFFF" w:themeColor="background1"/>
                          <w:sz w:val="22"/>
                          <w:szCs w:val="21"/>
                          <w:lang w:val="en-US"/>
                        </w:rPr>
                        <w:t>(Joachim.Waterschoot@ugent.be)</w:t>
                      </w:r>
                    </w:p>
                    <w:p w14:paraId="30E49645" w14:textId="3DD31445" w:rsidR="001A7A4F" w:rsidRPr="001A7A4F" w:rsidRDefault="00976BBA" w:rsidP="001A7A4F">
                      <w:pPr>
                        <w:pStyle w:val="ListParagraph"/>
                        <w:spacing w:line="360" w:lineRule="auto"/>
                        <w:rPr>
                          <w:color w:val="FFFFFF" w:themeColor="background1"/>
                          <w:sz w:val="22"/>
                          <w:szCs w:val="21"/>
                          <w:lang w:val="nl-BE"/>
                        </w:rPr>
                      </w:pPr>
                      <w:r w:rsidRPr="00B360D9">
                        <w:rPr>
                          <w:color w:val="FFFFFF" w:themeColor="background1"/>
                          <w:sz w:val="22"/>
                          <w:szCs w:val="21"/>
                          <w:lang w:val="nl-BE"/>
                        </w:rPr>
                        <w:t>Dr. Mathias Schmitz (Mathias.Schmitz@uclouvain.be)</w:t>
                      </w:r>
                    </w:p>
                    <w:p w14:paraId="198B2B47" w14:textId="4C659E1F" w:rsidR="007D5263" w:rsidRPr="00F3166B" w:rsidRDefault="007D5263" w:rsidP="007D5263">
                      <w:pPr>
                        <w:pStyle w:val="Heading3"/>
                        <w:spacing w:line="360" w:lineRule="auto"/>
                        <w:rPr>
                          <w:lang w:val="nl-NL"/>
                        </w:rPr>
                      </w:pPr>
                      <w:r>
                        <w:rPr>
                          <w:lang w:val="nl-NL"/>
                        </w:rPr>
                        <w:t>www.motivationbarometer.com</w:t>
                      </w:r>
                      <w:r>
                        <w:rPr>
                          <w:lang w:val="nl-NL"/>
                        </w:rPr>
                        <w:tab/>
                      </w:r>
                      <w:r>
                        <w:rPr>
                          <w:lang w:val="nl-NL"/>
                        </w:rPr>
                        <w:tab/>
                      </w:r>
                      <w:r>
                        <w:rPr>
                          <w:lang w:val="nl-NL"/>
                        </w:rPr>
                        <w:tab/>
                      </w:r>
                      <w:r w:rsidR="000C74FD">
                        <w:rPr>
                          <w:lang w:val="nl-NL"/>
                        </w:rPr>
                        <w:t xml:space="preserve">            </w:t>
                      </w:r>
                      <w:r>
                        <w:rPr>
                          <w:lang w:val="nl-NL"/>
                        </w:rPr>
                        <w:tab/>
                      </w:r>
                      <w:r w:rsidRPr="007D5263">
                        <w:rPr>
                          <w:noProof/>
                          <w:color w:val="FFFFFF" w:themeColor="background1"/>
                          <w:lang w:val="en-US"/>
                        </w:rPr>
                        <w:t xml:space="preserve"> </w:t>
                      </w:r>
                      <w:r>
                        <w:rPr>
                          <w:noProof/>
                          <w:color w:val="FFFFFF" w:themeColor="background1"/>
                          <w:lang w:val="en-US"/>
                        </w:rPr>
                        <w:drawing>
                          <wp:inline distT="0" distB="0" distL="0" distR="0" wp14:anchorId="0B07FED0" wp14:editId="4CC737FF">
                            <wp:extent cx="1182414" cy="654943"/>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extLst>
                                        <a:ext uri="{28A0092B-C50C-407E-A947-70E740481C1C}">
                                          <a14:useLocalDpi xmlns:a14="http://schemas.microsoft.com/office/drawing/2010/main" val="0"/>
                                        </a:ext>
                                      </a:extLst>
                                    </a:blip>
                                    <a:stretch>
                                      <a:fillRect/>
                                    </a:stretch>
                                  </pic:blipFill>
                                  <pic:spPr>
                                    <a:xfrm>
                                      <a:off x="0" y="0"/>
                                      <a:ext cx="1182414" cy="654943"/>
                                    </a:xfrm>
                                    <a:prstGeom prst="rect">
                                      <a:avLst/>
                                    </a:prstGeom>
                                  </pic:spPr>
                                </pic:pic>
                              </a:graphicData>
                            </a:graphic>
                          </wp:inline>
                        </w:drawing>
                      </w:r>
                    </w:p>
                  </w:txbxContent>
                </v:textbox>
                <w10:anchorlock/>
              </v:rect>
            </w:pict>
          </mc:Fallback>
        </mc:AlternateContent>
      </w:r>
    </w:p>
    <w:p w14:paraId="092DD1CC" w14:textId="77777777" w:rsidR="00A26347" w:rsidRDefault="00A26347" w:rsidP="00A26347">
      <w:pPr>
        <w:rPr>
          <w:i/>
          <w:iCs/>
          <w:lang w:val="nl-BE"/>
        </w:rPr>
      </w:pPr>
    </w:p>
    <w:sectPr w:rsidR="00A26347" w:rsidSect="00FB7DB2">
      <w:headerReference w:type="default" r:id="rId12"/>
      <w:footerReference w:type="default" r:id="rId13"/>
      <w:footerReference w:type="first" r:id="rId14"/>
      <w:pgSz w:w="11906" w:h="16838" w:code="9"/>
      <w:pgMar w:top="720" w:right="1152" w:bottom="720" w:left="1152" w:header="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AB4441" w14:textId="77777777" w:rsidR="000366C3" w:rsidRDefault="000366C3" w:rsidP="004B7E44">
      <w:r>
        <w:separator/>
      </w:r>
    </w:p>
  </w:endnote>
  <w:endnote w:type="continuationSeparator" w:id="0">
    <w:p w14:paraId="05102B51" w14:textId="77777777" w:rsidR="000366C3" w:rsidRDefault="000366C3"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icrosoft Sans Serif">
    <w:altName w:val="﷽﷽﷽﷽﷽﷽﷽﷽t Sans Serif"/>
    <w:panose1 w:val="020B0604020202020204"/>
    <w:charset w:val="00"/>
    <w:family w:val="swiss"/>
    <w:pitch w:val="variable"/>
    <w:sig w:usb0="E5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0F221B" w:rsidRPr="000F221B" w14:paraId="222FB12E" w14:textId="77777777" w:rsidTr="000F221B">
      <w:trPr>
        <w:trHeight w:val="730"/>
        <w:jc w:val="center"/>
      </w:trPr>
      <w:tc>
        <w:tcPr>
          <w:tcW w:w="12258" w:type="dxa"/>
          <w:tcBorders>
            <w:top w:val="nil"/>
            <w:left w:val="nil"/>
            <w:bottom w:val="nil"/>
            <w:right w:val="nil"/>
          </w:tcBorders>
          <w:shd w:val="clear" w:color="auto" w:fill="FFFFFF" w:themeFill="background1"/>
          <w:vAlign w:val="center"/>
        </w:tcPr>
        <w:p w14:paraId="291EEB25" w14:textId="6B5DFAD8" w:rsidR="004B7E44" w:rsidRPr="000F221B" w:rsidRDefault="000C74FD" w:rsidP="004B7E44">
          <w:pPr>
            <w:pStyle w:val="Footer"/>
            <w:rPr>
              <w:color w:val="A6A6A6" w:themeColor="background1" w:themeShade="A6"/>
            </w:rPr>
          </w:pPr>
          <w:r>
            <w:rPr>
              <w:noProof/>
              <w:color w:val="A6A6A6" w:themeColor="background1" w:themeShade="A6"/>
              <w:lang w:bidi="en-GB"/>
            </w:rPr>
            <w:drawing>
              <wp:anchor distT="0" distB="0" distL="114300" distR="114300" simplePos="0" relativeHeight="251658240" behindDoc="0" locked="0" layoutInCell="1" allowOverlap="1" wp14:anchorId="0F6D273C" wp14:editId="2FB78B61">
                <wp:simplePos x="0" y="0"/>
                <wp:positionH relativeFrom="margin">
                  <wp:posOffset>162450</wp:posOffset>
                </wp:positionH>
                <wp:positionV relativeFrom="margin">
                  <wp:posOffset>67697</wp:posOffset>
                </wp:positionV>
                <wp:extent cx="714375" cy="39560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14375" cy="395605"/>
                        </a:xfrm>
                        <a:prstGeom prst="rect">
                          <a:avLst/>
                        </a:prstGeom>
                      </pic:spPr>
                    </pic:pic>
                  </a:graphicData>
                </a:graphic>
                <wp14:sizeRelH relativeFrom="margin">
                  <wp14:pctWidth>0</wp14:pctWidth>
                </wp14:sizeRelH>
                <wp14:sizeRelV relativeFrom="margin">
                  <wp14:pctHeight>0</wp14:pctHeight>
                </wp14:sizeRelV>
              </wp:anchor>
            </w:drawing>
          </w:r>
          <w:r w:rsidR="004B7E44" w:rsidRPr="000F221B">
            <w:rPr>
              <w:color w:val="A6A6A6" w:themeColor="background1" w:themeShade="A6"/>
              <w:lang w:bidi="en-GB"/>
            </w:rPr>
            <w:t xml:space="preserve">www. </w:t>
          </w:r>
          <w:r w:rsidR="000F221B" w:rsidRPr="000F221B">
            <w:rPr>
              <w:color w:val="A6A6A6" w:themeColor="background1" w:themeShade="A6"/>
              <w:lang w:bidi="en-GB"/>
            </w:rPr>
            <w:t>motivationbarometer</w:t>
          </w:r>
          <w:r w:rsidR="004B7E44" w:rsidRPr="000F221B">
            <w:rPr>
              <w:color w:val="A6A6A6" w:themeColor="background1" w:themeShade="A6"/>
              <w:lang w:bidi="en-GB"/>
            </w:rPr>
            <w:t>.com</w:t>
          </w:r>
        </w:p>
      </w:tc>
    </w:tr>
  </w:tbl>
  <w:p w14:paraId="73A35ACD" w14:textId="77777777" w:rsidR="005B29CB" w:rsidRDefault="005B29CB"/>
  <w:p w14:paraId="6F0FF4DA" w14:textId="77777777" w:rsidR="004907E7" w:rsidRDefault="004907E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6191010"/>
      <w:docPartObj>
        <w:docPartGallery w:val="Page Numbers (Bottom of Page)"/>
        <w:docPartUnique/>
      </w:docPartObj>
    </w:sdtPr>
    <w:sdtEndPr/>
    <w:sdtContent>
      <w:p w14:paraId="7645CF94" w14:textId="77777777" w:rsidR="005A718F" w:rsidRDefault="005A718F" w:rsidP="004B7E44">
        <w:pPr>
          <w:pStyle w:val="Footer"/>
        </w:pPr>
        <w:r>
          <w:rPr>
            <w:lang w:bidi="en-GB"/>
          </w:rPr>
          <w:fldChar w:fldCharType="begin"/>
        </w:r>
        <w:r>
          <w:rPr>
            <w:lang w:bidi="en-GB"/>
          </w:rPr>
          <w:instrText xml:space="preserve"> PAGE   \* MERGEFORMAT </w:instrText>
        </w:r>
        <w:r>
          <w:rPr>
            <w:lang w:bidi="en-GB"/>
          </w:rPr>
          <w:fldChar w:fldCharType="separate"/>
        </w:r>
        <w:r w:rsidR="009120E9">
          <w:rPr>
            <w:lang w:bidi="en-GB"/>
          </w:rPr>
          <w:t>1</w:t>
        </w:r>
        <w:r>
          <w:rPr>
            <w:lang w:bidi="en-GB"/>
          </w:rPr>
          <w:fldChar w:fldCharType="end"/>
        </w:r>
      </w:p>
    </w:sdtContent>
  </w:sdt>
  <w:p w14:paraId="39BB1267" w14:textId="77777777" w:rsidR="005B29CB" w:rsidRDefault="005B29CB"/>
  <w:p w14:paraId="45E7DE88" w14:textId="77777777" w:rsidR="004907E7" w:rsidRDefault="004907E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FC0138" w14:textId="77777777" w:rsidR="000366C3" w:rsidRDefault="000366C3" w:rsidP="004B7E44">
      <w:r>
        <w:separator/>
      </w:r>
    </w:p>
  </w:footnote>
  <w:footnote w:type="continuationSeparator" w:id="0">
    <w:p w14:paraId="4638CC39" w14:textId="77777777" w:rsidR="000366C3" w:rsidRDefault="000366C3"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rsidRPr="00DF6680" w14:paraId="1C2CE86E" w14:textId="77777777" w:rsidTr="004B7E44">
      <w:trPr>
        <w:trHeight w:val="1318"/>
      </w:trPr>
      <w:tc>
        <w:tcPr>
          <w:tcW w:w="12210" w:type="dxa"/>
          <w:tcBorders>
            <w:top w:val="nil"/>
            <w:left w:val="nil"/>
            <w:bottom w:val="nil"/>
            <w:right w:val="nil"/>
          </w:tcBorders>
        </w:tcPr>
        <w:p w14:paraId="06E8630F" w14:textId="3B805EB7" w:rsidR="004B7E44" w:rsidRPr="00583701" w:rsidRDefault="004B7E44" w:rsidP="000C74FD">
          <w:pPr>
            <w:pStyle w:val="Header"/>
            <w:rPr>
              <w:lang w:val="nl-BE"/>
            </w:rPr>
          </w:pPr>
          <w:r>
            <w:rPr>
              <w:noProof/>
              <w:lang w:bidi="en-GB"/>
            </w:rPr>
            <mc:AlternateContent>
              <mc:Choice Requires="wps">
                <w:drawing>
                  <wp:inline distT="0" distB="0" distL="0" distR="0" wp14:anchorId="1DAF2CE1" wp14:editId="27CB40CA">
                    <wp:extent cx="1352282" cy="592428"/>
                    <wp:effectExtent l="0" t="0" r="0" b="5715"/>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37C46E" w14:textId="77777777" w:rsidR="004B7E44" w:rsidRPr="00F3166B" w:rsidRDefault="004B7E44" w:rsidP="004B7E44">
                                <w:pPr>
                                  <w:jc w:val="center"/>
                                  <w:rPr>
                                    <w:b/>
                                    <w:color w:val="FFFFFF" w:themeColor="background1"/>
                                  </w:rPr>
                                </w:pPr>
                                <w:r w:rsidRPr="00F3166B">
                                  <w:rPr>
                                    <w:b/>
                                    <w:color w:val="FFFFFF" w:themeColor="background1"/>
                                    <w:lang w:bidi="en-GB"/>
                                  </w:rPr>
                                  <w:fldChar w:fldCharType="begin"/>
                                </w:r>
                                <w:r w:rsidRPr="00F3166B">
                                  <w:rPr>
                                    <w:b/>
                                    <w:color w:val="FFFFFF" w:themeColor="background1"/>
                                    <w:lang w:bidi="en-GB"/>
                                  </w:rPr>
                                  <w:instrText xml:space="preserve"> PAGE  \* Arabic  \* MERGEFORMAT </w:instrText>
                                </w:r>
                                <w:r w:rsidRPr="00F3166B">
                                  <w:rPr>
                                    <w:b/>
                                    <w:color w:val="FFFFFF" w:themeColor="background1"/>
                                    <w:lang w:bidi="en-GB"/>
                                  </w:rPr>
                                  <w:fldChar w:fldCharType="separate"/>
                                </w:r>
                                <w:r w:rsidR="009120E9" w:rsidRPr="00F3166B">
                                  <w:rPr>
                                    <w:b/>
                                    <w:color w:val="FFFFFF" w:themeColor="background1"/>
                                    <w:lang w:bidi="en-GB"/>
                                  </w:rPr>
                                  <w:t>2</w:t>
                                </w:r>
                                <w:r w:rsidRPr="00F3166B">
                                  <w:rPr>
                                    <w:b/>
                                    <w:color w:val="FFFFFF" w:themeColor="background1"/>
                                    <w:lang w:bidi="en-G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DAF2CE1" id="Rectangle 11" o:spid="_x0000_s1028"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" fillcolor="#0070c0" stroked="f" strokeweight="2pt">
                    <v:textbox>
                      <w:txbxContent>
                        <w:p w14:paraId="0A37C46E" w14:textId="77777777" w:rsidR="004B7E44" w:rsidRPr="00F3166B" w:rsidRDefault="004B7E44" w:rsidP="004B7E44">
                          <w:pPr>
                            <w:jc w:val="center"/>
                            <w:rPr>
                              <w:b/>
                              <w:color w:val="FFFFFF" w:themeColor="background1"/>
                            </w:rPr>
                          </w:pPr>
                          <w:r w:rsidRPr="00F3166B">
                            <w:rPr>
                              <w:b/>
                              <w:color w:val="FFFFFF" w:themeColor="background1"/>
                              <w:lang w:bidi="en-GB"/>
                            </w:rPr>
                            <w:fldChar w:fldCharType="begin"/>
                          </w:r>
                          <w:r w:rsidRPr="00F3166B">
                            <w:rPr>
                              <w:b/>
                              <w:color w:val="FFFFFF" w:themeColor="background1"/>
                              <w:lang w:bidi="en-GB"/>
                            </w:rPr>
                            <w:instrText xml:space="preserve"> PAGE  \* Arabic  \* MERGEFORMAT </w:instrText>
                          </w:r>
                          <w:r w:rsidRPr="00F3166B">
                            <w:rPr>
                              <w:b/>
                              <w:color w:val="FFFFFF" w:themeColor="background1"/>
                              <w:lang w:bidi="en-GB"/>
                            </w:rPr>
                            <w:fldChar w:fldCharType="separate"/>
                          </w:r>
                          <w:r w:rsidR="009120E9" w:rsidRPr="00F3166B">
                            <w:rPr>
                              <w:b/>
                              <w:color w:val="FFFFFF" w:themeColor="background1"/>
                              <w:lang w:bidi="en-GB"/>
                            </w:rPr>
                            <w:t>2</w:t>
                          </w:r>
                          <w:r w:rsidRPr="00F3166B">
                            <w:rPr>
                              <w:b/>
                              <w:color w:val="FFFFFF" w:themeColor="background1"/>
                              <w:lang w:bidi="en-GB"/>
                            </w:rPr>
                            <w:fldChar w:fldCharType="end"/>
                          </w:r>
                        </w:p>
                      </w:txbxContent>
                    </v:textbox>
                    <w10:anchorlock/>
                  </v:rect>
                </w:pict>
              </mc:Fallback>
            </mc:AlternateContent>
          </w:r>
          <w:r w:rsidR="00DF6680">
            <w:rPr>
              <w:color w:val="A6A6A6" w:themeColor="background1" w:themeShade="A6"/>
              <w:lang w:val="nl-BE"/>
            </w:rPr>
            <w:t xml:space="preserve">       </w:t>
          </w:r>
          <w:r w:rsidR="000C74FD" w:rsidRPr="00583701">
            <w:rPr>
              <w:color w:val="A6A6A6" w:themeColor="background1" w:themeShade="A6"/>
              <w:lang w:val="nl-BE"/>
            </w:rPr>
            <w:t xml:space="preserve">Rapport </w:t>
          </w:r>
          <w:r w:rsidR="00DF6680">
            <w:rPr>
              <w:color w:val="A6A6A6" w:themeColor="background1" w:themeShade="A6"/>
              <w:lang w:val="nl-BE"/>
            </w:rPr>
            <w:t>26</w:t>
          </w:r>
          <w:r w:rsidR="00100AB0">
            <w:rPr>
              <w:color w:val="A6A6A6" w:themeColor="background1" w:themeShade="A6"/>
              <w:lang w:val="nl-BE"/>
            </w:rPr>
            <w:t>:</w:t>
          </w:r>
          <w:r w:rsidR="000C74FD" w:rsidRPr="00583701">
            <w:rPr>
              <w:color w:val="A6A6A6" w:themeColor="background1" w:themeShade="A6"/>
              <w:lang w:val="nl-BE"/>
            </w:rPr>
            <w:t xml:space="preserve"> </w:t>
          </w:r>
          <w:r w:rsidR="00DF6680">
            <w:rPr>
              <w:color w:val="A6A6A6" w:themeColor="background1" w:themeShade="A6"/>
              <w:lang w:val="nl-BE"/>
            </w:rPr>
            <w:t xml:space="preserve">Soutien à la motivation </w:t>
          </w:r>
        </w:p>
      </w:tc>
    </w:tr>
  </w:tbl>
  <w:p w14:paraId="4150D0B3" w14:textId="77777777" w:rsidR="005B29CB" w:rsidRPr="00583701" w:rsidRDefault="005B29CB">
    <w:pPr>
      <w:rPr>
        <w:lang w:val="nl-BE"/>
      </w:rPr>
    </w:pPr>
  </w:p>
  <w:p w14:paraId="54330448" w14:textId="77777777" w:rsidR="004907E7" w:rsidRPr="00583701" w:rsidRDefault="004907E7">
    <w:pPr>
      <w:rPr>
        <w:lang w:val="nl-B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DF9"/>
    <w:multiLevelType w:val="hybridMultilevel"/>
    <w:tmpl w:val="17F090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1612EE"/>
    <w:multiLevelType w:val="hybridMultilevel"/>
    <w:tmpl w:val="0A26BD08"/>
    <w:lvl w:ilvl="0" w:tplc="9566F83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B12002"/>
    <w:multiLevelType w:val="hybridMultilevel"/>
    <w:tmpl w:val="A19A2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4A19AD"/>
    <w:multiLevelType w:val="hybridMultilevel"/>
    <w:tmpl w:val="0FCAF95E"/>
    <w:lvl w:ilvl="0" w:tplc="4C0CDD5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80142D"/>
    <w:multiLevelType w:val="hybridMultilevel"/>
    <w:tmpl w:val="685E4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FD0CA7"/>
    <w:multiLevelType w:val="hybridMultilevel"/>
    <w:tmpl w:val="19F4E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07194C"/>
    <w:multiLevelType w:val="hybridMultilevel"/>
    <w:tmpl w:val="48766C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3E4D8B"/>
    <w:multiLevelType w:val="hybridMultilevel"/>
    <w:tmpl w:val="345AD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E559E5"/>
    <w:multiLevelType w:val="hybridMultilevel"/>
    <w:tmpl w:val="DD802D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083747B"/>
    <w:multiLevelType w:val="hybridMultilevel"/>
    <w:tmpl w:val="C8BA33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E36B73"/>
    <w:multiLevelType w:val="hybridMultilevel"/>
    <w:tmpl w:val="C94AA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85E77D8"/>
    <w:multiLevelType w:val="hybridMultilevel"/>
    <w:tmpl w:val="EE0A9A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3394622"/>
    <w:multiLevelType w:val="hybridMultilevel"/>
    <w:tmpl w:val="B8820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BA827F2"/>
    <w:multiLevelType w:val="hybridMultilevel"/>
    <w:tmpl w:val="45986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EC17F22"/>
    <w:multiLevelType w:val="hybridMultilevel"/>
    <w:tmpl w:val="3556A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14"/>
  </w:num>
  <w:num w:numId="4">
    <w:abstractNumId w:val="11"/>
  </w:num>
  <w:num w:numId="5">
    <w:abstractNumId w:val="6"/>
  </w:num>
  <w:num w:numId="6">
    <w:abstractNumId w:val="8"/>
  </w:num>
  <w:num w:numId="7">
    <w:abstractNumId w:val="13"/>
  </w:num>
  <w:num w:numId="8">
    <w:abstractNumId w:val="12"/>
  </w:num>
  <w:num w:numId="9">
    <w:abstractNumId w:val="4"/>
  </w:num>
  <w:num w:numId="10">
    <w:abstractNumId w:val="7"/>
  </w:num>
  <w:num w:numId="11">
    <w:abstractNumId w:val="1"/>
  </w:num>
  <w:num w:numId="12">
    <w:abstractNumId w:val="3"/>
  </w:num>
  <w:num w:numId="13">
    <w:abstractNumId w:val="5"/>
  </w:num>
  <w:num w:numId="14">
    <w:abstractNumId w:val="0"/>
  </w:num>
  <w:num w:numId="15">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CA4"/>
    <w:rsid w:val="000339DC"/>
    <w:rsid w:val="000366C3"/>
    <w:rsid w:val="00043958"/>
    <w:rsid w:val="00064C9C"/>
    <w:rsid w:val="00077BFA"/>
    <w:rsid w:val="000C7242"/>
    <w:rsid w:val="000C74FD"/>
    <w:rsid w:val="000D0122"/>
    <w:rsid w:val="000D4E2C"/>
    <w:rsid w:val="000E4D43"/>
    <w:rsid w:val="000F221B"/>
    <w:rsid w:val="001004B8"/>
    <w:rsid w:val="00100AB0"/>
    <w:rsid w:val="00180E47"/>
    <w:rsid w:val="00184468"/>
    <w:rsid w:val="001874B7"/>
    <w:rsid w:val="001A7A4F"/>
    <w:rsid w:val="001F0880"/>
    <w:rsid w:val="0023444C"/>
    <w:rsid w:val="002655B8"/>
    <w:rsid w:val="002766D2"/>
    <w:rsid w:val="0029136D"/>
    <w:rsid w:val="00293B83"/>
    <w:rsid w:val="002B3080"/>
    <w:rsid w:val="002B63D5"/>
    <w:rsid w:val="00382140"/>
    <w:rsid w:val="003D7352"/>
    <w:rsid w:val="00421003"/>
    <w:rsid w:val="00480F1E"/>
    <w:rsid w:val="004907E7"/>
    <w:rsid w:val="0049233A"/>
    <w:rsid w:val="004970B3"/>
    <w:rsid w:val="004B7E44"/>
    <w:rsid w:val="004D5252"/>
    <w:rsid w:val="004E2108"/>
    <w:rsid w:val="004E5973"/>
    <w:rsid w:val="004F2B86"/>
    <w:rsid w:val="00582D42"/>
    <w:rsid w:val="00583701"/>
    <w:rsid w:val="005A2EC6"/>
    <w:rsid w:val="005A52F5"/>
    <w:rsid w:val="005A718F"/>
    <w:rsid w:val="005B29CB"/>
    <w:rsid w:val="005C0F5D"/>
    <w:rsid w:val="005E134C"/>
    <w:rsid w:val="005E7663"/>
    <w:rsid w:val="0067340A"/>
    <w:rsid w:val="006A3CE7"/>
    <w:rsid w:val="007516CF"/>
    <w:rsid w:val="007A71D7"/>
    <w:rsid w:val="007D5263"/>
    <w:rsid w:val="007F6CA4"/>
    <w:rsid w:val="0083588A"/>
    <w:rsid w:val="008575A2"/>
    <w:rsid w:val="00867A1F"/>
    <w:rsid w:val="008B33BC"/>
    <w:rsid w:val="008D2FEC"/>
    <w:rsid w:val="008E3B1E"/>
    <w:rsid w:val="009120E9"/>
    <w:rsid w:val="00916F45"/>
    <w:rsid w:val="0092011F"/>
    <w:rsid w:val="00925932"/>
    <w:rsid w:val="00945900"/>
    <w:rsid w:val="00974D22"/>
    <w:rsid w:val="00976BBA"/>
    <w:rsid w:val="00994656"/>
    <w:rsid w:val="009A7A7A"/>
    <w:rsid w:val="009B0131"/>
    <w:rsid w:val="009B50BE"/>
    <w:rsid w:val="009C20C0"/>
    <w:rsid w:val="009C396C"/>
    <w:rsid w:val="009C7748"/>
    <w:rsid w:val="009E5D4E"/>
    <w:rsid w:val="00A26347"/>
    <w:rsid w:val="00A30A7D"/>
    <w:rsid w:val="00A41064"/>
    <w:rsid w:val="00AD3F0F"/>
    <w:rsid w:val="00B032B3"/>
    <w:rsid w:val="00B17EA0"/>
    <w:rsid w:val="00B360D9"/>
    <w:rsid w:val="00B572B4"/>
    <w:rsid w:val="00B81C6B"/>
    <w:rsid w:val="00BA119D"/>
    <w:rsid w:val="00BF1AAD"/>
    <w:rsid w:val="00C70C20"/>
    <w:rsid w:val="00C82F70"/>
    <w:rsid w:val="00C90C4A"/>
    <w:rsid w:val="00C96B70"/>
    <w:rsid w:val="00C96DC1"/>
    <w:rsid w:val="00CB6828"/>
    <w:rsid w:val="00CC21B8"/>
    <w:rsid w:val="00D04958"/>
    <w:rsid w:val="00D55692"/>
    <w:rsid w:val="00D66AAA"/>
    <w:rsid w:val="00DB26A7"/>
    <w:rsid w:val="00DD40FA"/>
    <w:rsid w:val="00DF6680"/>
    <w:rsid w:val="00E135CB"/>
    <w:rsid w:val="00E4321D"/>
    <w:rsid w:val="00E76CAD"/>
    <w:rsid w:val="00E8301B"/>
    <w:rsid w:val="00E850E1"/>
    <w:rsid w:val="00E94B5F"/>
    <w:rsid w:val="00EC1404"/>
    <w:rsid w:val="00F0099E"/>
    <w:rsid w:val="00F30AB8"/>
    <w:rsid w:val="00F3166B"/>
    <w:rsid w:val="00FA68EC"/>
    <w:rsid w:val="00FB59C3"/>
    <w:rsid w:val="00FB7DB2"/>
    <w:rsid w:val="00FF1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7C4D622"/>
  <w15:chartTrackingRefBased/>
  <w15:docId w15:val="{BBB38800-B626-B14D-BD01-62800E9F1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66B"/>
    <w:pPr>
      <w:spacing w:after="0"/>
    </w:pPr>
    <w:rPr>
      <w:rFonts w:eastAsiaTheme="minorEastAsia"/>
      <w:color w:val="161718" w:themeColor="text1"/>
      <w:sz w:val="24"/>
      <w:szCs w:val="22"/>
      <w:lang w:val="en-GB"/>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spacing w:val="20"/>
      <w:kern w:val="28"/>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link w:val="NoSpacingChar"/>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table" w:styleId="TableGrid">
    <w:name w:val="Table Grid"/>
    <w:basedOn w:val="TableNormal"/>
    <w:uiPriority w:val="39"/>
    <w:rsid w:val="000F22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5263"/>
    <w:rPr>
      <w:color w:val="93C842" w:themeColor="hyperlink"/>
      <w:u w:val="single"/>
    </w:rPr>
  </w:style>
  <w:style w:type="character" w:styleId="UnresolvedMention">
    <w:name w:val="Unresolved Mention"/>
    <w:basedOn w:val="DefaultParagraphFont"/>
    <w:uiPriority w:val="99"/>
    <w:semiHidden/>
    <w:unhideWhenUsed/>
    <w:rsid w:val="007D5263"/>
    <w:rPr>
      <w:color w:val="605E5C"/>
      <w:shd w:val="clear" w:color="auto" w:fill="E1DFDD"/>
    </w:rPr>
  </w:style>
  <w:style w:type="paragraph" w:styleId="ListParagraph">
    <w:name w:val="List Paragraph"/>
    <w:basedOn w:val="Normal"/>
    <w:uiPriority w:val="34"/>
    <w:unhideWhenUsed/>
    <w:qFormat/>
    <w:rsid w:val="000C74FD"/>
    <w:pPr>
      <w:ind w:left="720"/>
      <w:contextualSpacing/>
    </w:pPr>
  </w:style>
  <w:style w:type="paragraph" w:styleId="Caption">
    <w:name w:val="caption"/>
    <w:basedOn w:val="Normal"/>
    <w:next w:val="Normal"/>
    <w:uiPriority w:val="35"/>
    <w:unhideWhenUsed/>
    <w:qFormat/>
    <w:rsid w:val="00C82F70"/>
    <w:pPr>
      <w:spacing w:after="200" w:line="240" w:lineRule="auto"/>
    </w:pPr>
    <w:rPr>
      <w:i/>
      <w:iCs/>
      <w:color w:val="282660" w:themeColor="text2"/>
      <w:sz w:val="18"/>
      <w:szCs w:val="18"/>
    </w:rPr>
  </w:style>
  <w:style w:type="character" w:customStyle="1" w:styleId="NoSpacingChar">
    <w:name w:val="No Spacing Char"/>
    <w:basedOn w:val="DefaultParagraphFont"/>
    <w:link w:val="NoSpacing"/>
    <w:uiPriority w:val="1"/>
    <w:rsid w:val="00A26347"/>
    <w:rPr>
      <w:rFonts w:eastAsia="Times New Roman" w:cs="Times New Roman"/>
      <w:spacing w:val="10"/>
    </w:rPr>
  </w:style>
  <w:style w:type="paragraph" w:styleId="FootnoteText">
    <w:name w:val="footnote text"/>
    <w:basedOn w:val="Normal"/>
    <w:link w:val="FootnoteTextChar"/>
    <w:uiPriority w:val="99"/>
    <w:semiHidden/>
    <w:unhideWhenUsed/>
    <w:rsid w:val="000E4D43"/>
    <w:pPr>
      <w:spacing w:line="240" w:lineRule="auto"/>
    </w:pPr>
    <w:rPr>
      <w:sz w:val="20"/>
      <w:szCs w:val="20"/>
    </w:rPr>
  </w:style>
  <w:style w:type="character" w:customStyle="1" w:styleId="FootnoteTextChar">
    <w:name w:val="Footnote Text Char"/>
    <w:basedOn w:val="DefaultParagraphFont"/>
    <w:link w:val="FootnoteText"/>
    <w:uiPriority w:val="99"/>
    <w:semiHidden/>
    <w:rsid w:val="000E4D43"/>
    <w:rPr>
      <w:rFonts w:eastAsiaTheme="minorEastAsia"/>
      <w:color w:val="161718" w:themeColor="text1"/>
      <w:sz w:val="20"/>
      <w:szCs w:val="20"/>
      <w:lang w:val="en-GB"/>
    </w:rPr>
  </w:style>
  <w:style w:type="character" w:styleId="FootnoteReference">
    <w:name w:val="footnote reference"/>
    <w:basedOn w:val="DefaultParagraphFont"/>
    <w:uiPriority w:val="99"/>
    <w:semiHidden/>
    <w:unhideWhenUsed/>
    <w:rsid w:val="000E4D43"/>
    <w:rPr>
      <w:vertAlign w:val="superscript"/>
    </w:rPr>
  </w:style>
  <w:style w:type="character" w:styleId="Emphasis">
    <w:name w:val="Emphasis"/>
    <w:basedOn w:val="DefaultParagraphFont"/>
    <w:uiPriority w:val="20"/>
    <w:qFormat/>
    <w:rsid w:val="00CC21B8"/>
    <w:rPr>
      <w:i/>
      <w:iCs/>
    </w:rPr>
  </w:style>
  <w:style w:type="table" w:styleId="GridTable1Light-Accent6">
    <w:name w:val="Grid Table 1 Light Accent 6"/>
    <w:basedOn w:val="TableNormal"/>
    <w:uiPriority w:val="46"/>
    <w:rsid w:val="005C0F5D"/>
    <w:pPr>
      <w:spacing w:after="0" w:line="240" w:lineRule="auto"/>
    </w:pPr>
    <w:rPr>
      <w:rFonts w:eastAsiaTheme="minorEastAsia"/>
      <w:sz w:val="24"/>
      <w:szCs w:val="24"/>
      <w:lang w:val="fr-FR" w:eastAsia="zh-CN"/>
    </w:rPr>
    <w:tblPr>
      <w:tblStyleRowBandSize w:val="1"/>
      <w:tblStyleColBandSize w:val="1"/>
      <w:tblBorders>
        <w:top w:val="single" w:sz="4" w:space="0" w:color="FA7BA8" w:themeColor="accent6" w:themeTint="66"/>
        <w:left w:val="single" w:sz="4" w:space="0" w:color="FA7BA8" w:themeColor="accent6" w:themeTint="66"/>
        <w:bottom w:val="single" w:sz="4" w:space="0" w:color="FA7BA8" w:themeColor="accent6" w:themeTint="66"/>
        <w:right w:val="single" w:sz="4" w:space="0" w:color="FA7BA8" w:themeColor="accent6" w:themeTint="66"/>
        <w:insideH w:val="single" w:sz="4" w:space="0" w:color="FA7BA8" w:themeColor="accent6" w:themeTint="66"/>
        <w:insideV w:val="single" w:sz="4" w:space="0" w:color="FA7BA8" w:themeColor="accent6" w:themeTint="66"/>
      </w:tblBorders>
    </w:tblPr>
    <w:tblStylePr w:type="firstRow">
      <w:rPr>
        <w:b/>
        <w:bCs/>
      </w:rPr>
      <w:tblPr/>
      <w:tcPr>
        <w:tcBorders>
          <w:bottom w:val="single" w:sz="12" w:space="0" w:color="F73A7D" w:themeColor="accent6" w:themeTint="99"/>
        </w:tcBorders>
      </w:tcPr>
    </w:tblStylePr>
    <w:tblStylePr w:type="lastRow">
      <w:rPr>
        <w:b/>
        <w:bCs/>
      </w:rPr>
      <w:tblPr/>
      <w:tcPr>
        <w:tcBorders>
          <w:top w:val="double" w:sz="2" w:space="0" w:color="F73A7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BE3BE-5818-4981-8912-4A0F4E86E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1023</Words>
  <Characters>5835</Characters>
  <Application>Microsoft Office Word</Application>
  <DocSecurity>0</DocSecurity>
  <Lines>48</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Joachim Waterschoot</cp:lastModifiedBy>
  <cp:revision>3</cp:revision>
  <dcterms:created xsi:type="dcterms:W3CDTF">2021-05-05T06:24:00Z</dcterms:created>
  <dcterms:modified xsi:type="dcterms:W3CDTF">2021-05-05T06:24:00Z</dcterms:modified>
</cp:coreProperties>
</file>