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 w:eastAsia="Microsoft YaHei"/>
          <w:b/>
          <w:color w:val="2E74B5"/>
          <w:sz w:val="20"/>
        </w:rPr>
        <w:t>ENTERPRISE CAPABILITY GUIDE</w:t>
      </w:r>
    </w:p>
    <w:p>
      <w:pPr>
        <w:pStyle w:val="Title"/>
      </w:pPr>
      <w:r>
        <w:rPr>
          <w:rFonts w:ascii="Calibri" w:hAnsi="Calibri" w:eastAsia="Microsoft YaHei"/>
          <w:b/>
          <w:color w:val="0B2545"/>
          <w:sz w:val="56"/>
        </w:rPr>
        <w:t>NebulaWorks Cloud 企业能力知识库</w:t>
      </w:r>
    </w:p>
    <w:p>
      <w:pPr>
        <w:pStyle w:val="Subtitle"/>
      </w:pPr>
      <w:r>
        <w:rPr>
          <w:rFonts w:ascii="Calibri" w:hAnsi="Calibri" w:eastAsia="Microsoft YaHei"/>
          <w:b w:val="0"/>
          <w:color w:val="667085"/>
          <w:sz w:val="26"/>
        </w:rPr>
        <w:t>用于 DealFlow RFP Agent 端到端测试的虚构产品资料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文档版本</w:t>
              <w:br/>
            </w: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2.4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发布日期</w:t>
              <w:br/>
            </w: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2026-08-31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资料类型</w:t>
              <w:br/>
            </w: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企业知识库 / 测试数据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适用产品</w:t>
              <w:br/>
            </w: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NebulaWorks Collaboration Cloud</w:t>
            </w:r>
          </w:p>
        </w:tc>
      </w:tr>
    </w:tbl>
    <w:p>
      <w:pPr>
        <w:spacing w:after="40"/>
      </w:pPr>
    </w:p>
    <w:p>
      <w:pPr>
        <w:pStyle w:val="Heading1"/>
      </w:pPr>
      <w:r>
        <w:t>1. 文档目的与产品概览</w:t>
      </w:r>
    </w:p>
    <w:p>
      <w:r>
        <w:rPr>
          <w:rFonts w:ascii="Calibri" w:hAnsi="Calibri" w:eastAsia="Microsoft YaHei"/>
        </w:rPr>
        <w:t>本文件描述一个完全虚构的企业协作平台，专门用于验证 DealFlow 的知识入库、向量检索、能力判断和 Proposal 生成。所有公司、产品、认证与服务指标均为测试数据，不代表真实承诺。</w:t>
      </w:r>
    </w:p>
    <w:p>
      <w:r>
        <w:rPr>
          <w:rFonts w:ascii="Calibri" w:hAnsi="Calibri" w:eastAsia="Microsoft YaHei"/>
        </w:rPr>
        <w:t>NebulaWorks Cloud 提供项目协作、文档管理、审批流程、开放 API、审计日志与多语言界面。标准版面向中型团队，企业版提供高级身份认证、扩展审计、专属支持和更高服务等级。</w:t>
      </w:r>
    </w:p>
    <w:p>
      <w:pPr>
        <w:pStyle w:val="Heading1"/>
      </w:pPr>
      <w:r>
        <w:t>2. 身份认证与访问控制</w:t>
      </w:r>
    </w:p>
    <w:p>
      <w:pPr>
        <w:pStyle w:val="ListBullet"/>
      </w:pPr>
      <w:r>
        <w:rPr>
          <w:rFonts w:ascii="Calibri" w:hAnsi="Calibri" w:eastAsia="Microsoft YaHei"/>
        </w:rPr>
        <w:t>平台在所有套餐中支持用户名密码登录、TOTP 多因素认证和 OIDC 单点登录。管理员可以强制所有用户启用 MFA。</w:t>
      </w:r>
    </w:p>
    <w:p>
      <w:pPr>
        <w:pStyle w:val="ListBullet"/>
      </w:pPr>
      <w:r>
        <w:rPr>
          <w:rFonts w:ascii="Calibri" w:hAnsi="Calibri" w:eastAsia="Microsoft YaHei"/>
        </w:rPr>
        <w:t>SAML 2.0 单点登录仅在企业版提供，已验证与 Microsoft Entra ID、Okta 和标准 SAML 2.0 Identity Provider 互操作。</w:t>
      </w:r>
    </w:p>
    <w:p>
      <w:pPr>
        <w:pStyle w:val="ListBullet"/>
      </w:pPr>
      <w:r>
        <w:rPr>
          <w:rFonts w:ascii="Calibri" w:hAnsi="Calibri" w:eastAsia="Microsoft YaHei"/>
        </w:rPr>
        <w:t>平台支持基于角色的访问控制（RBAC），内置系统管理员、空间管理员、编辑者、审阅者和只读用户角色。企业版可创建最多 50 个自定义角色。</w:t>
      </w:r>
    </w:p>
    <w:p>
      <w:pPr>
        <w:pStyle w:val="ListBullet"/>
      </w:pPr>
      <w:r>
        <w:rPr>
          <w:rFonts w:ascii="Calibri" w:hAnsi="Calibri" w:eastAsia="Microsoft YaHei"/>
        </w:rPr>
        <w:t>用户生命周期可以通过 SCIM 2.0 自动创建、停用和同步；SCIM 2.0 仅在企业版提供。</w:t>
      </w:r>
    </w:p>
    <w:p>
      <w:pPr>
        <w:pStyle w:val="Heading1"/>
      </w:pPr>
      <w:r>
        <w:t>3. 安全与合规</w:t>
      </w:r>
    </w:p>
    <w:p>
      <w:pPr>
        <w:pStyle w:val="ListBullet"/>
      </w:pPr>
      <w:r>
        <w:rPr>
          <w:rFonts w:ascii="Calibri" w:hAnsi="Calibri" w:eastAsia="Microsoft YaHei"/>
        </w:rPr>
        <w:t>所有公网通信使用 TLS 1.2 或 TLS 1.3；对象数据、数据库备份和搜索索引均采用 AES-256 静态加密。</w:t>
      </w:r>
    </w:p>
    <w:p>
      <w:pPr>
        <w:pStyle w:val="ListBullet"/>
      </w:pPr>
      <w:r>
        <w:rPr>
          <w:rFonts w:ascii="Calibri" w:hAnsi="Calibri" w:eastAsia="Microsoft YaHei"/>
        </w:rPr>
        <w:t>NebulaWorks Cloud 的 SaaS 生产环境已通过 ISO/IEC 27001:2022 和 SOC 2 Type II 审计。审计报告可在签署保密协议后提供给企业客户。</w:t>
      </w:r>
    </w:p>
    <w:p>
      <w:pPr>
        <w:pStyle w:val="ListBullet"/>
      </w:pPr>
      <w:r>
        <w:rPr>
          <w:rFonts w:ascii="Calibri" w:hAnsi="Calibri" w:eastAsia="Microsoft YaHei"/>
        </w:rPr>
        <w:t>审计日志记录登录、权限修改、数据导出、删除和管理员配置事件。标准版保留 90 天，企业版保留 365 天。日志可导出为 JSON 或发送到客户 SIEM。</w:t>
      </w:r>
    </w:p>
    <w:p>
      <w:pPr>
        <w:pStyle w:val="ListBullet"/>
      </w:pPr>
      <w:r>
        <w:rPr>
          <w:rFonts w:ascii="Calibri" w:hAnsi="Calibri" w:eastAsia="Microsoft YaHei"/>
        </w:rPr>
        <w:t>平台每年执行一次第三方渗透测试，并按季度进行依赖漏洞扫描。测试摘要可向企业客户提供。</w:t>
      </w:r>
    </w:p>
    <w:p>
      <w:pPr>
        <w:pStyle w:val="Heading1"/>
      </w:pPr>
      <w:r>
        <w:t>4. 部署模式与数据驻留</w:t>
      </w:r>
    </w:p>
    <w:p>
      <w:r>
        <w:rPr>
          <w:rFonts w:ascii="Calibri" w:hAnsi="Calibri" w:eastAsia="Microsoft YaHei"/>
        </w:rPr>
        <w:t>产品仅以多租户 SaaS 方式交付，不提供客户本地机房部署、私有化部署或离线部署。公司没有在 2026 年提供本地部署版本的计划。</w:t>
      </w:r>
    </w:p>
    <w:p>
      <w:r>
        <w:rPr>
          <w:rFonts w:ascii="Calibri" w:hAnsi="Calibri" w:eastAsia="Microsoft YaHei"/>
        </w:rPr>
        <w:t>可选数据区域为新加坡、法兰克福和美国西部。当前不提供中国大陆数据区域，也不承诺数据完全驻留于中国大陆。客户可以选择数据区域，但跨区域灾备仍受所选套餐约束。</w:t>
      </w:r>
    </w:p>
    <w:p>
      <w:pPr>
        <w:pStyle w:val="Heading1"/>
      </w:pPr>
      <w:r>
        <w:t>5. API 与业务集成</w:t>
      </w:r>
    </w:p>
    <w:p>
      <w:pPr>
        <w:pStyle w:val="ListBullet"/>
      </w:pPr>
      <w:r>
        <w:rPr>
          <w:rFonts w:ascii="Calibri" w:hAnsi="Calibri" w:eastAsia="Microsoft YaHei"/>
        </w:rPr>
        <w:t>平台提供版本化 REST API，覆盖用户、项目、任务、文档元数据、审批和审计查询。所有套餐均可使用 OAuth 2.0 Client Credentials。</w:t>
      </w:r>
    </w:p>
    <w:p>
      <w:pPr>
        <w:pStyle w:val="ListBullet"/>
      </w:pPr>
      <w:r>
        <w:rPr>
          <w:rFonts w:ascii="Calibri" w:hAnsi="Calibri" w:eastAsia="Microsoft YaHei"/>
        </w:rPr>
        <w:t>Webhook 支持项目变更、任务更新、审批状态和文档发布事件；失败投递按指数退避重试 24 小时。</w:t>
      </w:r>
    </w:p>
    <w:p>
      <w:pPr>
        <w:pStyle w:val="ListBullet"/>
      </w:pPr>
      <w:r>
        <w:rPr>
          <w:rFonts w:ascii="Calibri" w:hAnsi="Calibri" w:eastAsia="Microsoft YaHei"/>
        </w:rPr>
        <w:t>Salesforce、Microsoft Teams 和 Jira Cloud 提供开箱即用连接器。</w:t>
      </w:r>
    </w:p>
    <w:p>
      <w:pPr>
        <w:pStyle w:val="ListBullet"/>
      </w:pPr>
      <w:r>
        <w:rPr>
          <w:rFonts w:ascii="Calibri" w:hAnsi="Calibri" w:eastAsia="Microsoft YaHei"/>
        </w:rPr>
        <w:t>SAP S/4HANA 没有标准连接器。该集成需要通过 REST API 或中间件进行定制开发，并由专业服务团队完成需求评估和单独报价。</w:t>
      </w:r>
    </w:p>
    <w:p>
      <w:pPr>
        <w:pStyle w:val="ListBullet"/>
      </w:pPr>
      <w:r>
        <w:rPr>
          <w:rFonts w:ascii="Calibri" w:hAnsi="Calibri" w:eastAsia="Microsoft YaHei"/>
        </w:rPr>
        <w:t>数据可按 CSV 和 JSON 格式导出，附件可批量下载；导出任务保留完整的审计记录。</w:t>
      </w:r>
    </w:p>
    <w:p>
      <w:pPr>
        <w:pStyle w:val="Heading1"/>
      </w:pPr>
      <w:r>
        <w:t>6. 性能与容量</w:t>
      </w:r>
    </w:p>
    <w:p>
      <w:r>
        <w:rPr>
          <w:rFonts w:ascii="Calibri" w:hAnsi="Calibri" w:eastAsia="Microsoft YaHei"/>
        </w:rPr>
        <w:t>平台最近一次基准测试覆盖单租户 5,000 个并发会话。在该测试条件下，核心任务查询 API 的 P95 响应时间低于 2 秒。超过 5,000 并发的场景必须先进行容量评估和专项压测，当前没有 10,000 并发的通用性能承诺。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1800"/>
        <w:gridCol w:w="39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服务项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标准版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企业版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明确限制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月度可用性 SLA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99.90%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99.95%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不提供高于 99.95% 的标准 SLA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API 速率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600 次/分钟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3,000 次/分钟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更高配额需专项评估</w:t>
            </w:r>
          </w:p>
        </w:tc>
      </w:tr>
    </w:tbl>
    <w:p>
      <w:pPr>
        <w:pStyle w:val="Heading1"/>
      </w:pPr>
      <w:r>
        <w:t>7. 备份与灾难恢复</w:t>
      </w:r>
    </w:p>
    <w:p>
      <w:pPr>
        <w:pStyle w:val="ListBullet"/>
      </w:pPr>
      <w:r>
        <w:rPr>
          <w:rFonts w:ascii="Calibri" w:hAnsi="Calibri" w:eastAsia="Microsoft YaHei"/>
        </w:rPr>
        <w:t>标准版每天执行一次备份，目标 RPO 为 24 小时，目标 RTO 为 8 小时。</w:t>
      </w:r>
    </w:p>
    <w:p>
      <w:pPr>
        <w:pStyle w:val="ListBullet"/>
      </w:pPr>
      <w:r>
        <w:rPr>
          <w:rFonts w:ascii="Calibri" w:hAnsi="Calibri" w:eastAsia="Microsoft YaHei"/>
        </w:rPr>
        <w:t>企业版每 4 小时执行增量备份，目标 RPO 为 4 小时，目标 RTO 为 4 小时。</w:t>
      </w:r>
    </w:p>
    <w:p>
      <w:pPr>
        <w:pStyle w:val="ListBullet"/>
      </w:pPr>
      <w:r>
        <w:rPr>
          <w:rFonts w:ascii="Calibri" w:hAnsi="Calibri" w:eastAsia="Microsoft YaHei"/>
        </w:rPr>
        <w:t>当前产品不提供 RPO 1 小时或 RTO 2 小时的合同承诺。客户可以购买导出接口，在自有环境中保存额外副本。</w:t>
      </w:r>
    </w:p>
    <w:p>
      <w:pPr>
        <w:pStyle w:val="Heading1"/>
      </w:pPr>
      <w:r>
        <w:t>8. 客户支持与服务等级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20"/>
        <w:gridCol w:w="2160"/>
        <w:gridCol w:w="288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套餐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支持窗口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P1 首次响应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服务渠道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标准版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工作日 09:00-18:00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4 小时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工单、邮件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企业版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7x24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1 小时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工单、电话、专属群组</w:t>
            </w:r>
          </w:p>
        </w:tc>
      </w:tr>
    </w:tbl>
    <w:p>
      <w:r>
        <w:rPr>
          <w:rFonts w:ascii="Calibri" w:hAnsi="Calibri" w:eastAsia="Microsoft YaHei"/>
        </w:rPr>
        <w:t>企业版不提供 30 分钟以内的标准 P1 首次响应承诺。需要更短响应时间时，必须由服务团队进行可行性评估，不应在销售提案中直接承诺。</w:t>
      </w:r>
    </w:p>
    <w:p>
      <w:pPr>
        <w:pStyle w:val="Heading1"/>
      </w:pPr>
      <w:r>
        <w:t>9. 实施、迁移与专业服务</w:t>
      </w:r>
    </w:p>
    <w:p>
      <w:pPr>
        <w:pStyle w:val="ListBullet"/>
      </w:pPr>
      <w:r>
        <w:rPr>
          <w:rFonts w:ascii="Calibri" w:hAnsi="Calibri" w:eastAsia="Microsoft YaHei"/>
        </w:rPr>
        <w:t>标准企业实施周期通常为 10 至 12 周，包括环境配置、身份集成、管理员培训和上线支持。具体日期必须在发现阶段确认。</w:t>
      </w:r>
    </w:p>
    <w:p>
      <w:pPr>
        <w:pStyle w:val="ListBullet"/>
      </w:pPr>
      <w:r>
        <w:rPr>
          <w:rFonts w:ascii="Calibri" w:hAnsi="Calibri" w:eastAsia="Microsoft YaHei"/>
        </w:rPr>
        <w:t>对于 2 TB 以内、字段映射清晰的文档迁移，专业服务团队通常可以在 8 周内完成。超过 2 TB、包含历史版本或复杂权限继承的数据必须先进行迁移评估。</w:t>
      </w:r>
    </w:p>
    <w:p>
      <w:pPr>
        <w:pStyle w:val="ListBullet"/>
      </w:pPr>
      <w:r>
        <w:rPr>
          <w:rFonts w:ascii="Calibri" w:hAnsi="Calibri" w:eastAsia="Microsoft YaHei"/>
        </w:rPr>
        <w:t>迁移工具支持 CSV、JSON、ZIP 附件包和标准 API。数据清洗、SAP 集成与自定义工作流属于单独计费的专业服务。</w:t>
      </w:r>
    </w:p>
    <w:p>
      <w:pPr>
        <w:pStyle w:val="ListBullet"/>
      </w:pPr>
      <w:r>
        <w:rPr>
          <w:rFonts w:ascii="Calibri" w:hAnsi="Calibri" w:eastAsia="Microsoft YaHei"/>
        </w:rPr>
        <w:t>任何实施周期、迁移吞吐量和定制工作量都必须经项目评估后才能形成合同承诺。</w:t>
      </w:r>
    </w:p>
    <w:p>
      <w:pPr>
        <w:pStyle w:val="Heading1"/>
      </w:pPr>
      <w:r>
        <w:t>10. 本地化与客户端</w:t>
      </w:r>
    </w:p>
    <w:p>
      <w:pPr>
        <w:pStyle w:val="ListBullet"/>
      </w:pPr>
      <w:r>
        <w:rPr>
          <w:rFonts w:ascii="Calibri" w:hAnsi="Calibri" w:eastAsia="Microsoft YaHei"/>
        </w:rPr>
        <w:t>Web 与移动客户端支持简体中文和英文界面，用户可以独立选择语言。系统通知模板也支持中英文。</w:t>
      </w:r>
    </w:p>
    <w:p>
      <w:pPr>
        <w:pStyle w:val="ListBullet"/>
      </w:pPr>
      <w:r>
        <w:rPr>
          <w:rFonts w:ascii="Calibri" w:hAnsi="Calibri" w:eastAsia="Microsoft YaHei"/>
        </w:rPr>
        <w:t>iOS 与 Android 客户端支持在线访问、推送通知和附件预览。</w:t>
      </w:r>
    </w:p>
    <w:p>
      <w:pPr>
        <w:pStyle w:val="ListBullet"/>
      </w:pPr>
      <w:r>
        <w:rPr>
          <w:rFonts w:ascii="Calibri" w:hAnsi="Calibri" w:eastAsia="Microsoft YaHei"/>
        </w:rPr>
        <w:t>移动客户端不支持离线创建或编辑业务数据，也不支持离线缓存 72 小时后再同步。所有写操作必须连接服务端。</w:t>
      </w:r>
    </w:p>
    <w:p>
      <w:pPr>
        <w:pStyle w:val="Heading1"/>
      </w:pPr>
      <w:r>
        <w:t>11. 商务边界</w:t>
      </w:r>
    </w:p>
    <w:p>
      <w:r>
        <w:rPr>
          <w:rFonts w:ascii="Calibri" w:hAnsi="Calibri" w:eastAsia="Microsoft YaHei"/>
        </w:rPr>
        <w:t>本知识库不包含产品定价、折扣、税费、实施报价或年度合同上限。任何价格、付款条件和商业承诺都必须由商务团队单独审核。因此，检索不到价格证据时应标记为 NEED_REVIEW，而不是推测报价。</w:t>
      </w:r>
    </w:p>
    <w:p>
      <w:r>
        <w:rPr>
          <w:rFonts w:ascii="Calibri" w:hAnsi="Calibri" w:eastAsia="Microsoft YaHei"/>
        </w:rPr>
        <w:t>结论使用原则：只有本文明确支持的能力才能判定为 SUPPORTED；仅企业版提供的能力应判定为 ENTERPRISE_ONLY；需要专业服务或开发的能力应判定为 REQUIRES_CUSTOMIZATION；本文明确排除的能力应判定为 UNSUPPORTED。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8"/>
      </w:rPr>
      <w:t>NebulaWorks Cloud | 企业能力知识库 | 测试资料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b w:val="0"/>
      <w:color w:val="202124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b w:val="0"/>
      <w:color w:val="202124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NebulaWorks Cloud 企业能力知识库</dc:title>
  <dc:subject>DealFlow RFP Agent 测试知识库</dc:subject>
  <dc:creator>DealFlow Test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