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eastAsia="Microsoft YaHei"/>
          <w:b/>
          <w:color w:val="2E74B5"/>
          <w:sz w:val="20"/>
        </w:rPr>
        <w:t>REQUEST FOR PROPOSAL</w:t>
      </w:r>
    </w:p>
    <w:p>
      <w:pPr>
        <w:pStyle w:val="Title"/>
      </w:pPr>
      <w:r>
        <w:rPr>
          <w:rFonts w:ascii="Calibri" w:hAnsi="Calibri" w:eastAsia="Microsoft YaHei"/>
          <w:b/>
          <w:color w:val="0B2545"/>
          <w:sz w:val="56"/>
        </w:rPr>
        <w:t>企业协作与流程管理平台采购需求书</w:t>
      </w:r>
    </w:p>
    <w:p>
      <w:pPr>
        <w:pStyle w:val="Subtitle"/>
      </w:pPr>
      <w:r>
        <w:rPr>
          <w:rFonts w:ascii="Calibri" w:hAnsi="Calibri" w:eastAsia="Microsoft YaHei"/>
          <w:b w:val="0"/>
          <w:color w:val="667085"/>
          <w:sz w:val="26"/>
        </w:rPr>
        <w:t>华东智造集团数字化工作平台项目（测试 RFP）</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vAlign w:val="center"/>
          </w:tcPr>
          <w:p>
            <w:pPr>
              <w:spacing w:before="0" w:after="40" w:line="240" w:lineRule="auto"/>
            </w:pPr>
            <w:r>
              <w:rPr>
                <w:rFonts w:ascii="Calibri" w:hAnsi="Calibri" w:eastAsia="Microsoft YaHei"/>
                <w:b w:val="0"/>
                <w:color w:val="202124"/>
                <w:sz w:val="19"/>
              </w:rPr>
              <w:t>RFP 编号</w:t>
              <w:br/>
            </w:r>
            <w:r>
              <w:rPr>
                <w:rFonts w:ascii="Calibri" w:hAnsi="Calibri" w:eastAsia="Microsoft YaHei"/>
                <w:b w:val="0"/>
                <w:color w:val="202124"/>
                <w:sz w:val="19"/>
              </w:rPr>
              <w:t>ECM-2026-017</w:t>
            </w:r>
          </w:p>
        </w:tc>
        <w:tc>
          <w:tcPr>
            <w:tcW w:type="dxa" w:w="4680"/>
            <w:shd w:fill="E8EEF5"/>
            <w:tcMar>
              <w:top w:w="80" w:type="dxa"/>
              <w:start w:w="120" w:type="dxa"/>
              <w:bottom w:w="80" w:type="dxa"/>
              <w:end w:w="120" w:type="dxa"/>
            </w:tcMar>
            <w:vAlign w:val="center"/>
          </w:tcPr>
          <w:p>
            <w:pPr>
              <w:spacing w:before="0" w:after="40" w:line="240" w:lineRule="auto"/>
            </w:pPr>
            <w:r>
              <w:rPr>
                <w:rFonts w:ascii="Calibri" w:hAnsi="Calibri" w:eastAsia="Microsoft YaHei"/>
                <w:b w:val="0"/>
                <w:color w:val="202124"/>
                <w:sz w:val="19"/>
              </w:rPr>
              <w:t>发布日期</w:t>
              <w:br/>
            </w:r>
            <w:r>
              <w:rPr>
                <w:rFonts w:ascii="Calibri" w:hAnsi="Calibri" w:eastAsia="Microsoft YaHei"/>
                <w:b w:val="0"/>
                <w:color w:val="202124"/>
                <w:sz w:val="19"/>
              </w:rPr>
              <w:t>2026-08-31</w:t>
            </w:r>
          </w:p>
        </w:tc>
      </w:tr>
      <w:tr>
        <w:tc>
          <w:tcPr>
            <w:tcW w:type="dxa" w:w="4680"/>
            <w:shd w:fill="FFFFFF"/>
            <w:tcMar>
              <w:top w:w="80" w:type="dxa"/>
              <w:start w:w="120" w:type="dxa"/>
              <w:bottom w:w="80" w:type="dxa"/>
              <w:end w:w="120" w:type="dxa"/>
            </w:tcMar>
            <w:vAlign w:val="center"/>
          </w:tcPr>
          <w:p>
            <w:pPr>
              <w:spacing w:before="0" w:after="40" w:line="240" w:lineRule="auto"/>
            </w:pPr>
            <w:r>
              <w:rPr>
                <w:rFonts w:ascii="Calibri" w:hAnsi="Calibri" w:eastAsia="Microsoft YaHei"/>
                <w:b w:val="0"/>
                <w:color w:val="202124"/>
                <w:sz w:val="19"/>
              </w:rPr>
              <w:t>响应截止</w:t>
              <w:br/>
            </w:r>
            <w:r>
              <w:rPr>
                <w:rFonts w:ascii="Calibri" w:hAnsi="Calibri" w:eastAsia="Microsoft YaHei"/>
                <w:b w:val="0"/>
                <w:color w:val="202124"/>
                <w:sz w:val="19"/>
              </w:rPr>
              <w:t>2026-09-15 17:00 CST</w:t>
            </w:r>
          </w:p>
        </w:tc>
        <w:tc>
          <w:tcPr>
            <w:tcW w:type="dxa" w:w="4680"/>
            <w:shd w:fill="FFFFFF"/>
            <w:tcMar>
              <w:top w:w="80" w:type="dxa"/>
              <w:start w:w="120" w:type="dxa"/>
              <w:bottom w:w="80" w:type="dxa"/>
              <w:end w:w="120" w:type="dxa"/>
            </w:tcMar>
            <w:vAlign w:val="center"/>
          </w:tcPr>
          <w:p>
            <w:pPr>
              <w:spacing w:before="0" w:after="40" w:line="240" w:lineRule="auto"/>
            </w:pPr>
            <w:r>
              <w:rPr>
                <w:rFonts w:ascii="Calibri" w:hAnsi="Calibri" w:eastAsia="Microsoft YaHei"/>
                <w:b w:val="0"/>
                <w:color w:val="202124"/>
                <w:sz w:val="19"/>
              </w:rPr>
              <w:t>项目优先级</w:t>
              <w:br/>
            </w:r>
            <w:r>
              <w:rPr>
                <w:rFonts w:ascii="Calibri" w:hAnsi="Calibri" w:eastAsia="Microsoft YaHei"/>
                <w:b w:val="0"/>
                <w:color w:val="202124"/>
                <w:sz w:val="19"/>
              </w:rPr>
              <w:t>高</w:t>
            </w:r>
          </w:p>
        </w:tc>
      </w:tr>
    </w:tbl>
    <w:p>
      <w:pPr>
        <w:spacing w:after="40"/>
      </w:pPr>
    </w:p>
    <w:p>
      <w:pPr>
        <w:pStyle w:val="Heading1"/>
      </w:pPr>
      <w:r>
        <w:t>1. 项目背景</w:t>
      </w:r>
    </w:p>
    <w:p>
      <w:r>
        <w:rPr>
          <w:rFonts w:ascii="Calibri" w:hAnsi="Calibri" w:eastAsia="Microsoft YaHei"/>
        </w:rPr>
        <w:t>华东智造集团计划为总部及六家子公司采购统一的企业协作与流程管理平台。当前约有 8,000 名员工使用多个独立系统，项目目标是统一身份认证、文档协作、审批流程、审计追踪和移动访问。</w:t>
      </w:r>
    </w:p>
    <w:p>
      <w:r>
        <w:rPr>
          <w:rFonts w:ascii="Calibri" w:hAnsi="Calibri" w:eastAsia="Microsoft YaHei"/>
        </w:rPr>
        <w:t>供应商应基于现有成熟产品响应，不得将尚未发布的路线图能力描述为已交付功能。所有不满足项、套餐限制、定制工作和前置条件必须在提案中明确说明。</w:t>
      </w:r>
    </w:p>
    <w:p>
      <w:pPr>
        <w:pStyle w:val="Heading1"/>
      </w:pPr>
      <w:r>
        <w:t>2. 响应原则</w:t>
      </w:r>
    </w:p>
    <w:p>
      <w:pPr>
        <w:pStyle w:val="ListBullet"/>
      </w:pPr>
      <w:r>
        <w:rPr>
          <w:rFonts w:ascii="Calibri" w:hAnsi="Calibri" w:eastAsia="Microsoft YaHei"/>
        </w:rPr>
        <w:t>标记为“必须”的要求属于关键评审项，供应商必须逐项说明支持情况及证据。</w:t>
      </w:r>
    </w:p>
    <w:p>
      <w:pPr>
        <w:pStyle w:val="ListBullet"/>
      </w:pPr>
      <w:r>
        <w:rPr>
          <w:rFonts w:ascii="Calibri" w:hAnsi="Calibri" w:eastAsia="Microsoft YaHei"/>
        </w:rPr>
        <w:t>若能力仅在特定套餐提供，必须注明套餐；若需要定制开发，必须说明范围和风险。</w:t>
      </w:r>
    </w:p>
    <w:p>
      <w:pPr>
        <w:pStyle w:val="ListBullet"/>
      </w:pPr>
      <w:r>
        <w:rPr>
          <w:rFonts w:ascii="Calibri" w:hAnsi="Calibri" w:eastAsia="Microsoft YaHei"/>
        </w:rPr>
        <w:t>不得虚构认证、SLA、价格、实施周期或接口能力。未知信息应明确标记为待确认。</w:t>
      </w:r>
    </w:p>
    <w:p>
      <w:r>
        <w:br w:type="page"/>
      </w:r>
    </w:p>
    <w:p>
      <w:pPr>
        <w:pStyle w:val="Heading1"/>
      </w:pPr>
      <w:r>
        <w:t>3. 功能、安全与集成要求</w:t>
      </w:r>
    </w:p>
    <w:p>
      <w:pPr>
        <w:pStyle w:val="Heading2"/>
        <w:spacing w:before="120" w:after="60"/>
      </w:pPr>
      <w:r>
        <w:rPr>
          <w:rFonts w:ascii="Calibri" w:hAnsi="Calibri" w:eastAsia="Microsoft YaHei"/>
          <w:b/>
          <w:color w:val="1F4D78"/>
          <w:sz w:val="24"/>
        </w:rPr>
        <w:t>REQ-001  SAML 单点登录</w:t>
      </w:r>
    </w:p>
    <w:p>
      <w:pPr>
        <w:spacing w:after="60" w:line="252" w:lineRule="auto"/>
      </w:pPr>
      <w:r>
        <w:rPr>
          <w:rFonts w:ascii="Calibri" w:hAnsi="Calibri" w:eastAsia="Microsoft YaHei"/>
        </w:rPr>
        <w:t>平台必须支持符合 SAML 2.0 标准的单点登录，并能够与 Microsoft Entra ID 对接。</w:t>
      </w:r>
    </w:p>
    <w:p>
      <w:pPr>
        <w:pStyle w:val="ListBullet"/>
        <w:spacing w:after="80" w:line="252" w:lineRule="auto"/>
      </w:pPr>
      <w:r>
        <w:rPr>
          <w:rFonts w:ascii="Calibri" w:hAnsi="Calibri" w:eastAsia="Microsoft YaHei"/>
          <w:sz w:val="21"/>
        </w:rPr>
        <w:t>验收：测试用户可由 Entra ID 发起登录。</w:t>
      </w:r>
    </w:p>
    <w:p>
      <w:pPr>
        <w:pStyle w:val="ListBullet"/>
        <w:spacing w:after="80" w:line="252" w:lineRule="auto"/>
      </w:pPr>
      <w:r>
        <w:rPr>
          <w:rFonts w:ascii="Calibri" w:hAnsi="Calibri" w:eastAsia="Microsoft YaHei"/>
          <w:sz w:val="21"/>
        </w:rPr>
        <w:t>验收：供应商说明该能力所属套餐。</w:t>
      </w:r>
    </w:p>
    <w:p>
      <w:pPr>
        <w:pStyle w:val="Heading2"/>
        <w:spacing w:before="120" w:after="60"/>
      </w:pPr>
      <w:r>
        <w:rPr>
          <w:rFonts w:ascii="Calibri" w:hAnsi="Calibri" w:eastAsia="Microsoft YaHei"/>
          <w:b/>
          <w:color w:val="1F4D78"/>
          <w:sz w:val="24"/>
        </w:rPr>
        <w:t>REQ-002  多因素认证与角色权限</w:t>
      </w:r>
    </w:p>
    <w:p>
      <w:pPr>
        <w:spacing w:after="60" w:line="252" w:lineRule="auto"/>
      </w:pPr>
      <w:r>
        <w:rPr>
          <w:rFonts w:ascii="Calibri" w:hAnsi="Calibri" w:eastAsia="Microsoft YaHei"/>
        </w:rPr>
        <w:t>平台必须支持管理员强制 MFA，并提供基于角色的访问控制；项目管理员不得拥有系统级配置权限。</w:t>
      </w:r>
    </w:p>
    <w:p>
      <w:pPr>
        <w:pStyle w:val="ListBullet"/>
        <w:spacing w:after="80" w:line="252" w:lineRule="auto"/>
      </w:pPr>
      <w:r>
        <w:rPr>
          <w:rFonts w:ascii="Calibri" w:hAnsi="Calibri" w:eastAsia="Microsoft YaHei"/>
          <w:sz w:val="21"/>
        </w:rPr>
        <w:t>验收：可配置至少五种角色。</w:t>
      </w:r>
    </w:p>
    <w:p>
      <w:pPr>
        <w:pStyle w:val="ListBullet"/>
        <w:spacing w:after="80" w:line="252" w:lineRule="auto"/>
      </w:pPr>
      <w:r>
        <w:rPr>
          <w:rFonts w:ascii="Calibri" w:hAnsi="Calibri" w:eastAsia="Microsoft YaHei"/>
          <w:sz w:val="21"/>
        </w:rPr>
        <w:t>验收：提供角色权限矩阵和 MFA 管理说明。</w:t>
      </w:r>
    </w:p>
    <w:p>
      <w:pPr>
        <w:pStyle w:val="Heading2"/>
        <w:spacing w:before="120" w:after="60"/>
      </w:pPr>
      <w:r>
        <w:rPr>
          <w:rFonts w:ascii="Calibri" w:hAnsi="Calibri" w:eastAsia="Microsoft YaHei"/>
          <w:b/>
          <w:color w:val="1F4D78"/>
          <w:sz w:val="24"/>
        </w:rPr>
        <w:t>REQ-003  传输与静态加密</w:t>
      </w:r>
    </w:p>
    <w:p>
      <w:pPr>
        <w:spacing w:after="60" w:line="252" w:lineRule="auto"/>
      </w:pPr>
      <w:r>
        <w:rPr>
          <w:rFonts w:ascii="Calibri" w:hAnsi="Calibri" w:eastAsia="Microsoft YaHei"/>
        </w:rPr>
        <w:t>所有客户数据必须在传输过程中使用 TLS 1.2 或更高版本，并在静态存储时采用 AES-256 加密。</w:t>
      </w:r>
    </w:p>
    <w:p>
      <w:pPr>
        <w:pStyle w:val="ListBullet"/>
        <w:spacing w:after="80" w:line="252" w:lineRule="auto"/>
      </w:pPr>
      <w:r>
        <w:rPr>
          <w:rFonts w:ascii="Calibri" w:hAnsi="Calibri" w:eastAsia="Microsoft YaHei"/>
          <w:sz w:val="21"/>
        </w:rPr>
        <w:t>验收：供应商提交加密机制说明。</w:t>
      </w:r>
    </w:p>
    <w:p>
      <w:pPr>
        <w:pStyle w:val="Heading2"/>
        <w:spacing w:before="120" w:after="60"/>
      </w:pPr>
      <w:r>
        <w:rPr>
          <w:rFonts w:ascii="Calibri" w:hAnsi="Calibri" w:eastAsia="Microsoft YaHei"/>
          <w:b/>
          <w:color w:val="1F4D78"/>
          <w:sz w:val="24"/>
        </w:rPr>
        <w:t>REQ-004  安全认证</w:t>
      </w:r>
    </w:p>
    <w:p>
      <w:pPr>
        <w:spacing w:after="60" w:line="252" w:lineRule="auto"/>
      </w:pPr>
      <w:r>
        <w:rPr>
          <w:rFonts w:ascii="Calibri" w:hAnsi="Calibri" w:eastAsia="Microsoft YaHei"/>
        </w:rPr>
        <w:t>供应商必须持有有效的 ISO/IEC 27001 认证和 SOC 2 Type II 审计报告，并允许在保密协议下查阅证明材料。</w:t>
      </w:r>
    </w:p>
    <w:p>
      <w:pPr>
        <w:pStyle w:val="ListBullet"/>
        <w:spacing w:after="80" w:line="252" w:lineRule="auto"/>
      </w:pPr>
      <w:r>
        <w:rPr>
          <w:rFonts w:ascii="Calibri" w:hAnsi="Calibri" w:eastAsia="Microsoft YaHei"/>
          <w:sz w:val="21"/>
        </w:rPr>
        <w:t>验收：签署 NDA 后提供报告或证书。</w:t>
      </w:r>
    </w:p>
    <w:p>
      <w:pPr>
        <w:pStyle w:val="Heading2"/>
        <w:spacing w:before="120" w:after="60"/>
      </w:pPr>
      <w:r>
        <w:rPr>
          <w:rFonts w:ascii="Calibri" w:hAnsi="Calibri" w:eastAsia="Microsoft YaHei"/>
          <w:b/>
          <w:color w:val="1F4D78"/>
          <w:sz w:val="24"/>
        </w:rPr>
        <w:t>REQ-005  部署与数据驻留</w:t>
      </w:r>
    </w:p>
    <w:p>
      <w:pPr>
        <w:spacing w:after="60" w:line="252" w:lineRule="auto"/>
      </w:pPr>
      <w:r>
        <w:rPr>
          <w:rFonts w:ascii="Calibri" w:hAnsi="Calibri" w:eastAsia="Microsoft YaHei"/>
        </w:rPr>
        <w:t>平台必须支持部署在客户位于中国大陆的自有数据中心，生产数据和备份不得离开中国大陆。纯境外 SaaS 方案不予接受。</w:t>
      </w:r>
    </w:p>
    <w:p>
      <w:pPr>
        <w:pStyle w:val="ListBullet"/>
        <w:spacing w:after="80" w:line="252" w:lineRule="auto"/>
      </w:pPr>
      <w:r>
        <w:rPr>
          <w:rFonts w:ascii="Calibri" w:hAnsi="Calibri" w:eastAsia="Microsoft YaHei"/>
          <w:sz w:val="21"/>
        </w:rPr>
        <w:t>验收：提交部署拓扑和数据流向说明。</w:t>
      </w:r>
    </w:p>
    <w:p>
      <w:pPr>
        <w:pStyle w:val="Heading2"/>
        <w:spacing w:before="120" w:after="60"/>
      </w:pPr>
      <w:r>
        <w:rPr>
          <w:rFonts w:ascii="Calibri" w:hAnsi="Calibri" w:eastAsia="Microsoft YaHei"/>
          <w:b/>
          <w:color w:val="1F4D78"/>
          <w:sz w:val="24"/>
        </w:rPr>
        <w:t>REQ-006  开放接口与事件通知</w:t>
      </w:r>
    </w:p>
    <w:p>
      <w:pPr>
        <w:spacing w:after="60" w:line="252" w:lineRule="auto"/>
      </w:pPr>
      <w:r>
        <w:rPr>
          <w:rFonts w:ascii="Calibri" w:hAnsi="Calibri" w:eastAsia="Microsoft YaHei"/>
        </w:rPr>
        <w:t>平台必须提供版本化 REST API 和 Webhook，覆盖用户、项目、任务、文档元数据、审批状态与审计查询。</w:t>
      </w:r>
    </w:p>
    <w:p>
      <w:pPr>
        <w:pStyle w:val="ListBullet"/>
        <w:spacing w:after="80" w:line="252" w:lineRule="auto"/>
      </w:pPr>
      <w:r>
        <w:rPr>
          <w:rFonts w:ascii="Calibri" w:hAnsi="Calibri" w:eastAsia="Microsoft YaHei"/>
          <w:sz w:val="21"/>
        </w:rPr>
        <w:t>验收：提供 API 文档及认证方式。</w:t>
      </w:r>
    </w:p>
    <w:p>
      <w:pPr>
        <w:pStyle w:val="ListBullet"/>
        <w:spacing w:after="80" w:line="252" w:lineRule="auto"/>
      </w:pPr>
      <w:r>
        <w:rPr>
          <w:rFonts w:ascii="Calibri" w:hAnsi="Calibri" w:eastAsia="Microsoft YaHei"/>
          <w:sz w:val="21"/>
        </w:rPr>
        <w:t>验收：Webhook 失败后支持自动重试。</w:t>
      </w:r>
    </w:p>
    <w:p>
      <w:pPr>
        <w:pStyle w:val="Heading2"/>
        <w:spacing w:before="120" w:after="60"/>
      </w:pPr>
      <w:r>
        <w:rPr>
          <w:rFonts w:ascii="Calibri" w:hAnsi="Calibri" w:eastAsia="Microsoft YaHei"/>
          <w:b/>
          <w:color w:val="1F4D78"/>
          <w:sz w:val="24"/>
        </w:rPr>
        <w:t>REQ-007  SAP S/4HANA 标准连接器</w:t>
      </w:r>
    </w:p>
    <w:p>
      <w:pPr>
        <w:spacing w:after="60" w:line="252" w:lineRule="auto"/>
      </w:pPr>
      <w:r>
        <w:rPr>
          <w:rFonts w:ascii="Calibri" w:hAnsi="Calibri" w:eastAsia="Microsoft YaHei"/>
        </w:rPr>
        <w:t>平台必须提供开箱即用的 SAP S/4HANA 标准连接器，首期项目不接受编写自定义代码或采购第三方中间件。</w:t>
      </w:r>
    </w:p>
    <w:p>
      <w:pPr>
        <w:pStyle w:val="ListBullet"/>
        <w:spacing w:after="80" w:line="252" w:lineRule="auto"/>
      </w:pPr>
      <w:r>
        <w:rPr>
          <w:rFonts w:ascii="Calibri" w:hAnsi="Calibri" w:eastAsia="Microsoft YaHei"/>
          <w:sz w:val="21"/>
        </w:rPr>
        <w:t>验收：演示从 SAP 同步主数据和审批结果。</w:t>
      </w:r>
    </w:p>
    <w:p>
      <w:pPr>
        <w:pStyle w:val="Heading2"/>
        <w:spacing w:before="120" w:after="60"/>
      </w:pPr>
      <w:r>
        <w:rPr>
          <w:rFonts w:ascii="Calibri" w:hAnsi="Calibri" w:eastAsia="Microsoft YaHei"/>
          <w:b/>
          <w:color w:val="1F4D78"/>
          <w:sz w:val="24"/>
        </w:rPr>
        <w:t>REQ-008  审计日志保留</w:t>
      </w:r>
    </w:p>
    <w:p>
      <w:pPr>
        <w:spacing w:after="60" w:line="252" w:lineRule="auto"/>
      </w:pPr>
      <w:r>
        <w:rPr>
          <w:rFonts w:ascii="Calibri" w:hAnsi="Calibri" w:eastAsia="Microsoft YaHei"/>
        </w:rPr>
        <w:t>平台必须记录登录、权限变更、导出、删除和管理员配置事件，并在线保留不少于 365 天。</w:t>
      </w:r>
    </w:p>
    <w:p>
      <w:pPr>
        <w:pStyle w:val="ListBullet"/>
        <w:spacing w:after="80" w:line="252" w:lineRule="auto"/>
      </w:pPr>
      <w:r>
        <w:rPr>
          <w:rFonts w:ascii="Calibri" w:hAnsi="Calibri" w:eastAsia="Microsoft YaHei"/>
          <w:sz w:val="21"/>
        </w:rPr>
        <w:t>验收：审计日志可导出为 JSON 并发送至集团 SIEM。</w:t>
      </w:r>
    </w:p>
    <w:p>
      <w:pPr>
        <w:pStyle w:val="Heading2"/>
        <w:spacing w:before="120" w:after="60"/>
      </w:pPr>
      <w:r>
        <w:rPr>
          <w:rFonts w:ascii="Calibri" w:hAnsi="Calibri" w:eastAsia="Microsoft YaHei"/>
          <w:b/>
          <w:color w:val="1F4D78"/>
          <w:sz w:val="24"/>
        </w:rPr>
        <w:t>REQ-009  开放格式导出</w:t>
      </w:r>
    </w:p>
    <w:p>
      <w:pPr>
        <w:spacing w:after="60" w:line="252" w:lineRule="auto"/>
      </w:pPr>
      <w:r>
        <w:rPr>
          <w:rFonts w:ascii="Calibri" w:hAnsi="Calibri" w:eastAsia="Microsoft YaHei"/>
        </w:rPr>
        <w:t>平台必须允许管理员以 CSV 或 JSON 导出业务数据，并能够批量下载附件，避免供应商锁定。</w:t>
      </w:r>
    </w:p>
    <w:p>
      <w:pPr>
        <w:pStyle w:val="ListBullet"/>
        <w:spacing w:after="80" w:line="252" w:lineRule="auto"/>
      </w:pPr>
      <w:r>
        <w:rPr>
          <w:rFonts w:ascii="Calibri" w:hAnsi="Calibri" w:eastAsia="Microsoft YaHei"/>
          <w:sz w:val="21"/>
        </w:rPr>
        <w:t>验收：执行一次完整测试空间导出。</w:t>
      </w:r>
    </w:p>
    <w:p>
      <w:pPr>
        <w:pStyle w:val="Heading1"/>
      </w:pPr>
      <w:r>
        <w:t>4. 性能、连续性与支持要求</w:t>
      </w:r>
    </w:p>
    <w:p>
      <w:pPr>
        <w:pStyle w:val="Heading2"/>
        <w:spacing w:before="120" w:after="60"/>
      </w:pPr>
      <w:r>
        <w:rPr>
          <w:rFonts w:ascii="Calibri" w:hAnsi="Calibri" w:eastAsia="Microsoft YaHei"/>
          <w:b/>
          <w:color w:val="1F4D78"/>
          <w:sz w:val="24"/>
        </w:rPr>
        <w:t>REQ-010  可用性 SLA</w:t>
      </w:r>
    </w:p>
    <w:p>
      <w:pPr>
        <w:spacing w:after="60" w:line="252" w:lineRule="auto"/>
      </w:pPr>
      <w:r>
        <w:rPr>
          <w:rFonts w:ascii="Calibri" w:hAnsi="Calibri" w:eastAsia="Microsoft YaHei"/>
        </w:rPr>
        <w:t>生产服务必须提供不低于 99.99% 的月度可用性 SLA，并在合同中约定未达标补偿。</w:t>
      </w:r>
    </w:p>
    <w:p>
      <w:pPr>
        <w:pStyle w:val="ListBullet"/>
        <w:spacing w:after="80" w:line="252" w:lineRule="auto"/>
      </w:pPr>
      <w:r>
        <w:rPr>
          <w:rFonts w:ascii="Calibri" w:hAnsi="Calibri" w:eastAsia="Microsoft YaHei"/>
          <w:sz w:val="21"/>
        </w:rPr>
        <w:t>验收：提供可执行的 SLA 条款。</w:t>
      </w:r>
    </w:p>
    <w:p>
      <w:pPr>
        <w:pStyle w:val="Heading2"/>
        <w:spacing w:before="120" w:after="60"/>
      </w:pPr>
      <w:r>
        <w:rPr>
          <w:rFonts w:ascii="Calibri" w:hAnsi="Calibri" w:eastAsia="Microsoft YaHei"/>
          <w:b/>
          <w:color w:val="1F4D78"/>
          <w:sz w:val="24"/>
        </w:rPr>
        <w:t>REQ-011  高并发性能</w:t>
      </w:r>
    </w:p>
    <w:p>
      <w:pPr>
        <w:spacing w:after="60" w:line="252" w:lineRule="auto"/>
      </w:pPr>
      <w:r>
        <w:rPr>
          <w:rFonts w:ascii="Calibri" w:hAnsi="Calibri" w:eastAsia="Microsoft YaHei"/>
        </w:rPr>
        <w:t>平台必须支持单租户 10,000 个并发会话；核心查询接口在该负载下的 P95 响应时间必须低于 2 秒。</w:t>
      </w:r>
    </w:p>
    <w:p>
      <w:pPr>
        <w:pStyle w:val="ListBullet"/>
        <w:spacing w:after="80" w:line="252" w:lineRule="auto"/>
      </w:pPr>
      <w:r>
        <w:rPr>
          <w:rFonts w:ascii="Calibri" w:hAnsi="Calibri" w:eastAsia="Microsoft YaHei"/>
          <w:sz w:val="21"/>
        </w:rPr>
        <w:t>验收：提供对应规模的压测报告或在上线前完成联合压测。</w:t>
      </w:r>
    </w:p>
    <w:p>
      <w:pPr>
        <w:pStyle w:val="Heading2"/>
        <w:spacing w:before="120" w:after="60"/>
      </w:pPr>
      <w:r>
        <w:rPr>
          <w:rFonts w:ascii="Calibri" w:hAnsi="Calibri" w:eastAsia="Microsoft YaHei"/>
          <w:b/>
          <w:color w:val="1F4D78"/>
          <w:sz w:val="24"/>
        </w:rPr>
        <w:t>REQ-012  灾难恢复</w:t>
      </w:r>
    </w:p>
    <w:p>
      <w:pPr>
        <w:spacing w:after="60" w:line="252" w:lineRule="auto"/>
      </w:pPr>
      <w:r>
        <w:rPr>
          <w:rFonts w:ascii="Calibri" w:hAnsi="Calibri" w:eastAsia="Microsoft YaHei"/>
        </w:rPr>
        <w:t>生产环境必须达到 RPO 不超过 1 小时、RTO 不超过 2 小时，并至少每年执行一次恢复演练。</w:t>
      </w:r>
    </w:p>
    <w:p>
      <w:pPr>
        <w:pStyle w:val="ListBullet"/>
        <w:spacing w:after="80" w:line="252" w:lineRule="auto"/>
      </w:pPr>
      <w:r>
        <w:rPr>
          <w:rFonts w:ascii="Calibri" w:hAnsi="Calibri" w:eastAsia="Microsoft YaHei"/>
          <w:sz w:val="21"/>
        </w:rPr>
        <w:t>验收：合同写明 RPO/RTO，提交最近一次演练摘要。</w:t>
      </w:r>
    </w:p>
    <w:p>
      <w:pPr>
        <w:pStyle w:val="Heading2"/>
        <w:spacing w:before="120" w:after="60"/>
      </w:pPr>
      <w:r>
        <w:rPr>
          <w:rFonts w:ascii="Calibri" w:hAnsi="Calibri" w:eastAsia="Microsoft YaHei"/>
          <w:b/>
          <w:color w:val="1F4D78"/>
          <w:sz w:val="24"/>
        </w:rPr>
        <w:t>REQ-013  关键事件支持</w:t>
      </w:r>
    </w:p>
    <w:p>
      <w:pPr>
        <w:spacing w:after="60" w:line="252" w:lineRule="auto"/>
      </w:pPr>
      <w:r>
        <w:rPr>
          <w:rFonts w:ascii="Calibri" w:hAnsi="Calibri" w:eastAsia="Microsoft YaHei"/>
        </w:rPr>
        <w:t>供应商必须提供 7x24 支持，P1 事件首次响应时间不得超过 30 分钟。</w:t>
      </w:r>
    </w:p>
    <w:p>
      <w:pPr>
        <w:pStyle w:val="ListBullet"/>
        <w:spacing w:after="80" w:line="252" w:lineRule="auto"/>
      </w:pPr>
      <w:r>
        <w:rPr>
          <w:rFonts w:ascii="Calibri" w:hAnsi="Calibri" w:eastAsia="Microsoft YaHei"/>
          <w:sz w:val="21"/>
        </w:rPr>
        <w:t>验收：提供支持流程、升级路径和响应 SLA。</w:t>
      </w:r>
    </w:p>
    <w:p>
      <w:pPr>
        <w:pStyle w:val="Heading1"/>
      </w:pPr>
      <w:r>
        <w:t>5. 实施、迁移与用户体验要求</w:t>
      </w:r>
    </w:p>
    <w:p>
      <w:pPr>
        <w:pStyle w:val="Heading2"/>
        <w:spacing w:before="120" w:after="60"/>
      </w:pPr>
      <w:r>
        <w:rPr>
          <w:rFonts w:ascii="Calibri" w:hAnsi="Calibri" w:eastAsia="Microsoft YaHei"/>
          <w:b/>
          <w:color w:val="1F4D78"/>
          <w:sz w:val="24"/>
        </w:rPr>
        <w:t>REQ-014  数据迁移</w:t>
      </w:r>
    </w:p>
    <w:p>
      <w:pPr>
        <w:spacing w:after="60" w:line="252" w:lineRule="auto"/>
      </w:pPr>
      <w:r>
        <w:rPr>
          <w:rFonts w:ascii="Calibri" w:hAnsi="Calibri" w:eastAsia="Microsoft YaHei"/>
        </w:rPr>
        <w:t>供应商必须在 8 周内迁移约 3 TB 历史文档、附件、版本记录和继承权限，并完成抽样核验。</w:t>
      </w:r>
    </w:p>
    <w:p>
      <w:pPr>
        <w:pStyle w:val="ListBullet"/>
        <w:spacing w:after="80" w:line="252" w:lineRule="auto"/>
      </w:pPr>
      <w:r>
        <w:rPr>
          <w:rFonts w:ascii="Calibri" w:hAnsi="Calibri" w:eastAsia="Microsoft YaHei"/>
          <w:sz w:val="21"/>
        </w:rPr>
        <w:t>验收：迁移完整率不低于 99.9%。</w:t>
      </w:r>
    </w:p>
    <w:p>
      <w:pPr>
        <w:pStyle w:val="ListBullet"/>
        <w:spacing w:after="80" w:line="252" w:lineRule="auto"/>
      </w:pPr>
      <w:r>
        <w:rPr>
          <w:rFonts w:ascii="Calibri" w:hAnsi="Calibri" w:eastAsia="Microsoft YaHei"/>
          <w:sz w:val="21"/>
        </w:rPr>
        <w:t>验收：提交迁移回退方案。</w:t>
      </w:r>
    </w:p>
    <w:p>
      <w:pPr>
        <w:pStyle w:val="Heading2"/>
        <w:spacing w:before="120" w:after="60"/>
      </w:pPr>
      <w:r>
        <w:rPr>
          <w:rFonts w:ascii="Calibri" w:hAnsi="Calibri" w:eastAsia="Microsoft YaHei"/>
          <w:b/>
          <w:color w:val="1F4D78"/>
          <w:sz w:val="24"/>
        </w:rPr>
        <w:t>REQ-015  实施周期</w:t>
      </w:r>
    </w:p>
    <w:p>
      <w:pPr>
        <w:spacing w:after="60" w:line="252" w:lineRule="auto"/>
      </w:pPr>
      <w:r>
        <w:rPr>
          <w:rFonts w:ascii="Calibri" w:hAnsi="Calibri" w:eastAsia="Microsoft YaHei"/>
        </w:rPr>
        <w:t>项目必须在合同生效后 8 周内完成配置、身份集成、管理员培训、试运行和正式上线。</w:t>
      </w:r>
    </w:p>
    <w:p>
      <w:pPr>
        <w:pStyle w:val="ListBullet"/>
        <w:spacing w:after="80" w:line="252" w:lineRule="auto"/>
      </w:pPr>
      <w:r>
        <w:rPr>
          <w:rFonts w:ascii="Calibri" w:hAnsi="Calibri" w:eastAsia="Microsoft YaHei"/>
          <w:sz w:val="21"/>
        </w:rPr>
        <w:t>验收：提交按周拆分的实施计划。</w:t>
      </w:r>
    </w:p>
    <w:p>
      <w:pPr>
        <w:pStyle w:val="Heading2"/>
        <w:spacing w:before="120" w:after="60"/>
      </w:pPr>
      <w:r>
        <w:rPr>
          <w:rFonts w:ascii="Calibri" w:hAnsi="Calibri" w:eastAsia="Microsoft YaHei"/>
          <w:b/>
          <w:color w:val="1F4D78"/>
          <w:sz w:val="24"/>
        </w:rPr>
        <w:t>REQ-016  中英文界面</w:t>
      </w:r>
    </w:p>
    <w:p>
      <w:pPr>
        <w:spacing w:after="60" w:line="252" w:lineRule="auto"/>
      </w:pPr>
      <w:r>
        <w:rPr>
          <w:rFonts w:ascii="Calibri" w:hAnsi="Calibri" w:eastAsia="Microsoft YaHei"/>
        </w:rPr>
        <w:t>Web 端和移动端必须同时提供简体中文与英文界面，用户可以自行切换语言。</w:t>
      </w:r>
    </w:p>
    <w:p>
      <w:pPr>
        <w:pStyle w:val="ListBullet"/>
        <w:spacing w:after="80" w:line="252" w:lineRule="auto"/>
      </w:pPr>
      <w:r>
        <w:rPr>
          <w:rFonts w:ascii="Calibri" w:hAnsi="Calibri" w:eastAsia="Microsoft YaHei"/>
          <w:sz w:val="21"/>
        </w:rPr>
        <w:t>验收：现场演示两个客户端的语言切换。</w:t>
      </w:r>
    </w:p>
    <w:p>
      <w:pPr>
        <w:pStyle w:val="Heading2"/>
        <w:spacing w:before="120" w:after="60"/>
      </w:pPr>
      <w:r>
        <w:rPr>
          <w:rFonts w:ascii="Calibri" w:hAnsi="Calibri" w:eastAsia="Microsoft YaHei"/>
          <w:b/>
          <w:color w:val="1F4D78"/>
          <w:sz w:val="24"/>
        </w:rPr>
        <w:t>REQ-017  移动端离线工作</w:t>
      </w:r>
    </w:p>
    <w:p>
      <w:pPr>
        <w:spacing w:after="60" w:line="252" w:lineRule="auto"/>
      </w:pPr>
      <w:r>
        <w:rPr>
          <w:rFonts w:ascii="Calibri" w:hAnsi="Calibri" w:eastAsia="Microsoft YaHei"/>
        </w:rPr>
        <w:t>移动客户端必须允许用户在无网络环境下创建和编辑任务，并可离线保存至少 72 小时，联网后自动同步。</w:t>
      </w:r>
    </w:p>
    <w:p>
      <w:pPr>
        <w:pStyle w:val="ListBullet"/>
        <w:spacing w:after="80" w:line="252" w:lineRule="auto"/>
      </w:pPr>
      <w:r>
        <w:rPr>
          <w:rFonts w:ascii="Calibri" w:hAnsi="Calibri" w:eastAsia="Microsoft YaHei"/>
          <w:sz w:val="21"/>
        </w:rPr>
        <w:t>验收：飞行模式下完成编辑并在恢复网络后同步。</w:t>
      </w:r>
    </w:p>
    <w:p>
      <w:pPr>
        <w:pStyle w:val="Heading1"/>
      </w:pPr>
      <w:r>
        <w:t>6. 商务要求</w:t>
      </w:r>
    </w:p>
    <w:p>
      <w:pPr>
        <w:pStyle w:val="Heading2"/>
        <w:spacing w:before="120" w:after="60"/>
      </w:pPr>
      <w:r>
        <w:rPr>
          <w:rFonts w:ascii="Calibri" w:hAnsi="Calibri" w:eastAsia="Microsoft YaHei"/>
          <w:b/>
          <w:color w:val="1F4D78"/>
          <w:sz w:val="24"/>
        </w:rPr>
        <w:t>REQ-018  年度费用上限</w:t>
      </w:r>
    </w:p>
    <w:p>
      <w:pPr>
        <w:spacing w:after="60" w:line="252" w:lineRule="auto"/>
      </w:pPr>
      <w:r>
        <w:rPr>
          <w:rFonts w:ascii="Calibri" w:hAnsi="Calibri" w:eastAsia="Microsoft YaHei"/>
        </w:rPr>
        <w:t>首年含 8,000 用户许可、实施、3 TB 数据迁移、培训、税费和一年支持服务的总价必须不超过人民币 800,000 元。</w:t>
      </w:r>
    </w:p>
    <w:p>
      <w:pPr>
        <w:pStyle w:val="ListBullet"/>
        <w:spacing w:after="80" w:line="252" w:lineRule="auto"/>
      </w:pPr>
      <w:r>
        <w:rPr>
          <w:rFonts w:ascii="Calibri" w:hAnsi="Calibri" w:eastAsia="Microsoft YaHei"/>
          <w:sz w:val="21"/>
        </w:rPr>
        <w:t>验收：报价必须列出许可、实施、迁移、支持和税费明细。</w:t>
      </w:r>
    </w:p>
    <w:p>
      <w:pPr>
        <w:pStyle w:val="Heading1"/>
      </w:pPr>
      <w:r>
        <w:t>7. 供应商交付物</w:t>
      </w:r>
    </w:p>
    <w:p>
      <w:pPr>
        <w:pStyle w:val="ListBullet"/>
      </w:pPr>
      <w:r>
        <w:rPr>
          <w:rFonts w:ascii="Calibri" w:hAnsi="Calibri" w:eastAsia="Microsoft YaHei"/>
        </w:rPr>
        <w:t>逐项需求响应矩阵及证据说明。</w:t>
      </w:r>
    </w:p>
    <w:p>
      <w:pPr>
        <w:pStyle w:val="ListBullet"/>
      </w:pPr>
      <w:r>
        <w:rPr>
          <w:rFonts w:ascii="Calibri" w:hAnsi="Calibri" w:eastAsia="Microsoft YaHei"/>
        </w:rPr>
        <w:t>技术方案、部署架构、安全与合规说明。</w:t>
      </w:r>
    </w:p>
    <w:p>
      <w:pPr>
        <w:pStyle w:val="ListBullet"/>
      </w:pPr>
      <w:r>
        <w:rPr>
          <w:rFonts w:ascii="Calibri" w:hAnsi="Calibri" w:eastAsia="Microsoft YaHei"/>
        </w:rPr>
        <w:t>实施和迁移计划、项目风险及缓解措施。</w:t>
      </w:r>
    </w:p>
    <w:p>
      <w:pPr>
        <w:pStyle w:val="ListBullet"/>
      </w:pPr>
      <w:r>
        <w:rPr>
          <w:rFonts w:ascii="Calibri" w:hAnsi="Calibri" w:eastAsia="Microsoft YaHei"/>
        </w:rPr>
        <w:t>SLA、支持方案、完整商务报价，以及供采购团队审核的 Markdown 版提案。</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8"/>
      </w:rPr>
      <w:t xml:space="preserve">第 </w:t>
    </w:r>
    <w:r>
      <w:rPr>
        <w:rFonts w:ascii="Calibri" w:hAnsi="Calibri" w:eastAsia="Microsoft YaHei"/>
        <w:color w:val="667085"/>
        <w:sz w:val="18"/>
      </w:rPr>
      <w:fldChar w:fldCharType="begin"/>
      <w:instrText xml:space="preserve"> PAGE </w:instrText>
      <w:fldChar w:fldCharType="separate"/>
      <w:t>1</w:t>
      <w:fldChar w:fldCharType="end"/>
    </w:r>
    <w:r>
      <w:rPr>
        <w:rFonts w:ascii="Calibri" w:hAnsi="Calibr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8"/>
      </w:rPr>
      <w:t>华东智造集团 | 协作与流程管理平台 RFP | 测试资料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icrosoft YaHe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eastAsia="Microsoft YaHe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b w:val="0"/>
      <w:color w:val="20212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b w:val="0"/>
      <w:color w:val="20212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企业协作与流程管理平台采购需求书</dc:title>
  <dc:subject>DealFlow RFP Agent 测试 RFP</dc:subject>
  <dc:creator>DealFlow Test Fixture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