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CONSTRUCTIVE CHANGE — ADDITIONAL WORK DIRECTED</w:t>
      </w:r>
    </w:p>
    <w:p>
      <w:pPr>
        <w:spacing w:after="160" w:before="0"/>
        <w:jc w:val="both"/>
      </w:pPr>
      <w:r>
        <w:rPr>
          <w:rFonts w:ascii="Calibri" w:hAnsi="Calibri"/>
          <w:b w:val="0"/>
          <w:i w:val="0"/>
          <w:color w:val="000000"/>
          <w:sz w:val="22"/>
          <w:u w:val="none"/>
        </w:rPr>
        <w:t>We refer to the field (or oral) directive issued on [date] under reference [directive number], in terms of which we were instructed to perform additional work, specifically [describe additional work].</w:t>
      </w:r>
    </w:p>
    <w:p>
      <w:pPr>
        <w:spacing w:after="160" w:before="0"/>
        <w:jc w:val="both"/>
      </w:pPr>
      <w:r>
        <w:rPr>
          <w:rFonts w:ascii="Calibri" w:hAnsi="Calibri"/>
          <w:b w:val="0"/>
          <w:i w:val="0"/>
          <w:color w:val="000000"/>
          <w:sz w:val="22"/>
          <w:u w:val="none"/>
        </w:rPr>
        <w:t>The work directed is not described in, nor is it part of, the original drawings and specifications, nor is it called for by the contract documents. The directive therefore constitutes a constructive change to our contract.</w:t>
      </w:r>
    </w:p>
    <w:p>
      <w:pPr>
        <w:spacing w:after="160" w:before="0"/>
        <w:jc w:val="both"/>
      </w:pPr>
      <w:r>
        <w:rPr>
          <w:rFonts w:ascii="Calibri" w:hAnsi="Calibri"/>
          <w:b w:val="0"/>
          <w:i w:val="0"/>
          <w:color w:val="000000"/>
          <w:sz w:val="22"/>
          <w:u w:val="none"/>
        </w:rPr>
        <w:t>This letter serves as our formal notice that the change will give rise to additional time and additional cost. We are presently unable to quantify the impact, but once sufficient information is available a change order request will be submitted in respect of the additional direct cost and the consequential impact cost (including, without limitation, inefficiency, disruption, rescheduling, acceleration, overtime, overmanning, stacking of trades, dilution of supervision, cumulative impact of multiple changes, extended overhead and equipment cost).</w:t>
      </w:r>
    </w:p>
    <w:p>
      <w:pPr>
        <w:spacing w:after="160" w:before="0"/>
        <w:jc w:val="both"/>
      </w:pPr>
      <w:r>
        <w:rPr>
          <w:rFonts w:ascii="Calibri" w:hAnsi="Calibri"/>
          <w:b w:val="0"/>
          <w:i w:val="0"/>
          <w:color w:val="000000"/>
          <w:sz w:val="22"/>
          <w:u w:val="none"/>
        </w:rPr>
        <w:t>A separate cost code has been opened for this work and the time-extension request will be submitted as soon as the additional time required to perform the work can be quantified.</w:t>
      </w:r>
    </w:p>
    <w:p>
      <w:pPr>
        <w:spacing w:after="160" w:before="0"/>
        <w:jc w:val="both"/>
      </w:pPr>
      <w:r>
        <w:rPr>
          <w:rFonts w:ascii="Calibri" w:hAnsi="Calibri"/>
          <w:b w:val="0"/>
          <w:i w:val="0"/>
          <w:color w:val="000000"/>
          <w:sz w:val="22"/>
          <w:u w:val="none"/>
        </w:rPr>
        <w:t>We will do all that is reasonable to minimise the cost and the time extension associated with this directive. Your cooperation in minimising the impact will be appreciated.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N-01   ·   Triggering Clause: JBCC PBA Cl 14.0 / 17.1   ·   Time-bar: Promptly upon receipt of directive   ·   Failure: Work may be treated as included; loss of additional payment.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