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[Recipient Party]</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Other Party</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FORCE MAJEURE EVENT</w:t>
      </w:r>
    </w:p>
    <w:p>
      <w:pPr>
        <w:spacing w:after="160" w:before="0"/>
        <w:jc w:val="both"/>
      </w:pPr>
      <w:r>
        <w:rPr>
          <w:rFonts w:ascii="Calibri" w:hAnsi="Calibri"/>
          <w:b w:val="0"/>
          <w:i w:val="0"/>
          <w:color w:val="000000"/>
          <w:sz w:val="22"/>
          <w:u w:val="none"/>
        </w:rPr>
        <w:t>We give notice that on [date] a force majeure event occurred, being [describe event — e.g. declared national disaster, civil commotion, extended grid failure, regulatory shut-down]. The event is beyond our reasonable control and could not have been foreseen or prevented by the exercise of reasonable diligence.</w:t>
      </w:r>
    </w:p>
    <w:p>
      <w:pPr>
        <w:spacing w:after="160" w:before="0"/>
        <w:jc w:val="both"/>
      </w:pPr>
      <w:r>
        <w:rPr>
          <w:rFonts w:ascii="Calibri" w:hAnsi="Calibri"/>
          <w:b w:val="0"/>
          <w:i w:val="0"/>
          <w:color w:val="000000"/>
          <w:sz w:val="22"/>
          <w:u w:val="none"/>
        </w:rPr>
        <w:t>The event affects the following obligations under the contract: [list affected obligations and the works packages concerned]. Performance of those obligations is hereby suspended for the duration of the event and a reasonable period thereafter to allow the works to resume.</w:t>
      </w:r>
    </w:p>
    <w:p>
      <w:pPr>
        <w:spacing w:after="160" w:before="0"/>
        <w:jc w:val="both"/>
      </w:pPr>
      <w:r>
        <w:rPr>
          <w:rFonts w:ascii="Calibri" w:hAnsi="Calibri"/>
          <w:b w:val="0"/>
          <w:i w:val="0"/>
          <w:color w:val="000000"/>
          <w:sz w:val="22"/>
          <w:u w:val="none"/>
        </w:rPr>
        <w:t>A request for revision of the date for practical completion will follow in accordance with the contract. We confirm that we are taking all reasonable steps to mitigate the impact and will keep you advised of developments and of the date on which the event is reasonably expected to end.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[Authorised Representative]</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N-06   ·   Triggering Clause: JBCC PBA / MWA — Force Majeure   ·   Time-bar: Promptly upon event   ·   Failure: Event may be treated as culpable delay; penalties accrue.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