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[Principal Agent]</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Principal Agent</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NOTICE OF INTENTION TO CLAIM A REVISION OF THE DATE FOR PRACTICAL COMPLETION</w:t>
      </w:r>
    </w:p>
    <w:p>
      <w:pPr>
        <w:spacing w:after="160" w:before="0"/>
        <w:jc w:val="both"/>
      </w:pPr>
      <w:r>
        <w:rPr>
          <w:rFonts w:ascii="Calibri" w:hAnsi="Calibri"/>
          <w:b w:val="0"/>
          <w:i w:val="0"/>
          <w:color w:val="000000"/>
          <w:sz w:val="22"/>
          <w:u w:val="none"/>
        </w:rPr>
        <w:t>We give notice in terms of Clause 23.4.2 that an event has occurred which will, or is likely to, delay the date for practical completion of the works.</w:t>
      </w:r>
    </w:p>
    <w:p>
      <w:pPr>
        <w:spacing w:after="160" w:before="0"/>
        <w:jc w:val="both"/>
      </w:pPr>
      <w:r>
        <w:rPr>
          <w:rFonts w:ascii="Calibri" w:hAnsi="Calibri"/>
          <w:b w:val="0"/>
          <w:i w:val="0"/>
          <w:color w:val="000000"/>
          <w:sz w:val="22"/>
          <w:u w:val="none"/>
        </w:rPr>
        <w:t>The event is [describe event]. It commenced on [date], and we became aware of its delay-causing effect on [date]. The activities affected and the anticipated impact on the construction programme are summarised in the attached preliminary schedule.</w:t>
      </w:r>
    </w:p>
    <w:p>
      <w:pPr>
        <w:spacing w:after="160" w:before="0"/>
        <w:jc w:val="both"/>
      </w:pPr>
      <w:r>
        <w:rPr>
          <w:rFonts w:ascii="Calibri" w:hAnsi="Calibri"/>
          <w:b w:val="0"/>
          <w:i w:val="0"/>
          <w:color w:val="000000"/>
          <w:sz w:val="22"/>
          <w:u w:val="none"/>
        </w:rPr>
        <w:t>A fully quantified claim with supporting documentation will be submitted in accordance with Clause 23.5 as soon as the full extent of the delay can be quantified. This notice is issued to preserve our rights under the contract.</w:t>
      </w:r>
    </w:p>
    <w:p>
      <w:pPr>
        <w:spacing w:after="160" w:before="0"/>
        <w:jc w:val="both"/>
      </w:pPr>
      <w:r>
        <w:rPr>
          <w:rFonts w:ascii="Calibri" w:hAnsi="Calibri"/>
          <w:b w:val="0"/>
          <w:i w:val="0"/>
          <w:color w:val="000000"/>
          <w:sz w:val="22"/>
          <w:u w:val="none"/>
        </w:rPr>
        <w:t>Mitigation measures are being implemented to minimise the delay impact and we will keep you advised of progress.</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[Project Manager]</w:t>
      </w:r>
    </w:p>
    <w:p>
      <w:pPr>
        <w:spacing w:after="200" w:before="0"/>
        <w:jc w:val="left"/>
      </w:pPr>
      <w:r>
        <w:rPr>
          <w:rFonts w:ascii="Calibri" w:hAnsi="Calibri"/>
          <w:b w:val="0"/>
          <w:i w:val="0"/>
          <w:color w:val="000000"/>
          <w:sz w:val="22"/>
          <w:u w:val="none"/>
        </w:rPr>
        <w:t>[Company Name]</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N-14   ·   Triggering Clause: JBCC PBA Cl 23.4.2   ·   Time-bar: 20 WD from awareness of event   ·   Failure: Forfeiture of the EOT claim (NV Properties v Radon).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