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[Principal Agent]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Principal Agent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QUANTIFIED CLAIM FOR REVISION OF THE DATE FOR PRACTICAL COMPLETION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Further to our Notice of Intention to Claim dated [date] in respect of [describe event], we submit the fully quantified claim required by Clause 23.5.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total delay to the date for practical completion is quantified at [number] working days. The claim is substantiated by the attached programme analysis, cause-and-effect schedule, factual records and supporting documentation. The methodology adopted for the delay analysis is [identify methodology, e.g. As-Planned vs As-Built, Time Impact Analysis] and the source records are referenced in the analysis.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request that the date for practical completion be revised accordingly and that confirmation of the revision be issued by way of a payment certificate adjustment in due course.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Encl:  As listed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N-15   ·   Triggering Clause: JBCC PBA Cl 23.5   ·   Time-bar: 40 WD from ability to quantify   ·   Failure: Claim rejected as unsubstantiated and time-barred.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