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[Principal Agent]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Principal Agent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SUBSTANTIATED CLAIM FOR EXPENSE AND LOSS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Further to our Notice of Possible Expense and Loss dated [date] in respect of [describe event], we submit the substantiated claim required by Clause 26.6.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loss is quantified at ZAR [amount]. The claim is substantiated by the attached cost build-up, site records, invoices and supporting documentation. The methodology used to compute the loss is set out in the build-up and is consistent with [identify basis, e.g. actual incurred cost, contract preliminaries adjustment, formula method].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request that the contract value be adjusted accordingly and that certification follow in the next payment certificate.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Encl:  As listed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N-17   ·   Triggering Clause: JBCC PBA Cl 26.6   ·   Time-bar: 40 WD from ability to quantify   ·   Failure: Claim may be rejected.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