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[Subcontractor]</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Subcontractor</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NOTICE OF NON-COMPLIANCE — SUBCONTRACT DEFAULT</w:t>
      </w:r>
    </w:p>
    <w:p>
      <w:pPr>
        <w:spacing w:after="160" w:before="0"/>
        <w:jc w:val="both"/>
      </w:pPr>
      <w:r>
        <w:rPr>
          <w:rFonts w:ascii="Calibri" w:hAnsi="Calibri"/>
          <w:b w:val="0"/>
          <w:i w:val="0"/>
          <w:color w:val="000000"/>
          <w:sz w:val="22"/>
          <w:u w:val="none"/>
        </w:rPr>
        <w:t>We give notice that you are in default of your obligations under the subcontract, specifically [describe the default — e.g. failure to meet the agreed programme, persistent quality defects, failure to provide a compliant Risk Assessment and Method Statement, breach of site rules].</w:t>
      </w:r>
    </w:p>
    <w:p>
      <w:pPr>
        <w:spacing w:after="160" w:before="0"/>
        <w:jc w:val="both"/>
      </w:pPr>
      <w:r>
        <w:rPr>
          <w:rFonts w:ascii="Calibri" w:hAnsi="Calibri"/>
          <w:b w:val="0"/>
          <w:i w:val="0"/>
          <w:color w:val="000000"/>
          <w:sz w:val="22"/>
          <w:u w:val="none"/>
        </w:rPr>
        <w:t>In accordance with the subcontract, you are required to rectify the default within [number] working days of receipt of this notice. Failure to rectify within the period stated will entitle us to take further remedial action as provided for in the subcontract, including, where applicable, employing others to complete the affected work at your cost.</w:t>
      </w:r>
    </w:p>
    <w:p>
      <w:pPr>
        <w:spacing w:after="160" w:before="0"/>
        <w:jc w:val="both"/>
      </w:pPr>
      <w:r>
        <w:rPr>
          <w:rFonts w:ascii="Calibri" w:hAnsi="Calibri"/>
          <w:b w:val="0"/>
          <w:i w:val="0"/>
          <w:color w:val="000000"/>
          <w:sz w:val="22"/>
          <w:u w:val="none"/>
        </w:rPr>
        <w:t>Should you wish to discuss a rectification plan within the period stated, please contact the undersigned without delay.</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[Project Manager]</w:t>
      </w:r>
    </w:p>
    <w:p>
      <w:pPr>
        <w:spacing w:after="200" w:before="0"/>
        <w:jc w:val="left"/>
      </w:pPr>
      <w:r>
        <w:rPr>
          <w:rFonts w:ascii="Calibri" w:hAnsi="Calibri"/>
          <w:b w:val="0"/>
          <w:i w:val="0"/>
          <w:color w:val="000000"/>
          <w:sz w:val="22"/>
          <w:u w:val="none"/>
        </w:rPr>
        <w:t>[Company Name]</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N-19   ·   Triggering Clause: JBCC NSCA / SSA Cl 11.0   ·   Time-bar: Per subcontract default clause   ·   Failure: Substitution may be deemed wrongful termination.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