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[Principal Agent / Employer]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Principal Agent and the Employer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NOTICE OF INTENTION TO SUSPEND THE WORKS — CLAUSE 6.4 / 28.0 (STEP 2)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refer to our Notice to Rectify dated [date]. The default identified therein has not been remedied within the period stated.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hereby give notice in terms of Clause 6.4 / 28.0 of the agreement of our intention to suspend the works unless the default is fully remedied within a further [5 / 10] working days of receipt of this notice.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All cost and time consequences arising from any resulting suspension, including standing time, demobilisation, re-mobilisation and any associated impact cost, will be claimed in accordance with the contract.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N-24   ·   Triggering Clause: JBCC PBA Cl 6.4 / 28.0   ·   Time-bar: Further 5 / 10 WD   ·   Failure: Suspension may be treated as repudiation if process not followed.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