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DIRECTED ACCELERATION OF THE WORKS</w:t>
      </w:r>
    </w:p>
    <w:p>
      <w:pPr>
        <w:spacing w:after="160" w:before="0"/>
        <w:jc w:val="both"/>
      </w:pPr>
      <w:r>
        <w:rPr>
          <w:rFonts w:ascii="Calibri" w:hAnsi="Calibri"/>
          <w:b w:val="0"/>
          <w:i w:val="0"/>
          <w:color w:val="000000"/>
          <w:sz w:val="22"/>
          <w:u w:val="none"/>
        </w:rPr>
        <w:t>On [date] you directed that we add labour, work extra shifts and work overtime (as applicable) to achieve completion of milestone(s) / activity number(s) [insert] on or before [date]. This is [number] working days / weeks / months prior to the scheduled completion of the relevant milestone, adjusted for excusable delays for which we are entitled to a revision of the date for practical completion.</w:t>
      </w:r>
    </w:p>
    <w:p>
      <w:pPr>
        <w:spacing w:after="160" w:before="0"/>
        <w:jc w:val="both"/>
      </w:pPr>
      <w:r>
        <w:rPr>
          <w:rFonts w:ascii="Calibri" w:hAnsi="Calibri"/>
          <w:b w:val="0"/>
          <w:i w:val="0"/>
          <w:color w:val="000000"/>
          <w:sz w:val="22"/>
          <w:u w:val="none"/>
        </w:rPr>
        <w:t>The directive therefore constitutes a directed acceleration of the works because [cite reason — e.g. denial of the EOT to which we are entitled, or a unilateral instruction to advance completion].</w:t>
      </w:r>
    </w:p>
    <w:p>
      <w:pPr>
        <w:spacing w:after="160" w:before="0"/>
        <w:jc w:val="both"/>
      </w:pPr>
      <w:r>
        <w:rPr>
          <w:rFonts w:ascii="Calibri" w:hAnsi="Calibri"/>
          <w:b w:val="0"/>
          <w:i w:val="0"/>
          <w:color w:val="000000"/>
          <w:sz w:val="22"/>
          <w:u w:val="none"/>
        </w:rPr>
        <w:t>We will endeavour to comply by increasing manpower and equipment as required. However, we hereby formally request additional compensation for all direct and indirect cost of the acceleration effort, including but not limited to: inefficiency from disruption, rescheduling, overmanning, stacking of trades, overtime, dilution of supervision and any other impact cost arising from the acceleration.</w:t>
      </w:r>
    </w:p>
    <w:p>
      <w:pPr>
        <w:spacing w:after="160" w:before="0"/>
        <w:jc w:val="both"/>
      </w:pPr>
      <w:r>
        <w:rPr>
          <w:rFonts w:ascii="Calibri" w:hAnsi="Calibri"/>
          <w:b w:val="0"/>
          <w:i w:val="0"/>
          <w:color w:val="000000"/>
          <w:sz w:val="22"/>
          <w:u w:val="none"/>
        </w:rPr>
        <w:t>Once the cost of the accelerated effort can be quantified, a change order request will be prepared. Your cooperation in minimising the impact will be appreciated.</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N-02   ·   Triggering Clause: JBCC PBA Cl 17.1 + 23.0   ·   Time-bar: Promptly upon receipt of directive   ·   Failure: Acceleration treated as voluntary; cost borne by contractor.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