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[Principal Agent]</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Principal Agent</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NOTICE OF LATE OR DEFECTIVE OWNER-FURNISHED EQUIPMENT / MATERIALS</w:t>
      </w:r>
    </w:p>
    <w:p>
      <w:pPr>
        <w:spacing w:after="160" w:before="0"/>
        <w:jc w:val="both"/>
      </w:pPr>
      <w:r>
        <w:rPr>
          <w:rFonts w:ascii="Calibri" w:hAnsi="Calibri"/>
          <w:b w:val="0"/>
          <w:i w:val="0"/>
          <w:color w:val="000000"/>
          <w:sz w:val="22"/>
          <w:u w:val="none"/>
        </w:rPr>
        <w:t>We continue to experience serious problems with the delivery of owner-furnished equipment (or materials). [Identify the items concerned] were received at least [days / weeks] later than the date set out in the delivery schedule. In certain cases, essential components were received as late as [weeks / months] after the specified delivery date.</w:t>
      </w:r>
    </w:p>
    <w:p>
      <w:pPr>
        <w:spacing w:after="160" w:before="0"/>
        <w:jc w:val="both"/>
      </w:pPr>
      <w:r>
        <w:rPr>
          <w:rFonts w:ascii="Calibri" w:hAnsi="Calibri"/>
          <w:b w:val="0"/>
          <w:i w:val="0"/>
          <w:color w:val="000000"/>
          <w:sz w:val="22"/>
          <w:u w:val="none"/>
        </w:rPr>
        <w:t>Owing to misfabrications and other manufacturing problems, installation of the owner-furnished items has been substantially more difficult and, in some cases, impossible without field modifications. These factors have resulted in additional cost for site and engineering personnel and have delayed completion of the works.</w:t>
      </w:r>
    </w:p>
    <w:p>
      <w:pPr>
        <w:spacing w:after="160" w:before="0"/>
        <w:jc w:val="both"/>
      </w:pPr>
      <w:r>
        <w:rPr>
          <w:rFonts w:ascii="Calibri" w:hAnsi="Calibri"/>
          <w:b w:val="0"/>
          <w:i w:val="0"/>
          <w:color w:val="000000"/>
          <w:sz w:val="22"/>
          <w:u w:val="none"/>
        </w:rPr>
        <w:t>Additional cost is anticipated under, without limitation, delay, disruption, rescheduling, acceleration, overtime, overmanning, stacking of trades, dilution of supervision and similar impact heads. Once the extent of the delay and the cost of remedying these issues can be quantified, a change order will be submitted for additional compensation and an appropriate revision of the date for practical completion.</w:t>
      </w:r>
    </w:p>
    <w:p>
      <w:pPr>
        <w:spacing w:after="160" w:before="0"/>
        <w:jc w:val="both"/>
      </w:pPr>
      <w:r>
        <w:rPr>
          <w:rFonts w:ascii="Calibri" w:hAnsi="Calibri"/>
          <w:b w:val="0"/>
          <w:i w:val="0"/>
          <w:color w:val="000000"/>
          <w:sz w:val="22"/>
          <w:u w:val="none"/>
        </w:rPr>
        <w:t>We will minimise the impact to the extent reasonably possible. Your cooperation in expediting resolution will be appreciated.</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[Project Manager]</w:t>
      </w:r>
    </w:p>
    <w:p>
      <w:pPr>
        <w:spacing w:after="200" w:before="0"/>
        <w:jc w:val="left"/>
      </w:pPr>
      <w:r>
        <w:rPr>
          <w:rFonts w:ascii="Calibri" w:hAnsi="Calibri"/>
          <w:b w:val="0"/>
          <w:i w:val="0"/>
          <w:color w:val="000000"/>
          <w:sz w:val="22"/>
          <w:u w:val="none"/>
        </w:rPr>
        <w:t>[Company Name]</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N-04   ·   Triggering Clause: JBCC PBA Cl 23.0   ·   Time-bar: Promptly upon detection   ·   Failure: Delay treated as culpable; rework cost borne by contractor.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