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POSSIBLE EXPENSE AND LOSS</w:t>
      </w:r>
    </w:p>
    <w:p>
      <w:pPr>
        <w:spacing w:after="160" w:before="0"/>
        <w:jc w:val="both"/>
      </w:pPr>
      <w:r>
        <w:rPr>
          <w:rFonts w:ascii="Calibri" w:hAnsi="Calibri"/>
          <w:b w:val="0"/>
          <w:i w:val="0"/>
          <w:color w:val="000000"/>
          <w:sz w:val="22"/>
          <w:u w:val="none"/>
        </w:rPr>
        <w:t>We give notice in terms of Clause 26.5 that an event has occurred which will, or is likely to, give rise to expense and loss not provided for in the contract sum.</w:t>
      </w:r>
    </w:p>
    <w:p>
      <w:pPr>
        <w:spacing w:after="160" w:before="0"/>
        <w:jc w:val="both"/>
      </w:pPr>
      <w:r>
        <w:rPr>
          <w:rFonts w:ascii="Calibri" w:hAnsi="Calibri"/>
          <w:b w:val="0"/>
          <w:i w:val="0"/>
          <w:color w:val="000000"/>
          <w:sz w:val="22"/>
          <w:u w:val="none"/>
        </w:rPr>
        <w:t>The event is [describe event]. It commenced on [date] and we became aware of the cost consequence on [date]. The cost heads anticipated to be affected include [list].</w:t>
      </w:r>
    </w:p>
    <w:p>
      <w:pPr>
        <w:spacing w:after="160" w:before="0"/>
        <w:jc w:val="both"/>
      </w:pPr>
      <w:r>
        <w:rPr>
          <w:rFonts w:ascii="Calibri" w:hAnsi="Calibri"/>
          <w:b w:val="0"/>
          <w:i w:val="0"/>
          <w:color w:val="000000"/>
          <w:sz w:val="22"/>
          <w:u w:val="none"/>
        </w:rPr>
        <w:t>A substantiated claim will follow in accordance with Clause 26.6 as soon as the loss can be quantified. This notice is issued to preserve our rights under the contract.</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N-16   ·   Triggering Clause: JBCC PBA Cl 26.5   ·   Time-bar: 20 WD from awareness of event   ·   Failure: Forfeiture of the loss and expense claim.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