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[Main Contractor]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Main Contractor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NOTICE OF INTENTION TO CLAIM REVISION OF THE SUBCONTRACT PRACTICAL COMPLETION DATE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give notice in terms of the subcontract that an event has occurred which will, or is likely to, delay our subcontract practical completion. The event is [describe event], it commenced on [date] and we became aware of its delay-causing effect on [date].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This notice is issued in sufficient time to permit you to comply with your obligations under PBA Clause 23.4.2 (or any equivalent main-contract notice clause), being the 20 working-day notice period for the equivalent main-contract delay event.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fully quantified subcontract claim will follow in accordance with the subcontract and any main-contract substantiation requirements passed down to us. Mitigation measures are being implemented and we will keep you advised of developments.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[Subcontract 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N-20   ·   Triggering Clause: JBCC NSCA / SSA Cl 3.2 + PBA Cl 23.4.2   ·   Time-bar: In sufficient time to allow main contractor 20 WD notice   ·   Failure: Subcontractor loses rights; main contractor may be time-barred.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