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[Parties]</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Employer and Contractor</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DECLARATION OF INTEREST — CLAUSE 6.3</w:t>
      </w:r>
    </w:p>
    <w:p>
      <w:pPr>
        <w:spacing w:after="160" w:before="0"/>
        <w:jc w:val="both"/>
      </w:pPr>
      <w:r>
        <w:rPr>
          <w:rFonts w:ascii="Calibri" w:hAnsi="Calibri"/>
          <w:b w:val="0"/>
          <w:i w:val="0"/>
          <w:color w:val="000000"/>
          <w:sz w:val="22"/>
          <w:u w:val="none"/>
        </w:rPr>
        <w:t>In accordance with Clause 6.3 of the agreement, I hereby declare that I have an interest or involvement in the works beyond professional services, specifically [describe the nature of the interest, the parties involved and the works or supply concerned].</w:t>
      </w:r>
    </w:p>
    <w:p>
      <w:pPr>
        <w:spacing w:after="160" w:before="0"/>
        <w:jc w:val="both"/>
      </w:pPr>
      <w:r>
        <w:rPr>
          <w:rFonts w:ascii="Calibri" w:hAnsi="Calibri"/>
          <w:b w:val="0"/>
          <w:i w:val="0"/>
          <w:color w:val="000000"/>
          <w:sz w:val="22"/>
          <w:u w:val="none"/>
        </w:rPr>
        <w:t>This disclosure is made to ensure transparency and compliance with the contractual obligations. I confirm that the interest will be managed in accordance with the contract and applicable codes of professional conduct and that, where required, an alternative agent will be nominated to deal with matters in which the interest may give rise to a conflict.</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[Agent]</w:t>
      </w:r>
    </w:p>
    <w:p>
      <w:pPr>
        <w:spacing w:after="200" w:before="0"/>
        <w:jc w:val="left"/>
      </w:pPr>
      <w:r>
        <w:rPr>
          <w:rFonts w:ascii="Calibri" w:hAnsi="Calibri"/>
          <w:b w:val="0"/>
          <w:i w:val="0"/>
          <w:color w:val="000000"/>
          <w:sz w:val="22"/>
          <w:u w:val="none"/>
        </w:rPr>
        <w:t>[Company Name]</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N-21   ·   Triggering Clause: JBCC PBA Cl 6.3   ·   Time-bar: Immediate on becoming aware   ·   Failure: Risk of agent decisions being set aside.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