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[Other Party]</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Other Party</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DISAGREEMENT AND REFERRAL TO ADJUDICATION — CLAUSE 40.0</w:t>
      </w:r>
    </w:p>
    <w:p>
      <w:pPr>
        <w:spacing w:after="160" w:before="0"/>
        <w:jc w:val="both"/>
      </w:pPr>
      <w:r>
        <w:rPr>
          <w:rFonts w:ascii="Calibri" w:hAnsi="Calibri"/>
          <w:b w:val="0"/>
          <w:i w:val="0"/>
          <w:color w:val="000000"/>
          <w:sz w:val="22"/>
          <w:u w:val="none"/>
        </w:rPr>
        <w:t>We give notice of a disagreement in terms of the contract in respect of [describe the matter in dispute]. Notwithstanding good-faith efforts to resolve the matter through normal contractual communication, the disagreement remains unresolved and now constitutes a dispute.</w:t>
      </w:r>
    </w:p>
    <w:p>
      <w:pPr>
        <w:spacing w:after="160" w:before="0"/>
        <w:jc w:val="both"/>
      </w:pPr>
      <w:r>
        <w:rPr>
          <w:rFonts w:ascii="Calibri" w:hAnsi="Calibri"/>
          <w:b w:val="0"/>
          <w:i w:val="0"/>
          <w:color w:val="000000"/>
          <w:sz w:val="22"/>
          <w:u w:val="none"/>
        </w:rPr>
        <w:t>In accordance with Clause 40.0 / 22.0 of the contract we refer the dispute to adjudication. The appointing body is [Body]. We propose [name of proposed adjudicator] as adjudicator and invite your concurrence within the period stated in the contract.</w:t>
      </w:r>
    </w:p>
    <w:p>
      <w:pPr>
        <w:spacing w:after="160" w:before="0"/>
        <w:jc w:val="both"/>
      </w:pPr>
      <w:r>
        <w:rPr>
          <w:rFonts w:ascii="Calibri" w:hAnsi="Calibri"/>
          <w:b w:val="0"/>
          <w:i w:val="0"/>
          <w:color w:val="000000"/>
          <w:sz w:val="22"/>
          <w:u w:val="none"/>
        </w:rPr>
        <w:t>Failing agreement on the appointment within the period stated, application will be made to the appointing body for the appointment of an adjudicator in accordance with the contract. All rights are reserved.</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[Authorised Representative]</w:t>
      </w:r>
    </w:p>
    <w:p>
      <w:pPr>
        <w:spacing w:after="200" w:before="0"/>
        <w:jc w:val="left"/>
      </w:pPr>
      <w:r>
        <w:rPr>
          <w:rFonts w:ascii="Calibri" w:hAnsi="Calibri"/>
          <w:b w:val="0"/>
          <w:i w:val="0"/>
          <w:color w:val="000000"/>
          <w:sz w:val="22"/>
          <w:u w:val="none"/>
        </w:rPr>
        <w:t>[Company Name]</w:t>
      </w:r>
    </w:p>
    <w:p>
      <w:pPr>
        <w:spacing w:after="40" w:before="0"/>
        <w:jc w:val="left"/>
      </w:pPr>
      <w:r>
        <w:rPr>
          <w:rFonts w:ascii="Calibri" w:hAnsi="Calibri"/>
          <w:b w:val="0"/>
          <w:i/>
          <w:color w:val="000000"/>
          <w:sz w:val="20"/>
          <w:u w:val="none"/>
        </w:rPr>
        <w:t>cc:    The Principal Agent</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N-26   ·   Triggering Clause: JBCC PBA Cl 40.0 / MWA Cl 22.0   ·   Time-bar: MWA 22.2: 10 WD from disagreement   ·   Failure: Disagreement may be deemed accepted or time-barred.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