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191D3D">
            <w:pPr>
              <w:rPr>
                <w:rFonts w:ascii="Tahoma" w:hAnsi="Tahoma"/>
                <w:sz w:val="22"/>
                <w:szCs w:val="22"/>
              </w:rPr>
            </w:pPr>
            <w:r>
              <w:rPr>
                <w:rFonts w:ascii="Tahoma" w:hAnsi="Tahoma"/>
                <w:sz w:val="22"/>
                <w:szCs w:val="22"/>
              </w:rPr>
              <w:t>2528</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191D3D">
            <w:pPr>
              <w:rPr>
                <w:rFonts w:ascii="Tahoma" w:hAnsi="Tahoma"/>
                <w:sz w:val="22"/>
                <w:szCs w:val="22"/>
              </w:rPr>
            </w:pPr>
            <w:r>
              <w:rPr>
                <w:rFonts w:ascii="Tahoma" w:hAnsi="Tahoma"/>
                <w:sz w:val="22"/>
                <w:szCs w:val="22"/>
              </w:rPr>
              <w:t>GB Oils</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80166F" w:rsidRPr="00361C0B" w:rsidRDefault="00191D3D">
            <w:pPr>
              <w:rPr>
                <w:rFonts w:ascii="Tahoma" w:hAnsi="Tahoma"/>
                <w:sz w:val="22"/>
                <w:szCs w:val="22"/>
              </w:rPr>
            </w:pPr>
            <w:r>
              <w:rPr>
                <w:rFonts w:ascii="Tahoma" w:hAnsi="Tahoma"/>
                <w:sz w:val="22"/>
                <w:szCs w:val="22"/>
              </w:rPr>
              <w:t xml:space="preserve">Boards Good Yard, </w:t>
            </w:r>
            <w:proofErr w:type="spellStart"/>
            <w:r>
              <w:rPr>
                <w:rFonts w:ascii="Tahoma" w:hAnsi="Tahoma"/>
                <w:sz w:val="22"/>
                <w:szCs w:val="22"/>
              </w:rPr>
              <w:t>Lightburn</w:t>
            </w:r>
            <w:proofErr w:type="spellEnd"/>
            <w:r>
              <w:rPr>
                <w:rFonts w:ascii="Tahoma" w:hAnsi="Tahoma"/>
                <w:sz w:val="22"/>
                <w:szCs w:val="22"/>
              </w:rPr>
              <w:t xml:space="preserve"> Road, Ind. Estate, </w:t>
            </w:r>
            <w:proofErr w:type="spellStart"/>
            <w:r>
              <w:rPr>
                <w:rFonts w:ascii="Tahoma" w:hAnsi="Tahoma"/>
                <w:sz w:val="22"/>
                <w:szCs w:val="22"/>
              </w:rPr>
              <w:t>Ulverston</w:t>
            </w:r>
            <w:proofErr w:type="spellEnd"/>
            <w:r>
              <w:rPr>
                <w:rFonts w:ascii="Tahoma" w:hAnsi="Tahoma"/>
                <w:sz w:val="22"/>
                <w:szCs w:val="22"/>
              </w:rPr>
              <w:t>, LA12 7NE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191D3D">
            <w:pPr>
              <w:rPr>
                <w:rFonts w:ascii="Tahoma" w:hAnsi="Tahoma"/>
                <w:sz w:val="22"/>
                <w:szCs w:val="22"/>
              </w:rPr>
            </w:pPr>
            <w:r>
              <w:rPr>
                <w:rFonts w:ascii="Tahoma" w:hAnsi="Tahoma"/>
                <w:sz w:val="22"/>
                <w:szCs w:val="22"/>
              </w:rPr>
              <w:t>Drivers canteen</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361C0B" w:rsidRDefault="00191D3D">
            <w:pPr>
              <w:rPr>
                <w:rFonts w:ascii="Tahoma" w:hAnsi="Tahoma"/>
                <w:sz w:val="22"/>
                <w:szCs w:val="22"/>
              </w:rPr>
            </w:pPr>
            <w:r>
              <w:rPr>
                <w:rFonts w:ascii="Tahoma" w:hAnsi="Tahoma"/>
                <w:sz w:val="22"/>
                <w:szCs w:val="22"/>
              </w:rPr>
              <w:t>Removal of asbestos floor. Supply and fit of new vinyl flooring</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191D3D">
            <w:pPr>
              <w:rPr>
                <w:rFonts w:ascii="Tahoma" w:hAnsi="Tahoma"/>
                <w:sz w:val="22"/>
                <w:szCs w:val="22"/>
              </w:rPr>
            </w:pPr>
            <w:r>
              <w:rPr>
                <w:rFonts w:ascii="Tahoma" w:hAnsi="Tahoma"/>
                <w:sz w:val="22"/>
                <w:szCs w:val="22"/>
              </w:rPr>
              <w:t>05/02/2013</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191D3D">
            <w:pPr>
              <w:rPr>
                <w:rFonts w:ascii="Tahoma" w:hAnsi="Tahoma"/>
                <w:sz w:val="22"/>
                <w:szCs w:val="22"/>
              </w:rPr>
            </w:pPr>
            <w:r>
              <w:rPr>
                <w:rFonts w:ascii="Tahoma" w:hAnsi="Tahoma"/>
                <w:sz w:val="22"/>
                <w:szCs w:val="22"/>
              </w:rPr>
              <w:t>05/02/2014</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191D3D">
            <w:pPr>
              <w:rPr>
                <w:rFonts w:ascii="Tahoma" w:hAnsi="Tahoma"/>
                <w:sz w:val="22"/>
                <w:szCs w:val="22"/>
              </w:rPr>
            </w:pPr>
            <w:r>
              <w:rPr>
                <w:rFonts w:ascii="Tahoma" w:hAnsi="Tahoma"/>
                <w:sz w:val="22"/>
                <w:szCs w:val="22"/>
              </w:rPr>
              <w:t>David Vine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61C0B" w:rsidRDefault="00191D3D">
            <w:pPr>
              <w:rPr>
                <w:rFonts w:ascii="Tahoma" w:hAnsi="Tahoma"/>
                <w:sz w:val="22"/>
                <w:szCs w:val="22"/>
              </w:rPr>
            </w:pPr>
            <w:r>
              <w:rPr>
                <w:rFonts w:ascii="Tahoma" w:hAnsi="Tahoma"/>
                <w:sz w:val="22"/>
                <w:szCs w:val="22"/>
              </w:rPr>
              <w:t>John O’Hanlon</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191D3D">
            <w:pPr>
              <w:rPr>
                <w:rFonts w:ascii="Tahoma" w:hAnsi="Tahoma"/>
                <w:sz w:val="22"/>
                <w:szCs w:val="22"/>
              </w:rPr>
            </w:pPr>
            <w:r>
              <w:rPr>
                <w:rFonts w:ascii="Tahoma" w:hAnsi="Tahoma"/>
                <w:sz w:val="22"/>
                <w:szCs w:val="22"/>
              </w:rPr>
              <w:t>Lee Muscat</w:t>
            </w:r>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29"/>
        <w:gridCol w:w="1331"/>
        <w:gridCol w:w="1555"/>
        <w:gridCol w:w="7193"/>
        <w:gridCol w:w="1168"/>
      </w:tblGrid>
      <w:tr w:rsidR="00A92F54" w:rsidRPr="00361C0B" w:rsidTr="00191D3D">
        <w:trPr>
          <w:trHeight w:val="268"/>
        </w:trPr>
        <w:tc>
          <w:tcPr>
            <w:tcW w:w="292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331"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5"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193"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rsidTr="00191D3D">
        <w:trPr>
          <w:trHeight w:val="268"/>
        </w:trPr>
        <w:tc>
          <w:tcPr>
            <w:tcW w:w="2929" w:type="dxa"/>
          </w:tcPr>
          <w:p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 </w:t>
            </w:r>
            <w:r w:rsidR="00191D3D">
              <w:rPr>
                <w:rFonts w:ascii="Tahoma" w:hAnsi="Tahoma" w:cs="Tahoma"/>
                <w:sz w:val="20"/>
                <w:szCs w:val="20"/>
                <w:lang w:val="en-GB"/>
              </w:rPr>
              <w:t>Asbestos dust/fibres</w:t>
            </w:r>
          </w:p>
        </w:tc>
        <w:tc>
          <w:tcPr>
            <w:tcW w:w="1331" w:type="dxa"/>
          </w:tcPr>
          <w:p w:rsidR="0083093C" w:rsidRPr="00361C0B" w:rsidRDefault="00191D3D" w:rsidP="0058426B">
            <w:pPr>
              <w:jc w:val="center"/>
              <w:rPr>
                <w:rFonts w:ascii="Tahoma" w:hAnsi="Tahoma"/>
                <w:sz w:val="22"/>
                <w:szCs w:val="22"/>
              </w:rPr>
            </w:pPr>
            <w:r>
              <w:rPr>
                <w:rFonts w:ascii="Tahoma" w:hAnsi="Tahoma"/>
                <w:sz w:val="22"/>
                <w:szCs w:val="22"/>
              </w:rPr>
              <w:t>Visitors, Employees, Contractors</w:t>
            </w:r>
          </w:p>
        </w:tc>
        <w:tc>
          <w:tcPr>
            <w:tcW w:w="1555" w:type="dxa"/>
          </w:tcPr>
          <w:p w:rsidR="0058426B" w:rsidRDefault="00191D3D" w:rsidP="006F25F5">
            <w:pPr>
              <w:jc w:val="center"/>
              <w:rPr>
                <w:rFonts w:ascii="Tahoma" w:hAnsi="Tahoma"/>
                <w:sz w:val="22"/>
                <w:szCs w:val="22"/>
              </w:rPr>
            </w:pPr>
            <w:r>
              <w:rPr>
                <w:rFonts w:ascii="Tahoma" w:hAnsi="Tahoma"/>
                <w:sz w:val="22"/>
                <w:szCs w:val="22"/>
              </w:rPr>
              <w:t>High</w:t>
            </w:r>
          </w:p>
          <w:p w:rsidR="0083093C" w:rsidRPr="00361C0B" w:rsidRDefault="0083093C" w:rsidP="006F25F5">
            <w:pPr>
              <w:jc w:val="center"/>
              <w:rPr>
                <w:rFonts w:ascii="Tahoma" w:hAnsi="Tahoma"/>
                <w:sz w:val="22"/>
                <w:szCs w:val="22"/>
              </w:rPr>
            </w:pPr>
          </w:p>
        </w:tc>
        <w:tc>
          <w:tcPr>
            <w:tcW w:w="7193" w:type="dxa"/>
          </w:tcPr>
          <w:p w:rsidR="00191D3D" w:rsidRPr="00883C4B" w:rsidRDefault="00191D3D" w:rsidP="00191D3D">
            <w:pPr>
              <w:pStyle w:val="ListParagraph"/>
              <w:numPr>
                <w:ilvl w:val="0"/>
                <w:numId w:val="12"/>
              </w:numPr>
              <w:rPr>
                <w:rFonts w:ascii="Tahoma" w:hAnsi="Tahoma" w:cs="Tahoma"/>
              </w:rPr>
            </w:pPr>
            <w:r w:rsidRPr="00883C4B">
              <w:rPr>
                <w:rFonts w:ascii="Tahoma" w:hAnsi="Tahoma" w:cs="Tahoma"/>
              </w:rPr>
              <w:t>If the presence of asbestos is suspected, a survey shall be commissioned to establish the type of asbestos and the nature and extent of any exposure.</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If exposure is likely to exceed the "action level", removal and disposal shall be carried out by a contractor licensed under regulation 3(1) of the Asbestos (Licensing) Regulations 1983 (SI 1983 No. 1649) (as amended).</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Work shall be carried out in accordance with a "plan of work" method statement (detailing the nature of the work, location and type of asbestos, likely potential exposure, control measures, personal protective equipment (PPE), emergency procedures and procedures for removal and storage of waste).</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Areas shall be designated as "asbestos areas" or "respirator zones" as appropriate and clearly marked as such</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Workers who could potentially have been exposed to levels in excess of the "action level" shall have undergone a successful examination, including a chest examination, within the previous two years.</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Air monitoring shall be undertaken and those carrying out air monitoring will use a laboratory that complies with European Standard EN 45001.</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Access to the hazardous areas will be restricted.</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Appropriate PPE and PPE storage facilities will be provided.</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Encapsulation of areas shall be considered.</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Examination and testing of RPE.</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Medical surveillance will be undertaken where the "action level" is exceeded.</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All equipment contaminated by dust, including extraction and vacuum equipment, etc, shall be maintained in a clean and efficient condition.</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Dust suppression by wetting will be used where appropriate.</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Arrangements shall be made for the supply of clean clothing.</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Washing/changing facilities will be provided.</w:t>
            </w:r>
          </w:p>
          <w:p w:rsidR="00191D3D" w:rsidRPr="00883C4B" w:rsidRDefault="00191D3D" w:rsidP="00191D3D">
            <w:pPr>
              <w:pStyle w:val="ListParagraph"/>
              <w:numPr>
                <w:ilvl w:val="0"/>
                <w:numId w:val="12"/>
              </w:numPr>
              <w:rPr>
                <w:rFonts w:ascii="Tahoma" w:hAnsi="Tahoma" w:cs="Tahoma"/>
              </w:rPr>
            </w:pPr>
            <w:r>
              <w:rPr>
                <w:rFonts w:ascii="Tahoma" w:hAnsi="Tahoma" w:cs="Tahoma"/>
              </w:rPr>
              <w:t xml:space="preserve">All </w:t>
            </w:r>
            <w:r w:rsidRPr="00883C4B">
              <w:rPr>
                <w:rFonts w:ascii="Tahoma" w:hAnsi="Tahoma" w:cs="Tahoma"/>
              </w:rPr>
              <w:t xml:space="preserve">Waste </w:t>
            </w:r>
            <w:r>
              <w:rPr>
                <w:rFonts w:ascii="Tahoma" w:hAnsi="Tahoma" w:cs="Tahoma"/>
              </w:rPr>
              <w:t xml:space="preserve">material </w:t>
            </w:r>
            <w:r w:rsidRPr="00883C4B">
              <w:rPr>
                <w:rFonts w:ascii="Tahoma" w:hAnsi="Tahoma" w:cs="Tahoma"/>
              </w:rPr>
              <w:t xml:space="preserve">will be placed in a sealed container </w:t>
            </w:r>
            <w:proofErr w:type="spellStart"/>
            <w:r w:rsidRPr="00883C4B">
              <w:rPr>
                <w:rFonts w:ascii="Tahoma" w:hAnsi="Tahoma" w:cs="Tahoma"/>
              </w:rPr>
              <w:t>labelled</w:t>
            </w:r>
            <w:proofErr w:type="spellEnd"/>
            <w:r w:rsidRPr="00883C4B">
              <w:rPr>
                <w:rFonts w:ascii="Tahoma" w:hAnsi="Tahoma" w:cs="Tahoma"/>
              </w:rPr>
              <w:t xml:space="preserve"> "asbestos", or in the case of </w:t>
            </w:r>
            <w:proofErr w:type="spellStart"/>
            <w:r w:rsidRPr="00883C4B">
              <w:rPr>
                <w:rFonts w:ascii="Tahoma" w:hAnsi="Tahoma" w:cs="Tahoma"/>
              </w:rPr>
              <w:t>crocidolite</w:t>
            </w:r>
            <w:proofErr w:type="spellEnd"/>
            <w:r w:rsidRPr="00883C4B">
              <w:rPr>
                <w:rFonts w:ascii="Tahoma" w:hAnsi="Tahoma" w:cs="Tahoma"/>
              </w:rPr>
              <w:t xml:space="preserve"> "</w:t>
            </w:r>
            <w:proofErr w:type="spellStart"/>
            <w:r w:rsidRPr="00883C4B">
              <w:rPr>
                <w:rFonts w:ascii="Tahoma" w:hAnsi="Tahoma" w:cs="Tahoma"/>
              </w:rPr>
              <w:t>crocidolite</w:t>
            </w:r>
            <w:proofErr w:type="spellEnd"/>
            <w:r w:rsidRPr="00883C4B">
              <w:rPr>
                <w:rFonts w:ascii="Tahoma" w:hAnsi="Tahoma" w:cs="Tahoma"/>
              </w:rPr>
              <w:t>/blue asbestos".</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 xml:space="preserve">All waste (including protective clothing) shall be </w:t>
            </w:r>
            <w:r>
              <w:rPr>
                <w:rFonts w:ascii="Tahoma" w:hAnsi="Tahoma" w:cs="Tahoma"/>
              </w:rPr>
              <w:t xml:space="preserve">double bagged, tied, and </w:t>
            </w:r>
            <w:r w:rsidRPr="00883C4B">
              <w:rPr>
                <w:rFonts w:ascii="Tahoma" w:hAnsi="Tahoma" w:cs="Tahoma"/>
              </w:rPr>
              <w:t>transpo</w:t>
            </w:r>
            <w:r>
              <w:rPr>
                <w:rFonts w:ascii="Tahoma" w:hAnsi="Tahoma" w:cs="Tahoma"/>
              </w:rPr>
              <w:t>rted to a suitably licensed removal company.</w:t>
            </w:r>
          </w:p>
          <w:p w:rsidR="00191D3D" w:rsidRPr="00883C4B" w:rsidRDefault="00191D3D" w:rsidP="00191D3D">
            <w:pPr>
              <w:pStyle w:val="ListParagraph"/>
              <w:numPr>
                <w:ilvl w:val="0"/>
                <w:numId w:val="12"/>
              </w:numPr>
              <w:rPr>
                <w:rFonts w:ascii="Tahoma" w:hAnsi="Tahoma" w:cs="Tahoma"/>
              </w:rPr>
            </w:pPr>
            <w:r w:rsidRPr="00883C4B">
              <w:rPr>
                <w:rFonts w:ascii="Tahoma" w:hAnsi="Tahoma" w:cs="Tahoma"/>
              </w:rPr>
              <w:t>If work is carried out at height, suitable precautions should be taken.</w:t>
            </w:r>
          </w:p>
          <w:p w:rsidR="0083093C" w:rsidRPr="00D03575" w:rsidRDefault="00191D3D" w:rsidP="00191D3D">
            <w:pPr>
              <w:ind w:left="720"/>
              <w:rPr>
                <w:rFonts w:ascii="Tahoma" w:hAnsi="Tahoma" w:cs="Tahoma"/>
                <w:sz w:val="20"/>
                <w:szCs w:val="20"/>
                <w:lang w:val="en-GB"/>
              </w:rPr>
            </w:pPr>
            <w:r w:rsidRPr="00883C4B">
              <w:rPr>
                <w:rFonts w:ascii="Tahoma" w:hAnsi="Tahoma" w:cs="Tahoma"/>
              </w:rPr>
              <w:t>Workers will not eat, drink or smoke in the designated areas.</w:t>
            </w: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t>Low</w:t>
            </w:r>
          </w:p>
        </w:tc>
      </w:tr>
      <w:tr w:rsidR="002370AD" w:rsidRPr="00361C0B" w:rsidTr="00191D3D">
        <w:trPr>
          <w:trHeight w:val="268"/>
        </w:trPr>
        <w:tc>
          <w:tcPr>
            <w:tcW w:w="2929" w:type="dxa"/>
          </w:tcPr>
          <w:p w:rsidR="002370AD" w:rsidRDefault="002370AD" w:rsidP="00D039F3">
            <w:pPr>
              <w:rPr>
                <w:rFonts w:ascii="Tahoma" w:hAnsi="Tahoma"/>
                <w:sz w:val="20"/>
                <w:szCs w:val="22"/>
              </w:rPr>
            </w:pPr>
          </w:p>
          <w:p w:rsidR="002370AD" w:rsidRDefault="002370AD" w:rsidP="00D039F3">
            <w:pPr>
              <w:rPr>
                <w:rFonts w:ascii="Tahoma" w:hAnsi="Tahoma"/>
                <w:sz w:val="20"/>
                <w:szCs w:val="22"/>
              </w:rPr>
            </w:pPr>
          </w:p>
          <w:p w:rsidR="002370AD" w:rsidRPr="00B90453" w:rsidRDefault="002370AD" w:rsidP="00D039F3">
            <w:pPr>
              <w:rPr>
                <w:rFonts w:ascii="Tahoma" w:hAnsi="Tahoma"/>
                <w:sz w:val="20"/>
                <w:szCs w:val="22"/>
              </w:rPr>
            </w:pPr>
          </w:p>
        </w:tc>
        <w:tc>
          <w:tcPr>
            <w:tcW w:w="1331" w:type="dxa"/>
          </w:tcPr>
          <w:p w:rsidR="002370AD" w:rsidRPr="00B90453" w:rsidRDefault="002370AD" w:rsidP="00B5531B">
            <w:pPr>
              <w:jc w:val="center"/>
              <w:rPr>
                <w:rFonts w:ascii="Tahoma" w:hAnsi="Tahoma"/>
                <w:sz w:val="20"/>
                <w:szCs w:val="22"/>
              </w:rPr>
            </w:pPr>
          </w:p>
        </w:tc>
        <w:tc>
          <w:tcPr>
            <w:tcW w:w="1555" w:type="dxa"/>
          </w:tcPr>
          <w:p w:rsidR="002370AD" w:rsidRPr="00B90453" w:rsidRDefault="002370AD" w:rsidP="00B5531B">
            <w:pPr>
              <w:jc w:val="center"/>
              <w:rPr>
                <w:rFonts w:ascii="Tahoma" w:hAnsi="Tahoma"/>
                <w:sz w:val="20"/>
                <w:szCs w:val="22"/>
              </w:rPr>
            </w:pPr>
          </w:p>
        </w:tc>
        <w:tc>
          <w:tcPr>
            <w:tcW w:w="7193" w:type="dxa"/>
          </w:tcPr>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Pr="002370AD" w:rsidRDefault="002370AD" w:rsidP="002370AD">
            <w:pPr>
              <w:rPr>
                <w:rFonts w:ascii="Tahoma" w:hAnsi="Tahoma"/>
                <w:sz w:val="20"/>
                <w:szCs w:val="22"/>
              </w:rPr>
            </w:pPr>
          </w:p>
        </w:tc>
        <w:tc>
          <w:tcPr>
            <w:tcW w:w="1168" w:type="dxa"/>
          </w:tcPr>
          <w:p w:rsidR="002370AD" w:rsidRPr="00B90453" w:rsidRDefault="002370AD" w:rsidP="00D039F3">
            <w:pPr>
              <w:rPr>
                <w:rFonts w:ascii="Tahoma" w:hAnsi="Tahoma"/>
                <w:sz w:val="20"/>
                <w:szCs w:val="22"/>
              </w:rPr>
            </w:pPr>
          </w:p>
        </w:tc>
      </w:tr>
    </w:tbl>
    <w:p w:rsidR="00612875" w:rsidRDefault="00612875">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5531B" w:rsidRDefault="00B5531B">
      <w:pPr>
        <w:rPr>
          <w:rFonts w:ascii="Tahoma" w:hAnsi="Tahoma"/>
          <w:sz w:val="22"/>
          <w:szCs w:val="22"/>
        </w:rPr>
      </w:pPr>
    </w:p>
    <w:p w:rsidR="00B5531B" w:rsidRDefault="00B5531B">
      <w:pPr>
        <w:rPr>
          <w:rFonts w:ascii="Tahoma" w:hAnsi="Tahoma"/>
          <w:sz w:val="22"/>
          <w:szCs w:val="22"/>
        </w:rPr>
      </w:pPr>
    </w:p>
    <w:p w:rsidR="00B5531B" w:rsidRDefault="00B5531B">
      <w:pPr>
        <w:rPr>
          <w:rFonts w:ascii="Tahoma" w:hAnsi="Tahoma"/>
          <w:sz w:val="22"/>
          <w:szCs w:val="22"/>
        </w:rPr>
      </w:pPr>
    </w:p>
    <w:p w:rsidR="00C366F1" w:rsidRPr="00361C0B" w:rsidRDefault="00C366F1">
      <w:pPr>
        <w:rPr>
          <w:rFonts w:ascii="Tahoma" w:hAnsi="Tahoma"/>
          <w:sz w:val="22"/>
          <w:szCs w:val="22"/>
        </w:rPr>
      </w:pPr>
    </w:p>
    <w:tbl>
      <w:tblPr>
        <w:tblStyle w:val="MediumShading2-Accent3"/>
        <w:tblW w:w="0" w:type="auto"/>
        <w:tblLook w:val="04A0"/>
      </w:tblPr>
      <w:tblGrid>
        <w:gridCol w:w="14176"/>
      </w:tblGrid>
      <w:tr w:rsidR="00D039F3" w:rsidRPr="00361C0B">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tblPr>
      <w:tblGrid>
        <w:gridCol w:w="14176"/>
      </w:tblGrid>
      <w:tr w:rsidR="00697085" w:rsidRPr="00361C0B" w:rsidTr="00337A2D">
        <w:trPr>
          <w:trHeight w:val="2389"/>
        </w:trPr>
        <w:tc>
          <w:tcPr>
            <w:tcW w:w="14176" w:type="dxa"/>
            <w:shd w:val="clear" w:color="auto" w:fill="D9D9D9" w:themeFill="background1" w:themeFillShade="D9"/>
          </w:tcPr>
          <w:p w:rsidR="00697085" w:rsidRDefault="00697085">
            <w:pPr>
              <w:rPr>
                <w:rFonts w:ascii="Tahoma" w:hAnsi="Tahoma"/>
                <w:sz w:val="22"/>
                <w:szCs w:val="22"/>
              </w:rPr>
            </w:pPr>
          </w:p>
          <w:p w:rsidR="00337A2D" w:rsidRDefault="00337A2D" w:rsidP="0058426B">
            <w:pPr>
              <w:pStyle w:val="BodyText"/>
              <w:rPr>
                <w:rFonts w:ascii="Tahoma" w:hAnsi="Tahoma"/>
                <w:sz w:val="22"/>
                <w:szCs w:val="22"/>
              </w:rPr>
            </w:pPr>
            <w:r>
              <w:rPr>
                <w:rFonts w:ascii="Tahoma" w:hAnsi="Tahoma"/>
                <w:sz w:val="22"/>
                <w:szCs w:val="22"/>
              </w:rPr>
              <w:t>Upon arrival on-site all site operatives will sign in register</w:t>
            </w:r>
          </w:p>
          <w:p w:rsidR="00337A2D" w:rsidRDefault="00337A2D" w:rsidP="0058426B">
            <w:pPr>
              <w:pStyle w:val="BodyText"/>
              <w:rPr>
                <w:rFonts w:ascii="Tahoma" w:hAnsi="Tahoma"/>
                <w:sz w:val="22"/>
                <w:szCs w:val="22"/>
              </w:rPr>
            </w:pPr>
            <w:r>
              <w:rPr>
                <w:rFonts w:ascii="Tahoma" w:hAnsi="Tahoma"/>
                <w:sz w:val="22"/>
                <w:szCs w:val="22"/>
              </w:rPr>
              <w:t>The asbestos floor tiles will be removed, bagged and disposed</w:t>
            </w:r>
          </w:p>
          <w:p w:rsidR="00337A2D" w:rsidRDefault="00337A2D" w:rsidP="0058426B">
            <w:pPr>
              <w:pStyle w:val="BodyText"/>
              <w:rPr>
                <w:rFonts w:ascii="Tahoma" w:hAnsi="Tahoma"/>
                <w:sz w:val="22"/>
                <w:szCs w:val="22"/>
              </w:rPr>
            </w:pPr>
          </w:p>
          <w:p w:rsidR="00BA39DF" w:rsidRDefault="00BA39DF" w:rsidP="0058426B">
            <w:pPr>
              <w:pStyle w:val="BodyText"/>
              <w:rPr>
                <w:rFonts w:ascii="Tahoma" w:hAnsi="Tahoma"/>
                <w:sz w:val="22"/>
                <w:szCs w:val="22"/>
              </w:rPr>
            </w:pPr>
            <w:r>
              <w:rPr>
                <w:rFonts w:ascii="Tahoma" w:hAnsi="Tahoma"/>
                <w:sz w:val="22"/>
                <w:szCs w:val="22"/>
              </w:rPr>
              <w:t>A</w:t>
            </w:r>
            <w:r w:rsidR="00337A2D">
              <w:rPr>
                <w:rFonts w:ascii="Tahoma" w:hAnsi="Tahoma"/>
                <w:sz w:val="22"/>
                <w:szCs w:val="22"/>
              </w:rPr>
              <w:t xml:space="preserve"> new </w:t>
            </w:r>
            <w:r>
              <w:rPr>
                <w:rFonts w:ascii="Tahoma" w:hAnsi="Tahoma"/>
                <w:sz w:val="22"/>
                <w:szCs w:val="22"/>
              </w:rPr>
              <w:t xml:space="preserve">latex </w:t>
            </w:r>
            <w:r w:rsidR="00337A2D">
              <w:rPr>
                <w:rFonts w:ascii="Tahoma" w:hAnsi="Tahoma"/>
                <w:sz w:val="22"/>
                <w:szCs w:val="22"/>
              </w:rPr>
              <w:t xml:space="preserve">screed </w:t>
            </w:r>
            <w:r>
              <w:rPr>
                <w:rFonts w:ascii="Tahoma" w:hAnsi="Tahoma"/>
                <w:sz w:val="22"/>
                <w:szCs w:val="22"/>
              </w:rPr>
              <w:t xml:space="preserve">will then be poured and trowel finish </w:t>
            </w:r>
            <w:r w:rsidR="00337A2D">
              <w:rPr>
                <w:rFonts w:ascii="Tahoma" w:hAnsi="Tahoma"/>
                <w:sz w:val="22"/>
                <w:szCs w:val="22"/>
              </w:rPr>
              <w:t>to</w:t>
            </w:r>
            <w:r>
              <w:rPr>
                <w:rFonts w:ascii="Tahoma" w:hAnsi="Tahoma"/>
                <w:sz w:val="22"/>
                <w:szCs w:val="22"/>
              </w:rPr>
              <w:t xml:space="preserve"> the</w:t>
            </w:r>
            <w:r w:rsidR="00337A2D">
              <w:rPr>
                <w:rFonts w:ascii="Tahoma" w:hAnsi="Tahoma"/>
                <w:sz w:val="22"/>
                <w:szCs w:val="22"/>
              </w:rPr>
              <w:t xml:space="preserve"> floor area </w:t>
            </w:r>
            <w:r w:rsidR="00A5783F">
              <w:rPr>
                <w:rFonts w:ascii="Tahoma" w:hAnsi="Tahoma"/>
                <w:sz w:val="22"/>
                <w:szCs w:val="22"/>
              </w:rPr>
              <w:t>on the second day and left to set</w:t>
            </w:r>
          </w:p>
          <w:p w:rsidR="00337A2D" w:rsidRDefault="00BA39DF" w:rsidP="0058426B">
            <w:pPr>
              <w:pStyle w:val="BodyText"/>
              <w:rPr>
                <w:rFonts w:ascii="Tahoma" w:hAnsi="Tahoma"/>
                <w:sz w:val="22"/>
                <w:szCs w:val="22"/>
              </w:rPr>
            </w:pPr>
            <w:r>
              <w:rPr>
                <w:rFonts w:ascii="Tahoma" w:hAnsi="Tahoma"/>
                <w:sz w:val="22"/>
                <w:szCs w:val="22"/>
              </w:rPr>
              <w:t xml:space="preserve">The next day the </w:t>
            </w:r>
            <w:r w:rsidR="00337A2D">
              <w:rPr>
                <w:rFonts w:ascii="Tahoma" w:hAnsi="Tahoma"/>
                <w:sz w:val="22"/>
                <w:szCs w:val="22"/>
              </w:rPr>
              <w:t>new vinyl floor</w:t>
            </w:r>
            <w:r>
              <w:rPr>
                <w:rFonts w:ascii="Tahoma" w:hAnsi="Tahoma"/>
                <w:sz w:val="22"/>
                <w:szCs w:val="22"/>
              </w:rPr>
              <w:t xml:space="preserve"> will be lay on top</w:t>
            </w:r>
          </w:p>
          <w:p w:rsidR="00337A2D" w:rsidRDefault="00337A2D" w:rsidP="0058426B">
            <w:pPr>
              <w:pStyle w:val="BodyText"/>
              <w:rPr>
                <w:rFonts w:ascii="Tahoma" w:hAnsi="Tahoma"/>
                <w:sz w:val="22"/>
                <w:szCs w:val="22"/>
              </w:rPr>
            </w:pPr>
          </w:p>
          <w:p w:rsidR="00697085" w:rsidRPr="00361C0B" w:rsidRDefault="00337A2D" w:rsidP="0058426B">
            <w:pPr>
              <w:pStyle w:val="BodyText"/>
              <w:rPr>
                <w:rFonts w:ascii="Tahoma" w:hAnsi="Tahoma"/>
                <w:sz w:val="22"/>
                <w:szCs w:val="22"/>
              </w:rPr>
            </w:pPr>
            <w:r>
              <w:rPr>
                <w:rFonts w:ascii="Tahoma" w:hAnsi="Tahoma"/>
                <w:sz w:val="22"/>
                <w:szCs w:val="22"/>
              </w:rPr>
              <w:t>All contractors will sign out when leaving site</w:t>
            </w:r>
          </w:p>
        </w:tc>
      </w:tr>
    </w:tbl>
    <w:p w:rsidR="00D039F3" w:rsidRPr="00361C0B" w:rsidRDefault="00D039F3">
      <w:pPr>
        <w:rPr>
          <w:rFonts w:ascii="Tahoma" w:hAnsi="Tahoma"/>
          <w:sz w:val="22"/>
          <w:szCs w:val="22"/>
        </w:rPr>
      </w:pPr>
    </w:p>
    <w:p w:rsidR="001F68C6" w:rsidRPr="00361C0B" w:rsidRDefault="001F68C6">
      <w:pPr>
        <w:rPr>
          <w:rFonts w:ascii="Tahoma" w:hAnsi="Tahoma"/>
          <w:sz w:val="22"/>
          <w:szCs w:val="22"/>
        </w:rPr>
      </w:pPr>
    </w:p>
    <w:tbl>
      <w:tblPr>
        <w:tblStyle w:val="MediumShading2-Accent3"/>
        <w:tblW w:w="0" w:type="auto"/>
        <w:tblLook w:val="04A0"/>
      </w:tblPr>
      <w:tblGrid>
        <w:gridCol w:w="14176"/>
      </w:tblGrid>
      <w:tr w:rsidR="001F68C6" w:rsidRPr="00361C0B">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1F68C6" w:rsidRPr="00361C0B" w:rsidRDefault="001F68C6">
      <w:pPr>
        <w:rPr>
          <w:rFonts w:ascii="Tahoma" w:hAnsi="Tahoma"/>
          <w:sz w:val="22"/>
          <w:szCs w:val="22"/>
        </w:rPr>
      </w:pPr>
      <w:r w:rsidRPr="00361C0B">
        <w:rPr>
          <w:rFonts w:ascii="Tahoma" w:hAnsi="Tahoma"/>
          <w:sz w:val="22"/>
          <w:szCs w:val="22"/>
        </w:rPr>
        <w:tab/>
      </w:r>
    </w:p>
    <w:p w:rsidR="00DD2C0C" w:rsidRPr="00361C0B" w:rsidRDefault="00DD2C0C">
      <w:pPr>
        <w:rPr>
          <w:rFonts w:ascii="Tahoma" w:hAnsi="Tahoma"/>
          <w:sz w:val="22"/>
          <w:szCs w:val="22"/>
        </w:rPr>
      </w:pPr>
    </w:p>
    <w:tbl>
      <w:tblPr>
        <w:tblStyle w:val="MediumShading2-Accent3"/>
        <w:tblW w:w="0" w:type="auto"/>
        <w:tblLook w:val="04A0"/>
      </w:tblPr>
      <w:tblGrid>
        <w:gridCol w:w="14176"/>
      </w:tblGrid>
      <w:tr w:rsidR="00DD2C0C" w:rsidRPr="00361C0B">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tblPr>
      <w:tblGrid>
        <w:gridCol w:w="2660"/>
        <w:gridCol w:w="2693"/>
        <w:gridCol w:w="1701"/>
        <w:gridCol w:w="2396"/>
        <w:gridCol w:w="1149"/>
        <w:gridCol w:w="3577"/>
      </w:tblGrid>
      <w:tr w:rsidR="00DD2C0C" w:rsidRPr="00361C0B">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191D3D">
            <w:pPr>
              <w:rPr>
                <w:rFonts w:ascii="Tahoma" w:hAnsi="Tahoma"/>
                <w:sz w:val="22"/>
                <w:szCs w:val="22"/>
              </w:rPr>
            </w:pPr>
            <w:r>
              <w:rPr>
                <w:rFonts w:ascii="Tahoma" w:hAnsi="Tahoma"/>
                <w:sz w:val="22"/>
                <w:szCs w:val="22"/>
              </w:rPr>
              <w:t>John O’Hanlon</w:t>
            </w: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191D3D">
            <w:pPr>
              <w:rPr>
                <w:rFonts w:ascii="Tahoma" w:hAnsi="Tahoma"/>
                <w:sz w:val="22"/>
                <w:szCs w:val="22"/>
              </w:rPr>
            </w:pPr>
            <w:r>
              <w:rPr>
                <w:rFonts w:ascii="Tahoma" w:hAnsi="Tahoma"/>
                <w:sz w:val="22"/>
                <w:szCs w:val="22"/>
              </w:rPr>
              <w:t>Company Vehicle</w:t>
            </w: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4A3810" w:rsidRPr="004A3810" w:rsidRDefault="004A3810" w:rsidP="004A3810">
            <w:pPr>
              <w:widowControl w:val="0"/>
              <w:autoSpaceDE w:val="0"/>
              <w:autoSpaceDN w:val="0"/>
              <w:adjustRightInd w:val="0"/>
              <w:rPr>
                <w:rFonts w:asciiTheme="majorHAnsi" w:hAnsiTheme="majorHAnsi" w:cs="Arial"/>
                <w:sz w:val="22"/>
                <w:szCs w:val="26"/>
              </w:rPr>
            </w:pPr>
            <w:r w:rsidRPr="004A3810">
              <w:rPr>
                <w:rFonts w:asciiTheme="majorHAnsi" w:hAnsiTheme="majorHAnsi" w:cs="Arial"/>
                <w:sz w:val="22"/>
                <w:szCs w:val="26"/>
              </w:rPr>
              <w:t>‪</w:t>
            </w:r>
            <w:r w:rsidR="007E688E">
              <w:rPr>
                <w:rFonts w:asciiTheme="majorHAnsi" w:hAnsiTheme="majorHAnsi" w:cs="Arial"/>
                <w:sz w:val="22"/>
                <w:szCs w:val="26"/>
              </w:rPr>
              <w:t xml:space="preserve">Stanley St, Ulverston, </w:t>
            </w:r>
            <w:r w:rsidRPr="004A3810">
              <w:rPr>
                <w:rFonts w:asciiTheme="majorHAnsi" w:hAnsiTheme="majorHAnsi" w:cs="Arial"/>
                <w:sz w:val="22"/>
                <w:szCs w:val="26"/>
              </w:rPr>
              <w:t>LA12 7BT‬</w:t>
            </w:r>
          </w:p>
          <w:p w:rsidR="00DD2C0C" w:rsidRPr="00361C0B" w:rsidRDefault="004A3810" w:rsidP="004A3810">
            <w:pPr>
              <w:rPr>
                <w:rFonts w:ascii="Tahoma" w:hAnsi="Tahoma"/>
                <w:sz w:val="22"/>
                <w:szCs w:val="22"/>
              </w:rPr>
            </w:pPr>
            <w:r w:rsidRPr="004A3810">
              <w:rPr>
                <w:rFonts w:asciiTheme="majorHAnsi" w:hAnsiTheme="majorHAnsi" w:cs="Arial"/>
                <w:sz w:val="22"/>
                <w:szCs w:val="26"/>
              </w:rPr>
              <w:t>‪01229 484040‬</w:t>
            </w: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DD2C0C" w:rsidRPr="00361C0B" w:rsidRDefault="00DD2C0C">
      <w:pPr>
        <w:rPr>
          <w:rFonts w:ascii="Tahoma" w:hAnsi="Tahoma"/>
          <w:sz w:val="22"/>
          <w:szCs w:val="22"/>
        </w:rPr>
      </w:pPr>
    </w:p>
    <w:p w:rsidR="003330C2" w:rsidRDefault="003330C2">
      <w:pPr>
        <w:rPr>
          <w:rFonts w:ascii="Tahoma" w:hAnsi="Tahoma"/>
          <w:sz w:val="22"/>
          <w:szCs w:val="22"/>
        </w:rPr>
      </w:pPr>
    </w:p>
    <w:p w:rsidR="002370AD" w:rsidRDefault="002370AD">
      <w:pPr>
        <w:rPr>
          <w:rFonts w:ascii="Tahoma" w:hAnsi="Tahoma"/>
          <w:sz w:val="22"/>
          <w:szCs w:val="22"/>
        </w:rPr>
      </w:pPr>
    </w:p>
    <w:p w:rsidR="002370AD" w:rsidRDefault="002370AD">
      <w:pPr>
        <w:rPr>
          <w:rFonts w:ascii="Tahoma" w:hAnsi="Tahoma"/>
          <w:sz w:val="22"/>
          <w:szCs w:val="22"/>
        </w:rPr>
      </w:pPr>
    </w:p>
    <w:p w:rsidR="00F10F4D" w:rsidRDefault="00F10F4D">
      <w:pPr>
        <w:rPr>
          <w:rFonts w:ascii="Tahoma" w:hAnsi="Tahoma"/>
          <w:sz w:val="22"/>
          <w:szCs w:val="22"/>
        </w:rPr>
      </w:pPr>
    </w:p>
    <w:p w:rsidR="00F10F4D" w:rsidRDefault="00F10F4D">
      <w:pPr>
        <w:rPr>
          <w:rFonts w:ascii="Tahoma" w:hAnsi="Tahoma"/>
          <w:sz w:val="22"/>
          <w:szCs w:val="22"/>
        </w:rPr>
      </w:pPr>
    </w:p>
    <w:p w:rsidR="00F10F4D" w:rsidRDefault="00F10F4D">
      <w:pPr>
        <w:rPr>
          <w:rFonts w:ascii="Tahoma" w:hAnsi="Tahoma"/>
          <w:sz w:val="22"/>
          <w:szCs w:val="22"/>
        </w:rPr>
      </w:pPr>
    </w:p>
    <w:p w:rsidR="00F10F4D" w:rsidRDefault="00F10F4D">
      <w:pPr>
        <w:rPr>
          <w:rFonts w:ascii="Tahoma" w:hAnsi="Tahoma"/>
          <w:sz w:val="22"/>
          <w:szCs w:val="22"/>
        </w:rPr>
      </w:pPr>
    </w:p>
    <w:p w:rsidR="002370AD" w:rsidRDefault="002370AD">
      <w:pPr>
        <w:rPr>
          <w:rFonts w:ascii="Tahoma" w:hAnsi="Tahoma"/>
          <w:sz w:val="22"/>
          <w:szCs w:val="22"/>
        </w:rPr>
      </w:pPr>
    </w:p>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3330C2" w:rsidRPr="00361C0B" w:rsidRDefault="003330C2">
      <w:pPr>
        <w:rPr>
          <w:rFonts w:ascii="Tahoma" w:hAnsi="Tahoma"/>
          <w:sz w:val="22"/>
          <w:szCs w:val="22"/>
        </w:rPr>
      </w:pPr>
    </w:p>
    <w:tbl>
      <w:tblPr>
        <w:tblStyle w:val="MediumShading2-Accent4"/>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 xml:space="preserve">The Management of Health &amp; Safety at Work. Regulations 1999, </w:t>
            </w:r>
            <w:proofErr w:type="spellStart"/>
            <w:r w:rsidRPr="00361C0B">
              <w:rPr>
                <w:rFonts w:ascii="Tahoma" w:hAnsi="Tahoma" w:cs="Tahoma"/>
                <w:sz w:val="22"/>
                <w:szCs w:val="22"/>
              </w:rPr>
              <w:t>Reg</w:t>
            </w:r>
            <w:proofErr w:type="spellEnd"/>
            <w:r w:rsidRPr="00361C0B">
              <w:rPr>
                <w:rFonts w:ascii="Tahoma" w:hAnsi="Tahoma" w:cs="Tahoma"/>
                <w:sz w:val="22"/>
                <w:szCs w:val="22"/>
              </w:rPr>
              <w:t xml:space="preserve">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361C0B" w:rsidRDefault="003330C2" w:rsidP="003330C2">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p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Dangerous Substances and Explosive Atmosphere Regulations 2002</w:t>
            </w:r>
          </w:p>
          <w:p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Electricity at Work Regulations 1989</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3330C2" w:rsidRDefault="003330C2">
      <w:pPr>
        <w:rPr>
          <w:rFonts w:ascii="Tahoma" w:hAnsi="Tahoma"/>
          <w:sz w:val="22"/>
          <w:szCs w:val="22"/>
        </w:rPr>
      </w:pPr>
    </w:p>
    <w:p w:rsidR="002370AD" w:rsidRDefault="002370AD">
      <w:pPr>
        <w:rPr>
          <w:rFonts w:ascii="Tahoma" w:hAnsi="Tahoma"/>
          <w:sz w:val="22"/>
          <w:szCs w:val="22"/>
        </w:rPr>
      </w:pPr>
    </w:p>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7E688E" w:rsidP="007E688E">
            <w:pPr>
              <w:rPr>
                <w:rFonts w:ascii="Tahoma" w:hAnsi="Tahoma"/>
                <w:sz w:val="22"/>
                <w:szCs w:val="22"/>
              </w:rPr>
            </w:pPr>
            <w:r>
              <w:rPr>
                <w:rFonts w:ascii="Tahoma" w:hAnsi="Tahoma"/>
                <w:sz w:val="22"/>
                <w:szCs w:val="22"/>
              </w:rPr>
              <w:t>5</w:t>
            </w:r>
            <w:r w:rsidR="00AC69AC" w:rsidRPr="00361C0B">
              <w:rPr>
                <w:rFonts w:ascii="Tahoma" w:hAnsi="Tahoma"/>
                <w:sz w:val="22"/>
                <w:szCs w:val="22"/>
                <w:vertAlign w:val="superscript"/>
              </w:rPr>
              <w:t>th</w:t>
            </w:r>
            <w:r w:rsidR="00AC69AC" w:rsidRPr="00361C0B">
              <w:rPr>
                <w:rFonts w:ascii="Tahoma" w:hAnsi="Tahoma"/>
                <w:sz w:val="22"/>
                <w:szCs w:val="22"/>
              </w:rPr>
              <w:t xml:space="preserve"> </w:t>
            </w:r>
            <w:r>
              <w:rPr>
                <w:rFonts w:ascii="Tahoma" w:hAnsi="Tahoma"/>
                <w:sz w:val="22"/>
                <w:szCs w:val="22"/>
              </w:rPr>
              <w:t>February</w:t>
            </w:r>
            <w:r w:rsidR="00AC69AC" w:rsidRPr="00361C0B">
              <w:rPr>
                <w:rFonts w:ascii="Tahoma" w:hAnsi="Tahoma"/>
                <w:sz w:val="22"/>
                <w:szCs w:val="22"/>
              </w:rPr>
              <w:t xml:space="preserve"> 2012 </w:t>
            </w:r>
          </w:p>
        </w:tc>
      </w:tr>
    </w:tbl>
    <w:p w:rsidR="00AC69AC" w:rsidRPr="00361C0B" w:rsidRDefault="00AC69AC">
      <w:pPr>
        <w:rPr>
          <w:rFonts w:ascii="Tahoma" w:hAnsi="Tahoma"/>
          <w:sz w:val="22"/>
          <w:szCs w:val="22"/>
        </w:rPr>
      </w:pPr>
    </w:p>
    <w:tbl>
      <w:tblPr>
        <w:tblStyle w:val="MediumShading2-Accent3"/>
        <w:tblW w:w="0" w:type="auto"/>
        <w:tblLook w:val="04A0"/>
      </w:tblPr>
      <w:tblGrid>
        <w:gridCol w:w="14176"/>
      </w:tblGrid>
      <w:tr w:rsidR="00AC69AC" w:rsidRPr="00361C0B">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trPr>
          <w:trHeight w:val="42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15"/>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22"/>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1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20"/>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E5F" w:rsidRDefault="00A73E5F" w:rsidP="0080166F">
      <w:r>
        <w:separator/>
      </w:r>
    </w:p>
  </w:endnote>
  <w:endnote w:type="continuationSeparator" w:id="0">
    <w:p w:rsidR="00A73E5F" w:rsidRDefault="00A73E5F"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A9690B" w:rsidP="00EF5D57">
    <w:pPr>
      <w:rPr>
        <w:rStyle w:val="PageNumber"/>
      </w:rPr>
    </w:pPr>
  </w:p>
  <w:p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A9690B" w:rsidRDefault="00A9690B" w:rsidP="00EF5D57">
    <w:pPr>
      <w:rPr>
        <w:rFonts w:ascii="Tahoma" w:hAnsi="Tahoma" w:cs="Tahoma"/>
        <w:sz w:val="16"/>
        <w:szCs w:val="16"/>
      </w:rPr>
    </w:pPr>
  </w:p>
  <w:p w:rsidR="00A9690B" w:rsidRPr="00FF0B10" w:rsidRDefault="00A9690B"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A9690B" w:rsidRDefault="00A9690B" w:rsidP="00EF5D57">
    <w:pPr>
      <w:pStyle w:val="Footer"/>
      <w:jc w:val="center"/>
    </w:pPr>
  </w:p>
  <w:p w:rsidR="00A9690B" w:rsidRDefault="00A9690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E5F" w:rsidRDefault="00A73E5F" w:rsidP="0080166F">
      <w:r>
        <w:separator/>
      </w:r>
    </w:p>
  </w:footnote>
  <w:footnote w:type="continuationSeparator" w:id="0">
    <w:p w:rsidR="00A73E5F" w:rsidRDefault="00A73E5F"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8F19D4"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Sterling Services, Sterling House, Caddick Road, Knowsley Business Park, L34 9HP – tel: 0151 524 3532</w:t>
    </w:r>
    <w:r w:rsidR="00A9690B">
      <w:tab/>
    </w:r>
    <w:r w:rsidR="00A9690B">
      <w:tab/>
    </w:r>
    <w:r w:rsidR="00A9690B">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0E1140B"/>
    <w:multiLevelType w:val="hybridMultilevel"/>
    <w:tmpl w:val="169E15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0"/>
  </w:num>
  <w:num w:numId="7">
    <w:abstractNumId w:val="6"/>
  </w:num>
  <w:num w:numId="8">
    <w:abstractNumId w:val="1"/>
  </w:num>
  <w:num w:numId="9">
    <w:abstractNumId w:val="9"/>
  </w:num>
  <w:num w:numId="10">
    <w:abstractNumId w:val="7"/>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BC663C"/>
    <w:rsid w:val="00062847"/>
    <w:rsid w:val="00183978"/>
    <w:rsid w:val="00191D3D"/>
    <w:rsid w:val="001F68C6"/>
    <w:rsid w:val="002370AD"/>
    <w:rsid w:val="00277BFB"/>
    <w:rsid w:val="002B0FB1"/>
    <w:rsid w:val="002D6467"/>
    <w:rsid w:val="003330C2"/>
    <w:rsid w:val="00337A2D"/>
    <w:rsid w:val="00361C0B"/>
    <w:rsid w:val="004452D8"/>
    <w:rsid w:val="0046583E"/>
    <w:rsid w:val="00494157"/>
    <w:rsid w:val="004A3810"/>
    <w:rsid w:val="00560D1B"/>
    <w:rsid w:val="0058426B"/>
    <w:rsid w:val="00591147"/>
    <w:rsid w:val="00607986"/>
    <w:rsid w:val="00612875"/>
    <w:rsid w:val="00673916"/>
    <w:rsid w:val="00697085"/>
    <w:rsid w:val="006F25F5"/>
    <w:rsid w:val="007E688E"/>
    <w:rsid w:val="0080166F"/>
    <w:rsid w:val="00817938"/>
    <w:rsid w:val="0083093C"/>
    <w:rsid w:val="008735A5"/>
    <w:rsid w:val="00877C71"/>
    <w:rsid w:val="008F19D4"/>
    <w:rsid w:val="00A27D7F"/>
    <w:rsid w:val="00A5783F"/>
    <w:rsid w:val="00A73E5F"/>
    <w:rsid w:val="00A92F54"/>
    <w:rsid w:val="00A9690B"/>
    <w:rsid w:val="00AC69AC"/>
    <w:rsid w:val="00B40D3B"/>
    <w:rsid w:val="00B5531B"/>
    <w:rsid w:val="00B90453"/>
    <w:rsid w:val="00B942D9"/>
    <w:rsid w:val="00BA39DF"/>
    <w:rsid w:val="00BC663C"/>
    <w:rsid w:val="00C366F1"/>
    <w:rsid w:val="00C419EB"/>
    <w:rsid w:val="00C84BCD"/>
    <w:rsid w:val="00D03575"/>
    <w:rsid w:val="00D039F3"/>
    <w:rsid w:val="00D127AA"/>
    <w:rsid w:val="00D21302"/>
    <w:rsid w:val="00D43722"/>
    <w:rsid w:val="00DA2144"/>
    <w:rsid w:val="00DD2C0C"/>
    <w:rsid w:val="00E62354"/>
    <w:rsid w:val="00EF5D57"/>
    <w:rsid w:val="00F046BC"/>
    <w:rsid w:val="00F10F4D"/>
    <w:rsid w:val="00F303F6"/>
    <w:rsid w:val="00F9544B"/>
  </w:rsids>
  <m:mathPr>
    <m:mathFont m:val="Lucida Grande"/>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uiPriority w:val="99"/>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1106</Words>
  <Characters>6308</Characters>
  <Application>Microsoft Macintosh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stuart allen</cp:lastModifiedBy>
  <cp:revision>10</cp:revision>
  <cp:lastPrinted>2012-11-08T08:24:00Z</cp:lastPrinted>
  <dcterms:created xsi:type="dcterms:W3CDTF">2013-02-05T10:46:00Z</dcterms:created>
  <dcterms:modified xsi:type="dcterms:W3CDTF">2013-02-05T11:17:00Z</dcterms:modified>
</cp:coreProperties>
</file>