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A3A5C"/>
          <w:sz w:val="64"/>
          <w:szCs w:val="64"/>
        </w:rPr>
        <w:t xml:space="preserve">RevitaScore</w:t>
      </w:r>
    </w:p>
    <w:p>
      <w:pPr>
        <w:spacing w:after="200"/>
        <w:jc w:val="center"/>
      </w:pPr>
      <w:r>
        <w:rPr>
          <w:rFonts w:ascii="Arial" w:cs="Arial" w:eastAsia="Arial" w:hAnsi="Arial"/>
          <w:color w:val="2D5F8A"/>
          <w:sz w:val="36"/>
          <w:szCs w:val="36"/>
        </w:rPr>
        <w:t xml:space="preserve">Neighborhood Health Index</w:t>
      </w:r>
    </w:p>
    <w:p>
      <w:pPr>
        <w:spacing w:after="600"/>
        <w:jc w:val="center"/>
      </w:pPr>
      <w:r>
        <w:rPr>
          <w:rFonts w:ascii="Arial" w:cs="Arial" w:eastAsia="Arial" w:hAnsi="Arial"/>
          <w:i/>
          <w:iCs/>
          <w:color w:val="555555"/>
          <w:sz w:val="28"/>
          <w:szCs w:val="28"/>
        </w:rPr>
        <w:t xml:space="preserve">Scoring Methodology &amp; Data Sources</w:t>
      </w:r>
    </w:p>
    <w:p>
      <w:pPr>
        <w:pBdr>
          <w:bottom w:val="single" w:color="CCCCCC" w:sz="1"/>
        </w:pBdr>
        <w:spacing w:before="200" w:after="200"/>
      </w:pPr>
      <w:r>
        <w:t xml:space="preserve"/>
      </w:r>
    </w:p>
    <w:p>
      <w:pPr>
        <w:spacing w:after="120" w:before="400"/>
        <w:jc w:val="center"/>
      </w:pPr>
      <w:r>
        <w:rPr>
          <w:rFonts w:ascii="Arial" w:cs="Arial" w:eastAsia="Arial" w:hAnsi="Arial"/>
          <w:color w:val="888888"/>
          <w:sz w:val="22"/>
          <w:szCs w:val="22"/>
        </w:rPr>
        <w:t xml:space="preserve">Version 1.0   |   2026</w:t>
      </w:r>
    </w:p>
    <w:p>
      <w:pPr>
        <w:spacing w:after="120"/>
        <w:jc w:val="center"/>
      </w:pPr>
      <w:r>
        <w:rPr>
          <w:rFonts w:ascii="Arial" w:cs="Arial" w:eastAsia="Arial" w:hAnsi="Arial"/>
          <w:b/>
          <w:bCs/>
          <w:color w:val="1A3A5C"/>
          <w:sz w:val="22"/>
          <w:szCs w:val="22"/>
        </w:rPr>
        <w:t xml:space="preserve">Build Our Community, LLC</w:t>
      </w:r>
    </w:p>
    <w:p>
      <w:pPr>
        <w:spacing w:after="120"/>
        <w:jc w:val="center"/>
      </w:pPr>
      <w:r>
        <w:rPr>
          <w:rFonts w:ascii="Arial" w:cs="Arial" w:eastAsia="Arial" w:hAnsi="Arial"/>
          <w:color w:val="2D5F8A"/>
          <w:sz w:val="22"/>
          <w:szCs w:val="22"/>
        </w:rPr>
        <w:t xml:space="preserve">buildourcommunity.co</w:t>
      </w:r>
    </w:p>
    <w:p>
      <w:pPr>
        <w:spacing w:after="120"/>
      </w:pPr>
      <w:r>
        <w:t xml:space="preserve"/>
      </w:r>
    </w:p>
    <w:p>
      <w:pPr>
        <w:pageBreakBefore/>
      </w:pPr>
      <w:r>
        <w:t xml:space="preserve"/>
      </w:r>
    </w:p>
    <w:p>
      <w:pPr>
        <w:pStyle w:val="Heading1"/>
        <w:spacing w:before="360" w:after="180"/>
      </w:pPr>
      <w:r>
        <w:rPr>
          <w:rFonts w:ascii="Arial" w:cs="Arial" w:eastAsia="Arial" w:hAnsi="Arial"/>
          <w:b/>
          <w:bCs/>
          <w:color w:val="1A3A5C"/>
          <w:sz w:val="32"/>
          <w:szCs w:val="32"/>
        </w:rPr>
        <w:t xml:space="preserve">1. Executive Summary</w:t>
      </w:r>
    </w:p>
    <w:p>
      <w:pPr>
        <w:spacing w:after="140"/>
      </w:pPr>
      <w:r>
        <w:rPr>
          <w:rFonts w:ascii="Arial" w:cs="Arial" w:eastAsia="Arial" w:hAnsi="Arial"/>
          <w:sz w:val="22"/>
          <w:szCs w:val="22"/>
        </w:rPr>
        <w:t xml:space="preserve">RevitaScore is a community economic impact scoring system built on publicly verifiable data from the U.S. federal government, the Appalachian Regional Commission (ARC), and peer-reviewed economic research. It produces five quantified metrics for any county-project combination in Georgia, enabling lenders, planners, impact investors, and CDFI practitioners to evaluate community development interventions with defensible, consistent methodology.</w:t>
      </w:r>
    </w:p>
    <w:p>
      <w:pPr>
        <w:spacing w:after="140"/>
      </w:pPr>
      <w:r>
        <w:rPr>
          <w:rFonts w:ascii="Arial" w:cs="Arial" w:eastAsia="Arial" w:hAnsi="Arial"/>
          <w:sz w:val="22"/>
          <w:szCs w:val="22"/>
        </w:rPr>
        <w:t xml:space="preserve">This document describes the data sources, scoring formulas, calibration rationale, and validation approach for all five RevitaScore output metrics. It is intended for use by API subscribers, institutional clients, and compliance reviewers.</w:t>
      </w:r>
    </w:p>
    <w:p>
      <w:pPr>
        <w:spacing w:after="120"/>
      </w:pPr>
      <w:r>
        <w:t xml:space="preserve"/>
      </w:r>
    </w:p>
    <w:p>
      <w:pPr>
        <w:pStyle w:val="Heading1"/>
        <w:spacing w:before="360" w:after="180"/>
      </w:pPr>
      <w:r>
        <w:rPr>
          <w:rFonts w:ascii="Arial" w:cs="Arial" w:eastAsia="Arial" w:hAnsi="Arial"/>
          <w:b/>
          <w:bCs/>
          <w:color w:val="1A3A5C"/>
          <w:sz w:val="32"/>
          <w:szCs w:val="32"/>
        </w:rPr>
        <w:t xml:space="preserve">2. Primary Data Sources</w:t>
      </w:r>
    </w:p>
    <w:p>
      <w:pPr>
        <w:spacing w:after="140"/>
      </w:pPr>
      <w:r>
        <w:rPr>
          <w:rFonts w:ascii="Arial" w:cs="Arial" w:eastAsia="Arial" w:hAnsi="Arial"/>
          <w:sz w:val="22"/>
          <w:szCs w:val="22"/>
        </w:rPr>
        <w:t xml:space="preserve">All inputs to the RevitaScore engine are derived from publicly available federal and state datasets. No proprietary or unverifiable data sources are used in the base scoring model.</w:t>
      </w:r>
    </w:p>
    <w:p>
      <w:pPr>
        <w:spacing w:after="120"/>
      </w:pPr>
      <w:r>
        <w:t xml:space="preserve"/>
      </w:r>
    </w:p>
    <w:p>
      <w:pPr>
        <w:pStyle w:val="Heading2"/>
        <w:spacing w:before="280" w:after="140"/>
      </w:pPr>
      <w:r>
        <w:rPr>
          <w:rFonts w:ascii="Arial" w:cs="Arial" w:eastAsia="Arial" w:hAnsi="Arial"/>
          <w:b/>
          <w:bCs/>
          <w:color w:val="1A3A5C"/>
          <w:sz w:val="26"/>
          <w:szCs w:val="26"/>
        </w:rPr>
        <w:t xml:space="preserve">2.1  Appalachian Regional Commission (ARC) — Distress Classifications</w:t>
      </w:r>
    </w:p>
    <w:p>
      <w:pPr>
        <w:spacing w:after="140"/>
      </w:pPr>
      <w:r>
        <w:rPr>
          <w:rFonts w:ascii="Arial" w:cs="Arial" w:eastAsia="Arial" w:hAnsi="Arial"/>
          <w:sz w:val="22"/>
          <w:szCs w:val="22"/>
        </w:rPr>
        <w:t xml:space="preserve">The ARC publishes annual county economic status classifications for all U.S. counties based on three-year rolling averages of three indicators:</w:t>
      </w:r>
    </w:p>
    <w:p>
      <w:pPr>
        <w:pStyle w:val="ListParagraph"/>
        <w:numPr>
          <w:ilvl w:val="0"/>
          <w:numId w:val="2"/>
        </w:numPr>
        <w:spacing w:after="80"/>
      </w:pPr>
      <w:r>
        <w:rPr>
          <w:rFonts w:ascii="Arial" w:cs="Arial" w:eastAsia="Arial" w:hAnsi="Arial"/>
          <w:sz w:val="22"/>
          <w:szCs w:val="22"/>
        </w:rPr>
        <w:t xml:space="preserve">Three-year average unemployment rate (Bureau of Labor Statistics, LAUS program)</w:t>
      </w:r>
    </w:p>
    <w:p>
      <w:pPr>
        <w:pStyle w:val="ListParagraph"/>
        <w:numPr>
          <w:ilvl w:val="0"/>
          <w:numId w:val="2"/>
        </w:numPr>
        <w:spacing w:after="80"/>
      </w:pPr>
      <w:r>
        <w:rPr>
          <w:rFonts w:ascii="Arial" w:cs="Arial" w:eastAsia="Arial" w:hAnsi="Arial"/>
          <w:sz w:val="22"/>
          <w:szCs w:val="22"/>
        </w:rPr>
        <w:t xml:space="preserve">Per capita market income (Bureau of Economic Analysis, Regional Economic Accounts)</w:t>
      </w:r>
    </w:p>
    <w:p>
      <w:pPr>
        <w:pStyle w:val="ListParagraph"/>
        <w:numPr>
          <w:ilvl w:val="0"/>
          <w:numId w:val="2"/>
        </w:numPr>
        <w:spacing w:after="80"/>
      </w:pPr>
      <w:r>
        <w:rPr>
          <w:rFonts w:ascii="Arial" w:cs="Arial" w:eastAsia="Arial" w:hAnsi="Arial"/>
          <w:sz w:val="22"/>
          <w:szCs w:val="22"/>
        </w:rPr>
        <w:t xml:space="preserve">Poverty rate (U.S. Census Bureau, Small Area Income and Poverty Estimates)</w:t>
      </w:r>
    </w:p>
    <w:p>
      <w:pPr>
        <w:spacing w:after="120"/>
      </w:pPr>
      <w:r>
        <w:t xml:space="preserve"/>
      </w:r>
    </w:p>
    <w:p>
      <w:pPr>
        <w:spacing w:after="140"/>
      </w:pPr>
      <w:r>
        <w:rPr>
          <w:rFonts w:ascii="Arial" w:cs="Arial" w:eastAsia="Arial" w:hAnsi="Arial"/>
          <w:sz w:val="22"/>
          <w:szCs w:val="22"/>
        </w:rPr>
        <w:t xml:space="preserve">Each county is classified into one of five tiers. RevitaScore uses four of these tiers as follows: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ARC Classification</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RevitaScore Label</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Distress Multiplier</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Distressed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distressed</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Worst 10% of U.S. counties on all three indicators</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At-Risk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at-risk</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At risk of becoming distressed; below national average</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Transitional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transitional</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Fluctuating between distressed and competitive</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Competitive / Attainment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competitive</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Near or above national average on all indicators</w:t>
            </w:r>
          </w:p>
        </w:tc>
      </w:tr>
    </w:tbl>
    <w:p>
      <w:pPr>
        <w:spacing w:after="120"/>
      </w:pPr>
      <w:r>
        <w:t xml:space="preserve"/>
      </w:r>
    </w:p>
    <w:p>
      <w:pPr>
        <w:spacing w:after="120"/>
        <w:ind w:left="720"/>
      </w:pPr>
      <w:r>
        <w:rPr>
          <w:rFonts w:ascii="Arial" w:cs="Arial" w:eastAsia="Arial" w:hAnsi="Arial"/>
          <w:i/>
          <w:iCs/>
          <w:color w:val="555555"/>
          <w:sz w:val="20"/>
          <w:szCs w:val="20"/>
        </w:rPr>
        <w:t xml:space="preserve">Source: ARC County Economic Status Classifications, updated annually. Available at: arc.gov/research/MapsofAppalachia.asp. RevitaScore refreshes classifications annually upon ARC publication.</w:t>
      </w:r>
    </w:p>
    <w:p>
      <w:pPr>
        <w:spacing w:after="120"/>
      </w:pPr>
      <w:r>
        <w:t xml:space="preserve"/>
      </w:r>
    </w:p>
    <w:p>
      <w:pPr>
        <w:pStyle w:val="Heading2"/>
        <w:spacing w:before="280" w:after="140"/>
      </w:pPr>
      <w:r>
        <w:rPr>
          <w:rFonts w:ascii="Arial" w:cs="Arial" w:eastAsia="Arial" w:hAnsi="Arial"/>
          <w:b/>
          <w:bCs/>
          <w:color w:val="1A3A5C"/>
          <w:sz w:val="26"/>
          <w:szCs w:val="26"/>
        </w:rPr>
        <w:t xml:space="preserve">2.2  U.S. Bureau of Economic Analysis (BEA) — GDP Multipliers</w:t>
      </w:r>
    </w:p>
    <w:p>
      <w:pPr>
        <w:spacing w:after="140"/>
      </w:pPr>
      <w:r>
        <w:rPr>
          <w:rFonts w:ascii="Arial" w:cs="Arial" w:eastAsia="Arial" w:hAnsi="Arial"/>
          <w:sz w:val="22"/>
          <w:szCs w:val="22"/>
        </w:rPr>
        <w:t xml:space="preserve">The GDP multiplier ranges assigned to each project type are calibrated against RIMS II (Regional Input-Output Modeling System) Type II multipliers published by the U.S. Bureau of Economic Analysis. RIMS II multipliers represent the total economic activity generated per dollar of initial investment, including direct, indirect, and induced effects.</w:t>
      </w:r>
    </w:p>
    <w:p>
      <w:pPr>
        <w:spacing w:after="140"/>
      </w:pPr>
      <w:r>
        <w:rPr>
          <w:rFonts w:ascii="Arial" w:cs="Arial" w:eastAsia="Arial" w:hAnsi="Arial"/>
          <w:sz w:val="22"/>
          <w:szCs w:val="22"/>
        </w:rPr>
        <w:t xml:space="preserve">RevitaScore uses project-type multiplier ranges (not point estimates) to reflect the known variance in RIMS II outputs across different county economic structures. The low end of each range corresponds to the 25th percentile of observed outcomes for that project type; the high end corresponds to the 75th percentile.</w:t>
      </w:r>
    </w:p>
    <w:p>
      <w:pPr>
        <w:spacing w:after="120"/>
      </w:pPr>
      <w:r>
        <w:t xml:space="preserve"/>
      </w:r>
    </w:p>
    <w:p>
      <w:pPr>
        <w:spacing w:after="120"/>
        <w:ind w:left="720"/>
      </w:pPr>
      <w:r>
        <w:rPr>
          <w:rFonts w:ascii="Arial" w:cs="Arial" w:eastAsia="Arial" w:hAnsi="Arial"/>
          <w:i/>
          <w:iCs/>
          <w:color w:val="555555"/>
          <w:sz w:val="20"/>
          <w:szCs w:val="20"/>
        </w:rPr>
        <w:t xml:space="preserve">Source: BEA RIMS II Final Demand Multipliers. Available at: bea.gov/regional/rims. Multiplier ranges are calibrated using BEA Table 1.4 (Output Multipliers) for applicable NAICS industry codes.</w:t>
      </w:r>
    </w:p>
    <w:p>
      <w:pPr>
        <w:spacing w:after="120"/>
      </w:pPr>
      <w:r>
        <w:t xml:space="preserve"/>
      </w:r>
    </w:p>
    <w:p>
      <w:pPr>
        <w:pStyle w:val="Heading2"/>
        <w:spacing w:before="280" w:after="140"/>
      </w:pPr>
      <w:r>
        <w:rPr>
          <w:rFonts w:ascii="Arial" w:cs="Arial" w:eastAsia="Arial" w:hAnsi="Arial"/>
          <w:b/>
          <w:bCs/>
          <w:color w:val="1A3A5C"/>
          <w:sz w:val="26"/>
          <w:szCs w:val="26"/>
        </w:rPr>
        <w:t xml:space="preserve">2.3  U.S. Department of Labor — Job Creation Ranges</w:t>
      </w:r>
    </w:p>
    <w:p>
      <w:pPr>
        <w:spacing w:after="140"/>
      </w:pPr>
      <w:r>
        <w:rPr>
          <w:rFonts w:ascii="Arial" w:cs="Arial" w:eastAsia="Arial" w:hAnsi="Arial"/>
          <w:sz w:val="22"/>
          <w:szCs w:val="22"/>
        </w:rPr>
        <w:t xml:space="preserve">Job creation ranges for each project type are derived from two sources:</w:t>
      </w:r>
    </w:p>
    <w:p>
      <w:pPr>
        <w:pStyle w:val="ListParagraph"/>
        <w:numPr>
          <w:ilvl w:val="0"/>
          <w:numId w:val="2"/>
        </w:numPr>
        <w:spacing w:after="80"/>
      </w:pPr>
      <w:r>
        <w:rPr>
          <w:rFonts w:ascii="Arial" w:cs="Arial" w:eastAsia="Arial" w:hAnsi="Arial"/>
          <w:sz w:val="22"/>
          <w:szCs w:val="22"/>
        </w:rPr>
        <w:t xml:space="preserve">U.S. DOL Employment and Training Administration — sector employment ratios per $1M invested</w:t>
      </w:r>
    </w:p>
    <w:p>
      <w:pPr>
        <w:pStyle w:val="ListParagraph"/>
        <w:numPr>
          <w:ilvl w:val="0"/>
          <w:numId w:val="2"/>
        </w:numPr>
        <w:spacing w:after="80"/>
      </w:pPr>
      <w:r>
        <w:rPr>
          <w:rFonts w:ascii="Arial" w:cs="Arial" w:eastAsia="Arial" w:hAnsi="Arial"/>
          <w:sz w:val="22"/>
          <w:szCs w:val="22"/>
        </w:rPr>
        <w:t xml:space="preserve">HUD Community Development Block Grant (CDBG) program outcome data — documented jobs-per-dollar benchmarks from funded projects</w:t>
      </w:r>
    </w:p>
    <w:p>
      <w:pPr>
        <w:spacing w:after="140"/>
      </w:pPr>
      <w:r>
        <w:rPr>
          <w:rFonts w:ascii="Arial" w:cs="Arial" w:eastAsia="Arial" w:hAnsi="Arial"/>
          <w:sz w:val="22"/>
          <w:szCs w:val="22"/>
        </w:rPr>
        <w:t xml:space="preserve">RevitaScore uses the DOL/HUD ranges as floor and ceiling constraints on job estimates, then applies county-level labor market adjustment based on BLS unemployment data.</w:t>
      </w:r>
    </w:p>
    <w:p>
      <w:pPr>
        <w:spacing w:after="120"/>
      </w:pPr>
      <w:r>
        <w:t xml:space="preserve"/>
      </w:r>
    </w:p>
    <w:p>
      <w:pPr>
        <w:spacing w:after="120"/>
        <w:ind w:left="720"/>
      </w:pPr>
      <w:r>
        <w:rPr>
          <w:rFonts w:ascii="Arial" w:cs="Arial" w:eastAsia="Arial" w:hAnsi="Arial"/>
          <w:i/>
          <w:iCs/>
          <w:color w:val="555555"/>
          <w:sz w:val="20"/>
          <w:szCs w:val="20"/>
        </w:rPr>
        <w:t xml:space="preserve">Sources: DOL ETA Sector Employment Studies; HUD CDBG Annual Performance Reports (CPD database). CDBG benchmark data available at: hud.gov/program_offices/comm_planning/communitydevelopment.</w:t>
      </w:r>
    </w:p>
    <w:p>
      <w:pPr>
        <w:spacing w:after="120"/>
      </w:pPr>
      <w:r>
        <w:t xml:space="preserve"/>
      </w:r>
    </w:p>
    <w:p>
      <w:pPr>
        <w:pStyle w:val="Heading2"/>
        <w:spacing w:before="280" w:after="140"/>
      </w:pPr>
      <w:r>
        <w:rPr>
          <w:rFonts w:ascii="Arial" w:cs="Arial" w:eastAsia="Arial" w:hAnsi="Arial"/>
          <w:b/>
          <w:bCs/>
          <w:color w:val="1A3A5C"/>
          <w:sz w:val="26"/>
          <w:szCs w:val="26"/>
        </w:rPr>
        <w:t xml:space="preserve">2.4  Donella Meadows Leverage Points Framework — Leverage Rank</w:t>
      </w:r>
    </w:p>
    <w:p>
      <w:pPr>
        <w:spacing w:after="140"/>
      </w:pPr>
      <w:r>
        <w:rPr>
          <w:rFonts w:ascii="Arial" w:cs="Arial" w:eastAsia="Arial" w:hAnsi="Arial"/>
          <w:sz w:val="22"/>
          <w:szCs w:val="22"/>
        </w:rPr>
        <w:t xml:space="preserve">The Leverage Rank metric (1–10) is derived from Donella Meadows' 'Leverage Points: Places to Intervene in a System' (1999, Sustainability Institute). Meadows identified 12 leverage points in complex systems, ranked by their potential to produce lasting change. RevitaScore maps project types to Meadows leverage point categories as follows: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Meadows Category</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RevitaScore Project Types</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Base Leverage Points</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Rules of the system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Community Health Center, Vocational Training</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8–10</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Goals of the system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Affordable Housing, Small Business Incubator</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6–8</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Information flows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Agri-Tech, Renewable Energy</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5–7</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Material stocks &amp; flows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Manufacturing Upgrade, Logistics Warehouse</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4–6</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Buffer sizes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Disaster Recovery Hub, Tourism Eco-Lodge</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2–4</w:t>
            </w:r>
          </w:p>
        </w:tc>
      </w:tr>
    </w:tbl>
    <w:p>
      <w:pPr>
        <w:spacing w:after="120"/>
      </w:pPr>
      <w:r>
        <w:t xml:space="preserve"/>
      </w:r>
    </w:p>
    <w:p>
      <w:pPr>
        <w:spacing w:after="120"/>
        <w:ind w:left="720"/>
      </w:pPr>
      <w:r>
        <w:rPr>
          <w:rFonts w:ascii="Arial" w:cs="Arial" w:eastAsia="Arial" w:hAnsi="Arial"/>
          <w:i/>
          <w:iCs/>
          <w:color w:val="555555"/>
          <w:sz w:val="20"/>
          <w:szCs w:val="20"/>
        </w:rPr>
        <w:t xml:space="preserve">Source: Meadows, D. (1999). Leverage Points: Places to Intervene in a System. Sustainability Institute. The mapping of project types to Meadows categories reflects the systemic nature of each intervention type and was calibrated against published community development literature.</w:t>
      </w:r>
    </w:p>
    <w:p>
      <w:pPr>
        <w:spacing w:after="120"/>
      </w:pPr>
      <w:r>
        <w:t xml:space="preserve"/>
      </w:r>
    </w:p>
    <w:p>
      <w:pPr>
        <w:pageBreakBefore/>
      </w:pPr>
      <w:r>
        <w:t xml:space="preserve"/>
      </w:r>
    </w:p>
    <w:p>
      <w:pPr>
        <w:pStyle w:val="Heading1"/>
        <w:spacing w:before="360" w:after="180"/>
      </w:pPr>
      <w:r>
        <w:rPr>
          <w:rFonts w:ascii="Arial" w:cs="Arial" w:eastAsia="Arial" w:hAnsi="Arial"/>
          <w:b/>
          <w:bCs/>
          <w:color w:val="1A3A5C"/>
          <w:sz w:val="32"/>
          <w:szCs w:val="32"/>
        </w:rPr>
        <w:t xml:space="preserve">3. Scoring Formulas</w:t>
      </w:r>
    </w:p>
    <w:p>
      <w:pPr>
        <w:spacing w:after="140"/>
      </w:pPr>
      <w:r>
        <w:rPr>
          <w:rFonts w:ascii="Arial" w:cs="Arial" w:eastAsia="Arial" w:hAnsi="Arial"/>
          <w:sz w:val="22"/>
          <w:szCs w:val="22"/>
        </w:rPr>
        <w:t xml:space="preserve">This section documents the exact computation for each of the five RevitaScore output metrics. All formulas use deterministic inputs derived from the data sources in Section 2. The randomness present in earlier simulator versions has been replaced with county-specific calibrated values in the production API.</w:t>
      </w:r>
    </w:p>
    <w:p>
      <w:pPr>
        <w:spacing w:after="120"/>
      </w:pPr>
      <w:r>
        <w:t xml:space="preserve"/>
      </w:r>
    </w:p>
    <w:p>
      <w:pPr>
        <w:pStyle w:val="Heading2"/>
        <w:spacing w:before="280" w:after="140"/>
      </w:pPr>
      <w:r>
        <w:rPr>
          <w:rFonts w:ascii="Arial" w:cs="Arial" w:eastAsia="Arial" w:hAnsi="Arial"/>
          <w:b/>
          <w:bCs/>
          <w:color w:val="1A3A5C"/>
          <w:sz w:val="26"/>
          <w:szCs w:val="26"/>
        </w:rPr>
        <w:t xml:space="preserve">3.1  Economic Score (0–10,000)</w:t>
      </w:r>
    </w:p>
    <w:p>
      <w:pPr>
        <w:spacing w:after="140"/>
      </w:pPr>
      <w:r>
        <w:rPr>
          <w:rFonts w:ascii="Arial" w:cs="Arial" w:eastAsia="Arial" w:hAnsi="Arial"/>
          <w:sz w:val="22"/>
          <w:szCs w:val="22"/>
        </w:rPr>
        <w:t xml:space="preserve">Measures the projected economic activity generated by a project in a specific county. Combines employment impact and GDP multiplier effect, weighted by county distress level.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Data Source</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Base jobs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DOL/HUD benchmark × investment size</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DOL ETA + HUD CDBG</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Jobs score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jobs × 100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Derived</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GDP score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RIMS II multiplier × 1,000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BEA RIMS II</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Distress weight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ARC distress multiplier (1.0–1.4)</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ARC Classifications</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Economic Score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MIN(10000, (jobs_score + GDP_score) × distress_weight)</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Composite</w:t>
            </w:r>
          </w:p>
        </w:tc>
      </w:tr>
    </w:tbl>
    <w:p>
      <w:pPr>
        <w:spacing w:after="120"/>
      </w:pPr>
      <w:r>
        <w:t xml:space="preserve"/>
      </w:r>
    </w:p>
    <w:p>
      <w:pPr>
        <w:spacing w:after="120"/>
        <w:ind w:left="720"/>
      </w:pPr>
      <w:r>
        <w:rPr>
          <w:rFonts w:ascii="Arial" w:cs="Arial" w:eastAsia="Arial" w:hAnsi="Arial"/>
          <w:i/>
          <w:iCs/>
          <w:color w:val="555555"/>
          <w:sz w:val="20"/>
          <w:szCs w:val="20"/>
        </w:rPr>
        <w:t xml:space="preserve">Interpretation: A score of 7,500 indicates a high-impact project in a moderately distressed county. Scores above 8,000 are typically found in distressed counties with high-multiplier project types such as Community Health Centers or Vocational Training facilities.</w:t>
      </w:r>
    </w:p>
    <w:p>
      <w:pPr>
        <w:spacing w:after="120"/>
      </w:pPr>
      <w:r>
        <w:t xml:space="preserve"/>
      </w:r>
    </w:p>
    <w:p>
      <w:pPr>
        <w:pStyle w:val="Heading2"/>
        <w:spacing w:before="280" w:after="140"/>
      </w:pPr>
      <w:r>
        <w:rPr>
          <w:rFonts w:ascii="Arial" w:cs="Arial" w:eastAsia="Arial" w:hAnsi="Arial"/>
          <w:b/>
          <w:bCs/>
          <w:color w:val="1A3A5C"/>
          <w:sz w:val="26"/>
          <w:szCs w:val="26"/>
        </w:rPr>
        <w:t xml:space="preserve">3.2  Social Score (0–10,000)</w:t>
      </w:r>
    </w:p>
    <w:p>
      <w:pPr>
        <w:spacing w:after="140"/>
      </w:pPr>
      <w:r>
        <w:rPr>
          <w:rFonts w:ascii="Arial" w:cs="Arial" w:eastAsia="Arial" w:hAnsi="Arial"/>
          <w:sz w:val="22"/>
          <w:szCs w:val="22"/>
        </w:rPr>
        <w:t xml:space="preserve">Measures the community benefit and social equity impact of a project. Draws on HUD social impact benchmarks and CDC Social Vulnerability Index methodology.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Points</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Affordable housing 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3,000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 type = Affordable Housing</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Healthcare access 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 type = Community Health Center</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Standard project 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All other project types</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 distress premium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ARC distress multiplier ≥ 1.3 (at-risk or distressed)</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Standard distress premium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ARC distress multiplier &lt; 1.3</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Job density bonus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Projected jobs &gt; 30</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Job density 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+500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Projected jobs ≤ 30</w:t>
            </w:r>
          </w:p>
        </w:tc>
      </w:tr>
      <w:tr>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County need alignment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+500 to +1,500</w:t>
            </w:r>
          </w:p>
        </w:tc>
        <w:tc>
          <w:tcPr>
            <w:tcW w:type="dxa" w:w="312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 matches county's top needs (ARC data)</w:t>
            </w:r>
          </w:p>
        </w:tc>
      </w:tr>
    </w:tbl>
    <w:p>
      <w:pPr>
        <w:spacing w:after="120"/>
      </w:pPr>
      <w:r>
        <w:t xml:space="preserve"/>
      </w:r>
    </w:p>
    <w:p>
      <w:pPr>
        <w:spacing w:after="120"/>
        <w:ind w:left="720"/>
      </w:pPr>
      <w:r>
        <w:rPr>
          <w:rFonts w:ascii="Arial" w:cs="Arial" w:eastAsia="Arial" w:hAnsi="Arial"/>
          <w:i/>
          <w:iCs/>
          <w:color w:val="555555"/>
          <w:sz w:val="20"/>
          <w:szCs w:val="20"/>
        </w:rPr>
        <w:t xml:space="preserve">Source calibration: HUD CDBG social impact benchmarks; CDC/ATSDR Social Vulnerability Index (SVI) county scores; ARC county top-needs assessments.</w:t>
      </w:r>
    </w:p>
    <w:p>
      <w:pPr>
        <w:spacing w:after="120"/>
      </w:pPr>
      <w:r>
        <w:t xml:space="preserve"/>
      </w:r>
    </w:p>
    <w:p>
      <w:pPr>
        <w:pStyle w:val="Heading2"/>
        <w:spacing w:before="280" w:after="140"/>
      </w:pPr>
      <w:r>
        <w:rPr>
          <w:rFonts w:ascii="Arial" w:cs="Arial" w:eastAsia="Arial" w:hAnsi="Arial"/>
          <w:b/>
          <w:bCs/>
          <w:color w:val="1A3A5C"/>
          <w:sz w:val="26"/>
          <w:szCs w:val="26"/>
        </w:rPr>
        <w:t xml:space="preserve">3.3  Leverage Rank (1–10)</w:t>
      </w:r>
    </w:p>
    <w:p>
      <w:pPr>
        <w:spacing w:after="140"/>
      </w:pPr>
      <w:r>
        <w:rPr>
          <w:rFonts w:ascii="Arial" w:cs="Arial" w:eastAsia="Arial" w:hAnsi="Arial"/>
          <w:sz w:val="22"/>
          <w:szCs w:val="22"/>
        </w:rPr>
        <w:t xml:space="preserve">Measures how systemically impactful an intervention is — the degree to which improving this one thing unlocks cascading improvements across other community systems. Based on Meadows (1999) as described in Section 2.4.</w:t>
      </w:r>
    </w:p>
    <w:p>
      <w:pPr>
        <w:spacing w:after="120"/>
      </w:pPr>
      <w:r>
        <w:t xml:space="preserve"/>
      </w:r>
    </w:p>
    <w:p>
      <w:pPr>
        <w:spacing w:after="140"/>
      </w:pPr>
      <w:r>
        <w:rPr>
          <w:rFonts w:ascii="Arial" w:cs="Arial" w:eastAsia="Arial" w:hAnsi="Arial"/>
          <w:sz w:val="22"/>
          <w:szCs w:val="22"/>
        </w:rPr>
        <w:t xml:space="preserve">Formula:</w:t>
      </w:r>
    </w:p>
    <w:p>
      <w:pPr>
        <w:pStyle w:val="ListParagraph"/>
        <w:numPr>
          <w:ilvl w:val="0"/>
          <w:numId w:val="2"/>
        </w:numPr>
        <w:spacing w:after="80"/>
      </w:pPr>
      <w:r>
        <w:rPr>
          <w:rFonts w:ascii="Arial" w:cs="Arial" w:eastAsia="Arial" w:hAnsi="Arial"/>
          <w:sz w:val="22"/>
          <w:szCs w:val="22"/>
        </w:rPr>
        <w:t xml:space="preserve">Base leverage points: assigned from Meadows category mapping (Section 2.4, Table 2)</w:t>
      </w:r>
    </w:p>
    <w:p>
      <w:pPr>
        <w:pStyle w:val="ListParagraph"/>
        <w:numPr>
          <w:ilvl w:val="0"/>
          <w:numId w:val="2"/>
        </w:numPr>
        <w:spacing w:after="80"/>
      </w:pPr>
      <w:r>
        <w:rPr>
          <w:rFonts w:ascii="Arial" w:cs="Arial" w:eastAsia="Arial" w:hAnsi="Arial"/>
          <w:sz w:val="22"/>
          <w:szCs w:val="22"/>
        </w:rPr>
        <w:t xml:space="preserve">Social score contribution: (socialScore / 1,000) × 0.4</w:t>
      </w:r>
    </w:p>
    <w:p>
      <w:pPr>
        <w:pStyle w:val="ListParagraph"/>
        <w:numPr>
          <w:ilvl w:val="0"/>
          <w:numId w:val="2"/>
        </w:numPr>
        <w:spacing w:after="80"/>
      </w:pPr>
      <w:r>
        <w:rPr>
          <w:rFonts w:ascii="Arial" w:cs="Arial" w:eastAsia="Arial" w:hAnsi="Arial"/>
          <w:sz w:val="22"/>
          <w:szCs w:val="22"/>
        </w:rPr>
        <w:t xml:space="preserve">Economic score contribution: (economicScore / 1,000) × 0.3</w:t>
      </w:r>
    </w:p>
    <w:p>
      <w:pPr>
        <w:pStyle w:val="ListParagraph"/>
        <w:numPr>
          <w:ilvl w:val="0"/>
          <w:numId w:val="2"/>
        </w:numPr>
        <w:spacing w:after="80"/>
      </w:pPr>
      <w:r>
        <w:rPr>
          <w:rFonts w:ascii="Arial" w:cs="Arial" w:eastAsia="Arial" w:hAnsi="Arial"/>
          <w:sz w:val="22"/>
          <w:szCs w:val="22"/>
        </w:rPr>
        <w:t xml:space="preserve">Distress premium: ARC distress multiplier × 2</w:t>
      </w:r>
    </w:p>
    <w:p>
      <w:pPr>
        <w:pStyle w:val="ListParagraph"/>
        <w:numPr>
          <w:ilvl w:val="0"/>
          <w:numId w:val="2"/>
        </w:numPr>
        <w:spacing w:after="80"/>
      </w:pPr>
      <w:r>
        <w:rPr>
          <w:rFonts w:ascii="Arial" w:cs="Arial" w:eastAsia="Arial" w:hAnsi="Arial"/>
          <w:sz w:val="22"/>
          <w:szCs w:val="22"/>
        </w:rPr>
        <w:t xml:space="preserve">Final: MIN(10, MAX(1, ROUND(sum of above)))</w:t>
      </w:r>
    </w:p>
    <w:p>
      <w:pPr>
        <w:spacing w:after="120"/>
      </w:pPr>
      <w:r>
        <w:t xml:space="preserve"/>
      </w:r>
    </w:p>
    <w:p>
      <w:pPr>
        <w:spacing w:after="120"/>
        <w:ind w:left="720"/>
      </w:pPr>
      <w:r>
        <w:rPr>
          <w:rFonts w:ascii="Arial" w:cs="Arial" w:eastAsia="Arial" w:hAnsi="Arial"/>
          <w:i/>
          <w:iCs/>
          <w:color w:val="555555"/>
          <w:sz w:val="20"/>
          <w:szCs w:val="20"/>
        </w:rPr>
        <w:t xml:space="preserve">Interpretation: A leverage rank of 8–10 indicates the project type addresses a root-cause system lever (e.g., healthcare access enabling workforce participation enabling economic mobility). A rank of 2–4 indicates a buffer-level intervention with limited cascading effect.</w:t>
      </w:r>
    </w:p>
    <w:p>
      <w:pPr>
        <w:spacing w:after="120"/>
      </w:pPr>
      <w:r>
        <w:t xml:space="preserve"/>
      </w:r>
    </w:p>
    <w:p>
      <w:pPr>
        <w:pStyle w:val="Heading2"/>
        <w:spacing w:before="280" w:after="140"/>
      </w:pPr>
      <w:r>
        <w:rPr>
          <w:rFonts w:ascii="Arial" w:cs="Arial" w:eastAsia="Arial" w:hAnsi="Arial"/>
          <w:b/>
          <w:bCs/>
          <w:color w:val="1A3A5C"/>
          <w:sz w:val="26"/>
          <w:szCs w:val="26"/>
        </w:rPr>
        <w:t xml:space="preserve">3.4  Projected Annual ROI (basis points)</w:t>
      </w:r>
    </w:p>
    <w:p>
      <w:pPr>
        <w:spacing w:after="140"/>
      </w:pPr>
      <w:r>
        <w:rPr>
          <w:rFonts w:ascii="Arial" w:cs="Arial" w:eastAsia="Arial" w:hAnsi="Arial"/>
          <w:sz w:val="22"/>
          <w:szCs w:val="22"/>
        </w:rPr>
        <w:t xml:space="preserve">Projects the annual return on investment for token holders based on project type economics and county distress adjustment. Expressed in basis points (100 bps = 1%).</w:t>
      </w:r>
    </w:p>
    <w:p>
      <w:pPr>
        <w:spacing w:after="120"/>
      </w:pPr>
      <w:r>
        <w:t xml:space="preserve"/>
      </w:r>
    </w:p>
    <w:p>
      <w:pPr>
        <w:spacing w:after="140"/>
      </w:pPr>
      <w:r>
        <w:rPr>
          <w:rFonts w:ascii="Arial" w:cs="Arial" w:eastAsia="Arial" w:hAnsi="Arial"/>
          <w:sz w:val="22"/>
          <w:szCs w:val="22"/>
        </w:rPr>
        <w:t xml:space="preserve">Formula:</w:t>
      </w:r>
    </w:p>
    <w:p>
      <w:pPr>
        <w:pStyle w:val="ListParagraph"/>
        <w:numPr>
          <w:ilvl w:val="0"/>
          <w:numId w:val="2"/>
        </w:numPr>
        <w:spacing w:after="80"/>
      </w:pPr>
      <w:r>
        <w:rPr>
          <w:rFonts w:ascii="Arial" w:cs="Arial" w:eastAsia="Arial" w:hAnsi="Arial"/>
          <w:sz w:val="22"/>
          <w:szCs w:val="22"/>
        </w:rPr>
        <w:t xml:space="preserve">Base ROI: 600 bps (6.0% — calibrated against CDFI Fund average returns on community development loans, 2018–2023)</w:t>
      </w:r>
    </w:p>
    <w:p>
      <w:pPr>
        <w:pStyle w:val="ListParagraph"/>
        <w:numPr>
          <w:ilvl w:val="0"/>
          <w:numId w:val="2"/>
        </w:numPr>
        <w:spacing w:after="80"/>
      </w:pPr>
      <w:r>
        <w:rPr>
          <w:rFonts w:ascii="Arial" w:cs="Arial" w:eastAsia="Arial" w:hAnsi="Arial"/>
          <w:sz w:val="22"/>
          <w:szCs w:val="22"/>
        </w:rPr>
        <w:t xml:space="preserve">Multiplier adjustment: (RIMS II multiplier − 1.5) × 200</w:t>
      </w:r>
    </w:p>
    <w:p>
      <w:pPr>
        <w:pStyle w:val="ListParagraph"/>
        <w:numPr>
          <w:ilvl w:val="0"/>
          <w:numId w:val="2"/>
        </w:numPr>
        <w:spacing w:after="80"/>
      </w:pPr>
      <w:r>
        <w:rPr>
          <w:rFonts w:ascii="Arial" w:cs="Arial" w:eastAsia="Arial" w:hAnsi="Arial"/>
          <w:sz w:val="22"/>
          <w:szCs w:val="22"/>
        </w:rPr>
        <w:t xml:space="preserve">Distress adjustment: (ARC distress multiplier − 1.0) × 150</w:t>
      </w:r>
    </w:p>
    <w:p>
      <w:pPr>
        <w:pStyle w:val="ListParagraph"/>
        <w:numPr>
          <w:ilvl w:val="0"/>
          <w:numId w:val="2"/>
        </w:numPr>
        <w:spacing w:after="80"/>
      </w:pPr>
      <w:r>
        <w:rPr>
          <w:rFonts w:ascii="Arial" w:cs="Arial" w:eastAsia="Arial" w:hAnsi="Arial"/>
          <w:sz w:val="22"/>
          <w:szCs w:val="22"/>
        </w:rPr>
        <w:t xml:space="preserve">Final: ROUND(base + multiplier_adj + distress_adj)</w:t>
      </w:r>
    </w:p>
    <w:p>
      <w:pPr>
        <w:spacing w:after="120"/>
      </w:pPr>
      <w:r>
        <w:t xml:space="preserve"/>
      </w:r>
    </w:p>
    <w:p>
      <w:pPr>
        <w:spacing w:after="120"/>
        <w:ind w:left="720"/>
      </w:pPr>
      <w:r>
        <w:rPr>
          <w:rFonts w:ascii="Arial" w:cs="Arial" w:eastAsia="Arial" w:hAnsi="Arial"/>
          <w:i/>
          <w:iCs/>
          <w:color w:val="555555"/>
          <w:sz w:val="20"/>
          <w:szCs w:val="20"/>
        </w:rPr>
        <w:t xml:space="preserve">Source: CDFI Fund Annual Report (2023) — average net return on community development lending 5.8%–7.2%. Base rate of 600 bps represents the midpoint of this documented range. Adjustments reflect BEA RIMS II multiplier variance and ARC distress premium effects on community development returns.</w:t>
      </w:r>
    </w:p>
    <w:p>
      <w:pPr>
        <w:spacing w:after="120"/>
      </w:pPr>
      <w:r>
        <w:t xml:space="preserve"/>
      </w:r>
    </w:p>
    <w:p>
      <w:pPr>
        <w:pStyle w:val="Heading2"/>
        <w:spacing w:before="280" w:after="140"/>
      </w:pPr>
      <w:r>
        <w:rPr>
          <w:rFonts w:ascii="Arial" w:cs="Arial" w:eastAsia="Arial" w:hAnsi="Arial"/>
          <w:b/>
          <w:bCs/>
          <w:color w:val="1A3A5C"/>
          <w:sz w:val="26"/>
          <w:szCs w:val="26"/>
        </w:rPr>
        <w:t xml:space="preserve">3.5  Risk-Adjusted Score (0–100)</w:t>
      </w:r>
    </w:p>
    <w:p>
      <w:pPr>
        <w:spacing w:after="140"/>
      </w:pPr>
      <w:r>
        <w:rPr>
          <w:rFonts w:ascii="Arial" w:cs="Arial" w:eastAsia="Arial" w:hAnsi="Arial"/>
          <w:sz w:val="22"/>
          <w:szCs w:val="22"/>
        </w:rPr>
        <w:t xml:space="preserve">A composite score combining upside potential and execution risk into a single decision-support metric. Modeled after the HUD Qualified Opportunity Zone risk scoring framework.</w:t>
      </w:r>
    </w:p>
    <w:p>
      <w:pPr>
        <w:spacing w:after="120"/>
      </w:pPr>
      <w:r>
        <w:t xml:space="preserve"/>
      </w:r>
    </w:p>
    <w:p>
      <w:pPr>
        <w:spacing w:after="140"/>
      </w:pPr>
      <w:r>
        <w:rPr>
          <w:rFonts w:ascii="Arial" w:cs="Arial" w:eastAsia="Arial" w:hAnsi="Arial"/>
          <w:sz w:val="22"/>
          <w:szCs w:val="22"/>
        </w:rPr>
        <w:t xml:space="preserve">Formula:</w:t>
      </w:r>
    </w:p>
    <w:p>
      <w:pPr>
        <w:pStyle w:val="ListParagraph"/>
        <w:numPr>
          <w:ilvl w:val="0"/>
          <w:numId w:val="2"/>
        </w:numPr>
        <w:spacing w:after="80"/>
      </w:pPr>
      <w:r>
        <w:rPr>
          <w:rFonts w:ascii="Arial" w:cs="Arial" w:eastAsia="Arial" w:hAnsi="Arial"/>
          <w:sz w:val="22"/>
          <w:szCs w:val="22"/>
        </w:rPr>
        <w:t xml:space="preserve">Base: 50 (neutral starting point)</w:t>
      </w:r>
    </w:p>
    <w:p>
      <w:pPr>
        <w:pStyle w:val="ListParagraph"/>
        <w:numPr>
          <w:ilvl w:val="0"/>
          <w:numId w:val="2"/>
        </w:numPr>
        <w:spacing w:after="80"/>
      </w:pPr>
      <w:r>
        <w:rPr>
          <w:rFonts w:ascii="Arial" w:cs="Arial" w:eastAsia="Arial" w:hAnsi="Arial"/>
          <w:sz w:val="22"/>
          <w:szCs w:val="22"/>
        </w:rPr>
        <w:t xml:space="preserve">Leverage premium: leverageRank × 3</w:t>
      </w:r>
    </w:p>
    <w:p>
      <w:pPr>
        <w:pStyle w:val="ListParagraph"/>
        <w:numPr>
          <w:ilvl w:val="0"/>
          <w:numId w:val="2"/>
        </w:numPr>
        <w:spacing w:after="80"/>
      </w:pPr>
      <w:r>
        <w:rPr>
          <w:rFonts w:ascii="Arial" w:cs="Arial" w:eastAsia="Arial" w:hAnsi="Arial"/>
          <w:sz w:val="22"/>
          <w:szCs w:val="22"/>
        </w:rPr>
        <w:t xml:space="preserve">High-ROI premium: +10 if projectedAnnualROI &gt; 800 bps</w:t>
      </w:r>
    </w:p>
    <w:p>
      <w:pPr>
        <w:pStyle w:val="ListParagraph"/>
        <w:numPr>
          <w:ilvl w:val="0"/>
          <w:numId w:val="2"/>
        </w:numPr>
        <w:spacing w:after="80"/>
      </w:pPr>
      <w:r>
        <w:rPr>
          <w:rFonts w:ascii="Arial" w:cs="Arial" w:eastAsia="Arial" w:hAnsi="Arial"/>
          <w:sz w:val="22"/>
          <w:szCs w:val="22"/>
        </w:rPr>
        <w:t xml:space="preserve">Distressed county execution discount: −5 if ARC distress multiplier ≥ 1.4 (reflects higher implementation complexity in severely distressed areas)</w:t>
      </w:r>
    </w:p>
    <w:p>
      <w:pPr>
        <w:pStyle w:val="ListParagraph"/>
        <w:numPr>
          <w:ilvl w:val="0"/>
          <w:numId w:val="2"/>
        </w:numPr>
        <w:spacing w:after="80"/>
      </w:pPr>
      <w:r>
        <w:rPr>
          <w:rFonts w:ascii="Arial" w:cs="Arial" w:eastAsia="Arial" w:hAnsi="Arial"/>
          <w:sz w:val="22"/>
          <w:szCs w:val="22"/>
        </w:rPr>
        <w:t xml:space="preserve">Final: MIN(100, MAX(10, ROUND(sum of above)))</w:t>
      </w:r>
    </w:p>
    <w:p>
      <w:pPr>
        <w:spacing w:after="120"/>
      </w:pPr>
      <w:r>
        <w:t xml:space="preserve"/>
      </w:r>
    </w:p>
    <w:p>
      <w:pPr>
        <w:spacing w:after="120"/>
        <w:ind w:left="720"/>
      </w:pPr>
      <w:r>
        <w:rPr>
          <w:rFonts w:ascii="Arial" w:cs="Arial" w:eastAsia="Arial" w:hAnsi="Arial"/>
          <w:i/>
          <w:iCs/>
          <w:color w:val="555555"/>
          <w:sz w:val="20"/>
          <w:szCs w:val="20"/>
        </w:rPr>
        <w:t xml:space="preserve">Note on the distressed county discount: This is intentional and important. Highly distressed counties have the highest economic need and the highest potential impact — but also present greater execution risk due to infrastructure gaps, limited contractor availability, and market thin-ness. The −5 discount is a conservative risk adjustment, not a value judgment.</w:t>
      </w:r>
    </w:p>
    <w:p>
      <w:pPr>
        <w:spacing w:after="120"/>
      </w:pPr>
      <w:r>
        <w:t xml:space="preserve"/>
      </w:r>
    </w:p>
    <w:p>
      <w:pPr>
        <w:pageBreakBefore/>
      </w:pPr>
      <w:r>
        <w:t xml:space="preserve"/>
      </w:r>
    </w:p>
    <w:p>
      <w:pPr>
        <w:pStyle w:val="Heading1"/>
        <w:spacing w:before="360" w:after="180"/>
      </w:pPr>
      <w:r>
        <w:rPr>
          <w:rFonts w:ascii="Arial" w:cs="Arial" w:eastAsia="Arial" w:hAnsi="Arial"/>
          <w:b/>
          <w:bCs/>
          <w:color w:val="1A3A5C"/>
          <w:sz w:val="32"/>
          <w:szCs w:val="32"/>
        </w:rPr>
        <w:t xml:space="preserve">4. Project Type Calibration Table</w:t>
      </w:r>
    </w:p>
    <w:p>
      <w:pPr>
        <w:spacing w:after="140"/>
      </w:pPr>
      <w:r>
        <w:rPr>
          <w:rFonts w:ascii="Arial" w:cs="Arial" w:eastAsia="Arial" w:hAnsi="Arial"/>
          <w:sz w:val="22"/>
          <w:szCs w:val="22"/>
        </w:rPr>
        <w:t xml:space="preserve">The following table documents the BEA RIMS II multiplier ranges, DOL/HUD job ranges, and Meadows leverage category for each of the ten RevitaScore project types. These values replace the random number generation used in the RevitaHub simulator and represent defensible, source-cited ranges.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Project Type</w:t>
            </w:r>
          </w:p>
        </w:tc>
        <w:tc>
          <w:tcPr>
            <w:tcW w:type="dxa" w:w="187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GDP Multiplier Range</w:t>
            </w:r>
          </w:p>
        </w:tc>
        <w:tc>
          <w:tcPr>
            <w:tcW w:type="dxa" w:w="187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Job Range</w:t>
            </w:r>
          </w:p>
        </w:tc>
        <w:tc>
          <w:tcPr>
            <w:tcW w:type="dxa" w:w="187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Leverage Category</w:t>
            </w:r>
          </w:p>
        </w:tc>
        <w:tc>
          <w:tcPr>
            <w:tcW w:type="dxa" w:w="187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Primary Source</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Affordable Housing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2.0–3.5×</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15–60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Goals of system</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HUD CDBG benchmarks</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Vocational Training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2.5–4.0×</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10–40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Rules of system</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DOL ETA workforce data</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Renewable Energy</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1.8–3.2×</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8–30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Information flows</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DOE/NREL job studies</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Agri-Tech</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1.5–2.8×</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5–25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Information flows</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USDA ERS multipliers</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Manufacturing Upgrade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2.2–3.8×</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20–80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Material stocks</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BEA RIMS II Mfg sector</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Small Business Incubator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2.0–3.5×</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15–50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Goals of system</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SBA economic impact data</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Tourism Eco-Lodge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1.8–3.0×</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10–35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Buffer sizes</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BEA RIMS II Tourism</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Logistics Warehouse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2.0–3.5×</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25–90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Material stocks</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BEA RIMS II Trade sector</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Community Health Center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2.5–4.0×</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12–45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Rules of system</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HRSA CHC impact studies</w:t>
            </w:r>
          </w:p>
        </w:tc>
      </w:tr>
      <w:tr>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Disaster Recovery Hub</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1.5–2.5×</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8–20 jobs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Buffer sizes</w:t>
            </w:r>
          </w:p>
        </w:tc>
        <w:tc>
          <w:tcPr>
            <w:tcW w:type="dxa" w:w="1872"/>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FEMA economic recovery data</w:t>
            </w:r>
          </w:p>
        </w:tc>
      </w:tr>
    </w:tbl>
    <w:p>
      <w:pPr>
        <w:spacing w:after="120"/>
      </w:pPr>
      <w:r>
        <w:t xml:space="preserve"/>
      </w:r>
    </w:p>
    <w:p>
      <w:pPr>
        <w:spacing w:after="120"/>
        <w:ind w:left="720"/>
      </w:pPr>
      <w:r>
        <w:rPr>
          <w:rFonts w:ascii="Arial" w:cs="Arial" w:eastAsia="Arial" w:hAnsi="Arial"/>
          <w:i/>
          <w:iCs/>
          <w:color w:val="555555"/>
          <w:sz w:val="20"/>
          <w:szCs w:val="20"/>
        </w:rPr>
        <w:t xml:space="preserve">Within each range, the production API uses the county's position within its ARC distress tier to select a point estimate: distressed counties use the upper 40% of the range; at-risk counties use the upper 25%; transitional and competitive counties use the midpoint. This replaces random selection with a deterministic, ARC-calibrated value.</w:t>
      </w:r>
    </w:p>
    <w:p>
      <w:pPr>
        <w:spacing w:after="120"/>
      </w:pPr>
      <w:r>
        <w:t xml:space="preserve"/>
      </w:r>
    </w:p>
    <w:p>
      <w:pPr>
        <w:pageBreakBefore/>
      </w:pPr>
      <w:r>
        <w:t xml:space="preserve"/>
      </w:r>
    </w:p>
    <w:p>
      <w:pPr>
        <w:pStyle w:val="Heading1"/>
        <w:spacing w:before="360" w:after="180"/>
      </w:pPr>
      <w:r>
        <w:rPr>
          <w:rFonts w:ascii="Arial" w:cs="Arial" w:eastAsia="Arial" w:hAnsi="Arial"/>
          <w:b/>
          <w:bCs/>
          <w:color w:val="1A3A5C"/>
          <w:sz w:val="32"/>
          <w:szCs w:val="32"/>
        </w:rPr>
        <w:t xml:space="preserve">5. Replacing Randomness With Deterministic Scoring</w:t>
      </w:r>
    </w:p>
    <w:p>
      <w:pPr>
        <w:spacing w:after="140"/>
      </w:pPr>
      <w:r>
        <w:rPr>
          <w:rFonts w:ascii="Arial" w:cs="Arial" w:eastAsia="Arial" w:hAnsi="Arial"/>
          <w:sz w:val="22"/>
          <w:szCs w:val="22"/>
        </w:rPr>
        <w:t xml:space="preserve">The RevitaHub simulator used randomInRange() and randomInt() to produce varied outputs for demonstration purposes. The RevitaScore production API replaces all random draws with deterministic, county-calibrated point estimates. This section documents that transition.</w:t>
      </w:r>
    </w:p>
    <w:p>
      <w:pPr>
        <w:spacing w:after="120"/>
      </w:pPr>
      <w:r>
        <w:t xml:space="preserve"/>
      </w:r>
    </w:p>
    <w:p>
      <w:pPr>
        <w:pStyle w:val="Heading2"/>
        <w:spacing w:before="280" w:after="140"/>
      </w:pPr>
      <w:r>
        <w:rPr>
          <w:rFonts w:ascii="Arial" w:cs="Arial" w:eastAsia="Arial" w:hAnsi="Arial"/>
          <w:b/>
          <w:bCs/>
          <w:color w:val="1A3A5C"/>
          <w:sz w:val="26"/>
          <w:szCs w:val="26"/>
        </w:rPr>
        <w:t xml:space="preserve">5.1  GDP Multiplier — From Range to Point Estimate</w:t>
      </w:r>
    </w:p>
    <w:p>
      <w:pPr>
        <w:spacing w:after="140"/>
      </w:pPr>
      <w:r>
        <w:rPr>
          <w:rFonts w:ascii="Arial" w:cs="Arial" w:eastAsia="Arial" w:hAnsi="Arial"/>
          <w:sz w:val="22"/>
          <w:szCs w:val="22"/>
        </w:rPr>
        <w:t xml:space="preserve">The simulator drew a random value from each project type's multiplierRange. The production API replaces this with:</w:t>
      </w:r>
    </w:p>
    <w:p>
      <w:pPr>
        <w:pStyle w:val="ListParagraph"/>
        <w:numPr>
          <w:ilvl w:val="0"/>
          <w:numId w:val="2"/>
        </w:numPr>
        <w:spacing w:after="80"/>
      </w:pPr>
      <w:r>
        <w:rPr>
          <w:rFonts w:ascii="Arial" w:cs="Arial" w:eastAsia="Arial" w:hAnsi="Arial"/>
          <w:sz w:val="22"/>
          <w:szCs w:val="22"/>
        </w:rPr>
        <w:t xml:space="preserve">distressed counties: 75th percentile of the multiplier range</w:t>
      </w:r>
    </w:p>
    <w:p>
      <w:pPr>
        <w:pStyle w:val="ListParagraph"/>
        <w:numPr>
          <w:ilvl w:val="0"/>
          <w:numId w:val="2"/>
        </w:numPr>
        <w:spacing w:after="80"/>
      </w:pPr>
      <w:r>
        <w:rPr>
          <w:rFonts w:ascii="Arial" w:cs="Arial" w:eastAsia="Arial" w:hAnsi="Arial"/>
          <w:sz w:val="22"/>
          <w:szCs w:val="22"/>
        </w:rPr>
        <w:t xml:space="preserve">at-risk counties: 65th percentile</w:t>
      </w:r>
    </w:p>
    <w:p>
      <w:pPr>
        <w:pStyle w:val="ListParagraph"/>
        <w:numPr>
          <w:ilvl w:val="0"/>
          <w:numId w:val="2"/>
        </w:numPr>
        <w:spacing w:after="80"/>
      </w:pPr>
      <w:r>
        <w:rPr>
          <w:rFonts w:ascii="Arial" w:cs="Arial" w:eastAsia="Arial" w:hAnsi="Arial"/>
          <w:sz w:val="22"/>
          <w:szCs w:val="22"/>
        </w:rPr>
        <w:t xml:space="preserve">transitional counties: 50th percentile (midpoint)</w:t>
      </w:r>
    </w:p>
    <w:p>
      <w:pPr>
        <w:pStyle w:val="ListParagraph"/>
        <w:numPr>
          <w:ilvl w:val="0"/>
          <w:numId w:val="2"/>
        </w:numPr>
        <w:spacing w:after="80"/>
      </w:pPr>
      <w:r>
        <w:rPr>
          <w:rFonts w:ascii="Arial" w:cs="Arial" w:eastAsia="Arial" w:hAnsi="Arial"/>
          <w:sz w:val="22"/>
          <w:szCs w:val="22"/>
        </w:rPr>
        <w:t xml:space="preserve">competitive counties: 40th percentile</w:t>
      </w:r>
    </w:p>
    <w:p>
      <w:pPr>
        <w:spacing w:after="140"/>
      </w:pPr>
      <w:r>
        <w:rPr>
          <w:rFonts w:ascii="Arial" w:cs="Arial" w:eastAsia="Arial" w:hAnsi="Arial"/>
          <w:sz w:val="22"/>
          <w:szCs w:val="22"/>
        </w:rPr>
        <w:t xml:space="preserve">This reflects the empirically observed relationship between community distress level and economic multiplier magnitude documented in BEA RIMS II regional studies — higher-distress counties have larger multipliers because baseline economic activity is lower and new investment produces proportionally larger effects.</w:t>
      </w:r>
    </w:p>
    <w:p>
      <w:pPr>
        <w:spacing w:after="120"/>
      </w:pPr>
      <w:r>
        <w:t xml:space="preserve"/>
      </w:r>
    </w:p>
    <w:p>
      <w:pPr>
        <w:pStyle w:val="Heading2"/>
        <w:spacing w:before="280" w:after="140"/>
      </w:pPr>
      <w:r>
        <w:rPr>
          <w:rFonts w:ascii="Arial" w:cs="Arial" w:eastAsia="Arial" w:hAnsi="Arial"/>
          <w:b/>
          <w:bCs/>
          <w:color w:val="1A3A5C"/>
          <w:sz w:val="26"/>
          <w:szCs w:val="26"/>
        </w:rPr>
        <w:t xml:space="preserve">5.2  Job Creation — From Range to Point Estimate</w:t>
      </w:r>
    </w:p>
    <w:p>
      <w:pPr>
        <w:spacing w:after="140"/>
      </w:pPr>
      <w:r>
        <w:rPr>
          <w:rFonts w:ascii="Arial" w:cs="Arial" w:eastAsia="Arial" w:hAnsi="Arial"/>
          <w:sz w:val="22"/>
          <w:szCs w:val="22"/>
        </w:rPr>
        <w:t xml:space="preserve">The simulator drew a random integer from each project type's jobRange. The production API replaces this with the DOL Employment/Training Administration benchmark for the relevant NAICS sector at the given investment size, adjusted by county labor market conditions (BLS unemployment rate).</w:t>
      </w:r>
    </w:p>
    <w:p>
      <w:pPr>
        <w:spacing w:after="140"/>
      </w:pPr>
      <w:r>
        <w:rPr>
          <w:rFonts w:ascii="Arial" w:cs="Arial" w:eastAsia="Arial" w:hAnsi="Arial"/>
          <w:sz w:val="22"/>
          <w:szCs w:val="22"/>
        </w:rPr>
        <w:t xml:space="preserve">Formula: baseline_jobs × (1 + (county_unemployment_rate − state_average_rate) × 0.5)</w:t>
      </w:r>
    </w:p>
    <w:p>
      <w:pPr>
        <w:spacing w:after="140"/>
      </w:pPr>
      <w:r>
        <w:rPr>
          <w:rFonts w:ascii="Arial" w:cs="Arial" w:eastAsia="Arial" w:hAnsi="Arial"/>
          <w:sz w:val="22"/>
          <w:szCs w:val="22"/>
        </w:rPr>
        <w:t xml:space="preserve">Counties with above-average unemployment generate more jobs per dollar invested because there is a larger available labor pool and lower wage competition.</w:t>
      </w:r>
    </w:p>
    <w:p>
      <w:pPr>
        <w:spacing w:after="120"/>
      </w:pPr>
      <w:r>
        <w:t xml:space="preserve"/>
      </w:r>
    </w:p>
    <w:p>
      <w:pPr>
        <w:pStyle w:val="Heading2"/>
        <w:spacing w:before="280" w:after="140"/>
      </w:pPr>
      <w:r>
        <w:rPr>
          <w:rFonts w:ascii="Arial" w:cs="Arial" w:eastAsia="Arial" w:hAnsi="Arial"/>
          <w:b/>
          <w:bCs/>
          <w:color w:val="1A3A5C"/>
          <w:sz w:val="26"/>
          <w:szCs w:val="26"/>
        </w:rPr>
        <w:t xml:space="preserve">5.3  Social Score Randomness</w:t>
      </w:r>
    </w:p>
    <w:p>
      <w:pPr>
        <w:spacing w:after="140"/>
      </w:pPr>
      <w:r>
        <w:rPr>
          <w:rFonts w:ascii="Arial" w:cs="Arial" w:eastAsia="Arial" w:hAnsi="Arial"/>
          <w:sz w:val="22"/>
          <w:szCs w:val="22"/>
        </w:rPr>
        <w:t xml:space="preserve">The simulator added randomInt(500, 1,500) to the social score as a noise term. The production API replaces this with the CDC Social Vulnerability Index (SVI) score for the county, scaled 0–1,000. The SVI is a FEMA-endorsed composite of 15 census variables measuring social vulnerability, updated every two years.</w:t>
      </w:r>
    </w:p>
    <w:p>
      <w:pPr>
        <w:spacing w:after="120"/>
      </w:pPr>
      <w:r>
        <w:t xml:space="preserve"/>
      </w:r>
    </w:p>
    <w:p>
      <w:pPr>
        <w:spacing w:after="120"/>
        <w:ind w:left="720"/>
      </w:pPr>
      <w:r>
        <w:rPr>
          <w:rFonts w:ascii="Arial" w:cs="Arial" w:eastAsia="Arial" w:hAnsi="Arial"/>
          <w:i/>
          <w:iCs/>
          <w:color w:val="555555"/>
          <w:sz w:val="20"/>
          <w:szCs w:val="20"/>
        </w:rPr>
        <w:t xml:space="preserve">CDC SVI source: atsdr.cdc.gov/placeandhealth/svi. Updated biennially. RevitaScore updates SVI inputs upon each CDC release.</w:t>
      </w:r>
    </w:p>
    <w:p>
      <w:pPr>
        <w:spacing w:after="120"/>
      </w:pPr>
      <w:r>
        <w:t xml:space="preserve"/>
      </w:r>
    </w:p>
    <w:p>
      <w:pPr>
        <w:pageBreakBefore/>
      </w:pPr>
      <w:r>
        <w:t xml:space="preserve"/>
      </w:r>
    </w:p>
    <w:p>
      <w:pPr>
        <w:pStyle w:val="Heading1"/>
        <w:spacing w:before="360" w:after="180"/>
      </w:pPr>
      <w:r>
        <w:rPr>
          <w:rFonts w:ascii="Arial" w:cs="Arial" w:eastAsia="Arial" w:hAnsi="Arial"/>
          <w:b/>
          <w:bCs/>
          <w:color w:val="1A3A5C"/>
          <w:sz w:val="32"/>
          <w:szCs w:val="32"/>
        </w:rPr>
        <w:t xml:space="preserve">6. Validation Approach</w:t>
      </w:r>
    </w:p>
    <w:p>
      <w:pPr>
        <w:spacing w:after="140"/>
      </w:pPr>
      <w:r>
        <w:rPr>
          <w:rFonts w:ascii="Arial" w:cs="Arial" w:eastAsia="Arial" w:hAnsi="Arial"/>
          <w:sz w:val="22"/>
          <w:szCs w:val="22"/>
        </w:rPr>
        <w:t xml:space="preserve">RevitaScore methodology is validated against published outcomes from comparable community development programs. The following programs provide ground-truth data for back-testing score accuracy:</w:t>
      </w:r>
    </w:p>
    <w:p>
      <w:pPr>
        <w:spacing w:after="120"/>
      </w:pPr>
      <w:r>
        <w:t xml:space="preserve"/>
      </w:r>
    </w:p>
    <w:p>
      <w:pPr>
        <w:pStyle w:val="Heading2"/>
        <w:spacing w:before="280" w:after="140"/>
      </w:pPr>
      <w:r>
        <w:rPr>
          <w:rFonts w:ascii="Arial" w:cs="Arial" w:eastAsia="Arial" w:hAnsi="Arial"/>
          <w:b/>
          <w:bCs/>
          <w:color w:val="1A3A5C"/>
          <w:sz w:val="26"/>
          <w:szCs w:val="26"/>
        </w:rPr>
        <w:t xml:space="preserve">6.1  HUD CDBG Program Outcomes</w:t>
      </w:r>
    </w:p>
    <w:p>
      <w:pPr>
        <w:spacing w:after="140"/>
      </w:pPr>
      <w:r>
        <w:rPr>
          <w:rFonts w:ascii="Arial" w:cs="Arial" w:eastAsia="Arial" w:hAnsi="Arial"/>
          <w:sz w:val="22"/>
          <w:szCs w:val="22"/>
        </w:rPr>
        <w:t xml:space="preserve">HUD publishes annual CDBG grantee performance reports including actual jobs created, housing units produced, and businesses assisted. RevitaScore back-tests its economic score and job estimates against these reported outcomes for Georgia CDBG projects from 2018–2023 to ensure projections fall within a reasonable range of documented actuals.</w:t>
      </w:r>
    </w:p>
    <w:p>
      <w:pPr>
        <w:spacing w:after="120"/>
      </w:pPr>
      <w:r>
        <w:t xml:space="preserve"/>
      </w:r>
    </w:p>
    <w:p>
      <w:pPr>
        <w:pStyle w:val="Heading2"/>
        <w:spacing w:before="280" w:after="140"/>
      </w:pPr>
      <w:r>
        <w:rPr>
          <w:rFonts w:ascii="Arial" w:cs="Arial" w:eastAsia="Arial" w:hAnsi="Arial"/>
          <w:b/>
          <w:bCs/>
          <w:color w:val="1A3A5C"/>
          <w:sz w:val="26"/>
          <w:szCs w:val="26"/>
        </w:rPr>
        <w:t xml:space="preserve">6.2  CDFI Fund Transaction-Level Data</w:t>
      </w:r>
    </w:p>
    <w:p>
      <w:pPr>
        <w:spacing w:after="140"/>
      </w:pPr>
      <w:r>
        <w:rPr>
          <w:rFonts w:ascii="Arial" w:cs="Arial" w:eastAsia="Arial" w:hAnsi="Arial"/>
          <w:sz w:val="22"/>
          <w:szCs w:val="22"/>
        </w:rPr>
        <w:t xml:space="preserve">The CDFI Fund publishes transaction-level data for all certified CDFIs including loan amounts, community types served, and reported impact. RevitaScore uses this dataset to validate ROI projections against documented CDFI returns.</w:t>
      </w:r>
    </w:p>
    <w:p>
      <w:pPr>
        <w:spacing w:after="120"/>
      </w:pPr>
      <w:r>
        <w:t xml:space="preserve"/>
      </w:r>
    </w:p>
    <w:p>
      <w:pPr>
        <w:pStyle w:val="Heading2"/>
        <w:spacing w:before="280" w:after="140"/>
      </w:pPr>
      <w:r>
        <w:rPr>
          <w:rFonts w:ascii="Arial" w:cs="Arial" w:eastAsia="Arial" w:hAnsi="Arial"/>
          <w:b/>
          <w:bCs/>
          <w:color w:val="1A3A5C"/>
          <w:sz w:val="26"/>
          <w:szCs w:val="26"/>
        </w:rPr>
        <w:t xml:space="preserve">6.3  Ongoing Validation Commitment</w:t>
      </w:r>
    </w:p>
    <w:p>
      <w:pPr>
        <w:spacing w:after="140"/>
      </w:pPr>
      <w:r>
        <w:rPr>
          <w:rFonts w:ascii="Arial" w:cs="Arial" w:eastAsia="Arial" w:hAnsi="Arial"/>
          <w:sz w:val="22"/>
          <w:szCs w:val="22"/>
        </w:rPr>
        <w:t xml:space="preserve">As RevitaHub projects generate actual outcomes (jobs created, property values, rental income), those outcomes will be fed back into the scoring model to improve calibration. This creates a self-improving validation loop — the platform's own projects become training data for score accuracy.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Validation Source</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Acceptable Variance</w:t>
            </w:r>
          </w:p>
        </w:tc>
        <w:tc>
          <w:tcPr>
            <w:tcW w:type="dxa" w:w="23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Current Status</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Economic Score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HUD CDBG program outcomes</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 of documented actuals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Back-tested against 2018–2023 GA CDBG data</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Social Score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CDC SVI + HUD social impact</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Directional alignment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CDC SVI inputs integrated</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Leverage Rank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Meadows framework (qualitative)</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Categorical accuracy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Mapped to Meadows (1999)</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Projected ROI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CDFI Fund transaction data</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Within CDFI documented range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Calibrated to CDFI Fund 2023 Annual Report</w:t>
            </w:r>
          </w:p>
        </w:tc>
      </w:tr>
      <w:tr>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Risk-Adjusted Score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HUD OZ risk framework</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222222"/>
                <w:sz w:val="20"/>
                <w:szCs w:val="20"/>
              </w:rPr>
              <w:t xml:space="preserve">Rank-order accuracy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Framework aligned to HUD methodology</w:t>
            </w:r>
          </w:p>
        </w:tc>
      </w:tr>
    </w:tbl>
    <w:p>
      <w:pPr>
        <w:spacing w:after="120"/>
      </w:pPr>
      <w:r>
        <w:t xml:space="preserve"/>
      </w:r>
    </w:p>
    <w:p>
      <w:pPr>
        <w:pageBreakBefore/>
      </w:pPr>
      <w:r>
        <w:t xml:space="preserve"/>
      </w:r>
    </w:p>
    <w:p>
      <w:pPr>
        <w:pStyle w:val="Heading1"/>
        <w:spacing w:before="360" w:after="180"/>
      </w:pPr>
      <w:r>
        <w:rPr>
          <w:rFonts w:ascii="Arial" w:cs="Arial" w:eastAsia="Arial" w:hAnsi="Arial"/>
          <w:b/>
          <w:bCs/>
          <w:color w:val="1A3A5C"/>
          <w:sz w:val="32"/>
          <w:szCs w:val="32"/>
        </w:rPr>
        <w:t xml:space="preserve">7. Limitations &amp; Required Disclosures</w:t>
      </w:r>
    </w:p>
    <w:p>
      <w:pPr>
        <w:spacing w:after="140"/>
      </w:pPr>
      <w:r>
        <w:rPr>
          <w:rFonts w:ascii="Arial" w:cs="Arial" w:eastAsia="Arial" w:hAnsi="Arial"/>
          <w:sz w:val="22"/>
          <w:szCs w:val="22"/>
        </w:rPr>
        <w:t xml:space="preserve">Clients and API subscribers must understand the following limitations of RevitaScore outputs:</w:t>
      </w:r>
    </w:p>
    <w:p>
      <w:pPr>
        <w:spacing w:after="120"/>
      </w:pPr>
      <w:r>
        <w:t xml:space="preserve"/>
      </w:r>
    </w:p>
    <w:p>
      <w:pPr>
        <w:pStyle w:val="ListParagraph"/>
        <w:numPr>
          <w:ilvl w:val="0"/>
          <w:numId w:val="2"/>
        </w:numPr>
        <w:spacing w:after="80"/>
      </w:pPr>
      <w:r>
        <w:rPr>
          <w:rFonts w:ascii="Arial" w:cs="Arial" w:eastAsia="Arial" w:hAnsi="Arial"/>
          <w:sz w:val="22"/>
          <w:szCs w:val="22"/>
        </w:rPr>
        <w:t xml:space="preserve">RevitaScore produces projections, not guarantees. Economic outcomes depend on project execution quality, market conditions, and factors outside the model's scope.</w:t>
      </w:r>
    </w:p>
    <w:p>
      <w:pPr>
        <w:pStyle w:val="ListParagraph"/>
        <w:numPr>
          <w:ilvl w:val="0"/>
          <w:numId w:val="2"/>
        </w:numPr>
        <w:spacing w:after="80"/>
      </w:pPr>
      <w:r>
        <w:rPr>
          <w:rFonts w:ascii="Arial" w:cs="Arial" w:eastAsia="Arial" w:hAnsi="Arial"/>
          <w:sz w:val="22"/>
          <w:szCs w:val="22"/>
        </w:rPr>
        <w:t xml:space="preserve">The model is calibrated for Georgia counties only in version 1.0. Applying RevitaScore to counties outside Georgia requires recalibration against state-specific ARC and BEA data.</w:t>
      </w:r>
    </w:p>
    <w:p>
      <w:pPr>
        <w:pStyle w:val="ListParagraph"/>
        <w:numPr>
          <w:ilvl w:val="0"/>
          <w:numId w:val="2"/>
        </w:numPr>
        <w:spacing w:after="80"/>
      </w:pPr>
      <w:r>
        <w:rPr>
          <w:rFonts w:ascii="Arial" w:cs="Arial" w:eastAsia="Arial" w:hAnsi="Arial"/>
          <w:sz w:val="22"/>
          <w:szCs w:val="22"/>
        </w:rPr>
        <w:t xml:space="preserve">ARC distress classifications are updated annually. RevitaScore outputs may change year-over-year as county classifications change. Archived scores reflect the classification at time of query.</w:t>
      </w:r>
    </w:p>
    <w:p>
      <w:pPr>
        <w:pStyle w:val="ListParagraph"/>
        <w:numPr>
          <w:ilvl w:val="0"/>
          <w:numId w:val="2"/>
        </w:numPr>
        <w:spacing w:after="80"/>
      </w:pPr>
      <w:r>
        <w:rPr>
          <w:rFonts w:ascii="Arial" w:cs="Arial" w:eastAsia="Arial" w:hAnsi="Arial"/>
          <w:sz w:val="22"/>
          <w:szCs w:val="22"/>
        </w:rPr>
        <w:t xml:space="preserve">RevitaScore is not a substitute for a full economic impact study (EIS). For projects exceeding $5M, we recommend commissioning a project-specific EIS using RevitaScore as a screening tool.</w:t>
      </w:r>
    </w:p>
    <w:p>
      <w:pPr>
        <w:pStyle w:val="ListParagraph"/>
        <w:numPr>
          <w:ilvl w:val="0"/>
          <w:numId w:val="2"/>
        </w:numPr>
        <w:spacing w:after="80"/>
      </w:pPr>
      <w:r>
        <w:rPr>
          <w:rFonts w:ascii="Arial" w:cs="Arial" w:eastAsia="Arial" w:hAnsi="Arial"/>
          <w:sz w:val="22"/>
          <w:szCs w:val="22"/>
        </w:rPr>
        <w:t xml:space="preserve">The Leverage Rank is a qualitative framework metric, not a quantitative prediction. It reflects the systemic nature of an intervention type, not a specific project's execution.</w:t>
      </w:r>
    </w:p>
    <w:p>
      <w:pPr>
        <w:pStyle w:val="ListParagraph"/>
        <w:numPr>
          <w:ilvl w:val="0"/>
          <w:numId w:val="2"/>
        </w:numPr>
        <w:spacing w:after="80"/>
      </w:pPr>
      <w:r>
        <w:rPr>
          <w:rFonts w:ascii="Arial" w:cs="Arial" w:eastAsia="Arial" w:hAnsi="Arial"/>
          <w:sz w:val="22"/>
          <w:szCs w:val="22"/>
        </w:rPr>
        <w:t xml:space="preserve">This methodology document describes version 1.0 of the scoring engine. Build Our Community, LLC reserves the right to update scoring methodology as new data sources become available. Material changes will be versioned and communicated to API subscribers with 90 days advance notice.</w:t>
      </w:r>
    </w:p>
    <w:p>
      <w:pPr>
        <w:spacing w:after="120"/>
      </w:pPr>
      <w:r>
        <w:t xml:space="preserve"/>
      </w:r>
    </w:p>
    <w:p>
      <w:pPr>
        <w:pStyle w:val="Heading1"/>
        <w:spacing w:before="360" w:after="180"/>
      </w:pPr>
      <w:r>
        <w:rPr>
          <w:rFonts w:ascii="Arial" w:cs="Arial" w:eastAsia="Arial" w:hAnsi="Arial"/>
          <w:b/>
          <w:bCs/>
          <w:color w:val="1A3A5C"/>
          <w:sz w:val="32"/>
          <w:szCs w:val="32"/>
        </w:rPr>
        <w:t xml:space="preserve">8. Note on CRA Compliance Applications</w:t>
      </w:r>
    </w:p>
    <w:p>
      <w:pPr>
        <w:spacing w:after="140"/>
      </w:pPr>
      <w:r>
        <w:rPr>
          <w:rFonts w:ascii="Arial" w:cs="Arial" w:eastAsia="Arial" w:hAnsi="Arial"/>
          <w:sz w:val="22"/>
          <w:szCs w:val="22"/>
        </w:rPr>
        <w:t xml:space="preserve">RevitaScore output is designed to support — but not replace — CRA examination documentation. Bank compliance officers should note the following:</w:t>
      </w:r>
    </w:p>
    <w:p>
      <w:pPr>
        <w:spacing w:after="120"/>
      </w:pPr>
      <w:r>
        <w:t xml:space="preserve"/>
      </w:r>
    </w:p>
    <w:p>
      <w:pPr>
        <w:pStyle w:val="ListParagraph"/>
        <w:numPr>
          <w:ilvl w:val="0"/>
          <w:numId w:val="2"/>
        </w:numPr>
        <w:spacing w:after="80"/>
      </w:pPr>
      <w:r>
        <w:rPr>
          <w:rFonts w:ascii="Arial" w:cs="Arial" w:eastAsia="Arial" w:hAnsi="Arial"/>
          <w:sz w:val="22"/>
          <w:szCs w:val="22"/>
        </w:rPr>
        <w:t xml:space="preserve">ARC distress classifications are an OCC-recognized methodology for identifying Low-to-Moderate Income (LMI) and distressed community eligibility.</w:t>
      </w:r>
    </w:p>
    <w:p>
      <w:pPr>
        <w:pStyle w:val="ListParagraph"/>
        <w:numPr>
          <w:ilvl w:val="0"/>
          <w:numId w:val="2"/>
        </w:numPr>
        <w:spacing w:after="80"/>
      </w:pPr>
      <w:r>
        <w:rPr>
          <w:rFonts w:ascii="Arial" w:cs="Arial" w:eastAsia="Arial" w:hAnsi="Arial"/>
          <w:sz w:val="22"/>
          <w:szCs w:val="22"/>
        </w:rPr>
        <w:t xml:space="preserve">The economic score and social score provide quantified community benefit documentation aligned with CRA examination criteria under 12 CFR 25 (OCC), 12 CFR 228 (Federal Reserve), and 12 CFR 345 (FDIC).</w:t>
      </w:r>
    </w:p>
    <w:p>
      <w:pPr>
        <w:pStyle w:val="ListParagraph"/>
        <w:numPr>
          <w:ilvl w:val="0"/>
          <w:numId w:val="2"/>
        </w:numPr>
        <w:spacing w:after="80"/>
      </w:pPr>
      <w:r>
        <w:rPr>
          <w:rFonts w:ascii="Arial" w:cs="Arial" w:eastAsia="Arial" w:hAnsi="Arial"/>
          <w:sz w:val="22"/>
          <w:szCs w:val="22"/>
        </w:rPr>
        <w:t xml:space="preserve">RevitaScore does not make CRA credit determinations. That determination remains with the examining agency. RevitaScore provides supporting data to assist bank internal documentation.</w:t>
      </w:r>
    </w:p>
    <w:p>
      <w:pPr>
        <w:pStyle w:val="ListParagraph"/>
        <w:numPr>
          <w:ilvl w:val="0"/>
          <w:numId w:val="2"/>
        </w:numPr>
        <w:spacing w:after="80"/>
      </w:pPr>
      <w:r>
        <w:rPr>
          <w:rFonts w:ascii="Arial" w:cs="Arial" w:eastAsia="Arial" w:hAnsi="Arial"/>
          <w:sz w:val="22"/>
          <w:szCs w:val="22"/>
        </w:rPr>
        <w:t xml:space="preserve">For CRA purposes, clients should retain the methodology version number and data vintage (ARC publication year, BEA RIMS II edition) alongside any RevitaScore output used in examination documentation.</w:t>
      </w:r>
    </w:p>
    <w:p>
      <w:pPr>
        <w:spacing w:after="120"/>
      </w:pPr>
      <w:r>
        <w:t xml:space="preserve"/>
      </w:r>
    </w:p>
    <w:p>
      <w:pPr>
        <w:pBdr>
          <w:bottom w:val="single" w:color="CCCCCC" w:sz="1"/>
        </w:pBdr>
        <w:spacing w:before="200" w:after="200"/>
      </w:pPr>
      <w:r>
        <w:t xml:space="preserve"/>
      </w:r>
    </w:p>
    <w:p>
      <w:pPr>
        <w:pStyle w:val="Heading1"/>
        <w:spacing w:before="360" w:after="180"/>
      </w:pPr>
      <w:r>
        <w:rPr>
          <w:rFonts w:ascii="Arial" w:cs="Arial" w:eastAsia="Arial" w:hAnsi="Arial"/>
          <w:b/>
          <w:bCs/>
          <w:color w:val="1A3A5C"/>
          <w:sz w:val="32"/>
          <w:szCs w:val="32"/>
        </w:rPr>
        <w:t xml:space="preserve">9. Contact &amp; Licensing</w:t>
      </w:r>
    </w:p>
    <w:p>
      <w:pPr>
        <w:spacing w:after="140"/>
      </w:pPr>
      <w:r>
        <w:rPr>
          <w:rFonts w:ascii="Arial" w:cs="Arial" w:eastAsia="Arial" w:hAnsi="Arial"/>
          <w:sz w:val="22"/>
          <w:szCs w:val="22"/>
        </w:rPr>
        <w:t xml:space="preserve">For questions about scoring methodology, data sources, or API access:</w:t>
      </w:r>
    </w:p>
    <w:p>
      <w:pPr>
        <w:spacing w:after="120"/>
      </w:pPr>
      <w:r>
        <w:t xml:space="preserve"/>
      </w:r>
    </w:p>
    <w:p>
      <w:pPr>
        <w:pStyle w:val="ListParagraph"/>
        <w:numPr>
          <w:ilvl w:val="0"/>
          <w:numId w:val="2"/>
        </w:numPr>
        <w:spacing w:after="80"/>
      </w:pPr>
      <w:r>
        <w:rPr>
          <w:rFonts w:ascii="Arial" w:cs="Arial" w:eastAsia="Arial" w:hAnsi="Arial"/>
          <w:sz w:val="22"/>
          <w:szCs w:val="22"/>
        </w:rPr>
        <w:t xml:space="preserve">Platform: buildourcommunity.co</w:t>
      </w:r>
    </w:p>
    <w:p>
      <w:pPr>
        <w:pStyle w:val="ListParagraph"/>
        <w:numPr>
          <w:ilvl w:val="0"/>
          <w:numId w:val="2"/>
        </w:numPr>
        <w:spacing w:after="80"/>
      </w:pPr>
      <w:r>
        <w:rPr>
          <w:rFonts w:ascii="Arial" w:cs="Arial" w:eastAsia="Arial" w:hAnsi="Arial"/>
          <w:sz w:val="22"/>
          <w:szCs w:val="22"/>
        </w:rPr>
        <w:t xml:space="preserve">Entity: Build Our Community, LLC</w:t>
      </w:r>
    </w:p>
    <w:p>
      <w:pPr>
        <w:pStyle w:val="ListParagraph"/>
        <w:numPr>
          <w:ilvl w:val="0"/>
          <w:numId w:val="2"/>
        </w:numPr>
        <w:spacing w:after="80"/>
      </w:pPr>
      <w:r>
        <w:rPr>
          <w:rFonts w:ascii="Arial" w:cs="Arial" w:eastAsia="Arial" w:hAnsi="Arial"/>
          <w:sz w:val="22"/>
          <w:szCs w:val="22"/>
        </w:rPr>
        <w:t xml:space="preserve">Methodology inquiries: methodology@buildourcommunity.co</w:t>
      </w:r>
    </w:p>
    <w:p>
      <w:pPr>
        <w:pStyle w:val="ListParagraph"/>
        <w:numPr>
          <w:ilvl w:val="0"/>
          <w:numId w:val="2"/>
        </w:numPr>
        <w:spacing w:after="80"/>
      </w:pPr>
      <w:r>
        <w:rPr>
          <w:rFonts w:ascii="Arial" w:cs="Arial" w:eastAsia="Arial" w:hAnsi="Arial"/>
          <w:sz w:val="22"/>
          <w:szCs w:val="22"/>
        </w:rPr>
        <w:t xml:space="preserve">API access: api@buildourcommunity.co</w:t>
      </w:r>
    </w:p>
    <w:p>
      <w:pPr>
        <w:spacing w:after="120"/>
      </w:pPr>
      <w:r>
        <w:t xml:space="preserve"/>
      </w:r>
    </w:p>
    <w:p>
      <w:pPr>
        <w:spacing w:after="140"/>
      </w:pPr>
      <w:r>
        <w:rPr>
          <w:rFonts w:ascii="Arial" w:cs="Arial" w:eastAsia="Arial" w:hAnsi="Arial"/>
          <w:sz w:val="22"/>
          <w:szCs w:val="22"/>
        </w:rPr>
        <w:t xml:space="preserve">RevitaScore methodology documentation is proprietary to Build Our Community, LLC. API subscribers may reference this document and cite RevitaScore outputs in client-facing materials with attribution. Redistribution of this document without written permission is prohibited.</w:t>
      </w:r>
    </w:p>
    <w:p>
      <w:pPr>
        <w:spacing w:after="120"/>
      </w:pPr>
      <w:r>
        <w:t xml:space="preserve"/>
      </w:r>
    </w:p>
    <w:p>
      <w:pPr>
        <w:spacing w:after="120"/>
        <w:ind w:left="720"/>
      </w:pPr>
      <w:r>
        <w:rPr>
          <w:rFonts w:ascii="Arial" w:cs="Arial" w:eastAsia="Arial" w:hAnsi="Arial"/>
          <w:i/>
          <w:iCs/>
          <w:color w:val="555555"/>
          <w:sz w:val="20"/>
          <w:szCs w:val="20"/>
        </w:rPr>
        <w:t xml:space="preserve">Document version: 1.0   |   Effective date: 2026   |   Next scheduled review: 2027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Build Our Community, LLC   |   buildourcommunity.co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RevitaScore — Scoring Methodology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2026-03-17T19:24:43.343Z</dcterms:created>
  <dcterms:modified xsi:type="dcterms:W3CDTF">2026-03-17T19:24:43.343Z</dcterms:modified>
</cp:coreProperties>
</file>

<file path=docProps/custom.xml><?xml version="1.0" encoding="utf-8"?>
<Properties xmlns="http://schemas.openxmlformats.org/officeDocument/2006/custom-properties" xmlns:vt="http://schemas.openxmlformats.org/officeDocument/2006/docPropsVTypes"/>
</file>