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pPr>
      <w:r>
        <w:rPr>
          <w:rFonts w:ascii="Arial" w:cs="Arial" w:eastAsia="Arial" w:hAnsi="Arial"/>
          <w:b/>
          <w:bCs/>
          <w:color w:val="0D1F3C"/>
          <w:sz w:val="80"/>
          <w:szCs w:val="80"/>
        </w:rPr>
        <w:t xml:space="preserve">RevitaHub</w:t>
      </w:r>
    </w:p>
    <w:p>
      <w:pPr>
        <w:spacing w:before="80" w:after="0"/>
      </w:pPr>
      <w:r>
        <w:rPr>
          <w:rFonts w:ascii="Arial" w:cs="Arial" w:eastAsia="Arial" w:hAnsi="Arial"/>
          <w:color w:val="475569"/>
          <w:sz w:val="36"/>
          <w:szCs w:val="36"/>
        </w:rPr>
        <w:t xml:space="preserve">Pre-Launch Master Checklist</w:t>
      </w:r>
    </w:p>
    <w:p>
      <w:pPr>
        <w:spacing w:before="120" w:after="0"/>
      </w:pPr>
      <w:r>
        <w:rPr>
          <w:rFonts w:ascii="Arial" w:cs="Arial" w:eastAsia="Arial" w:hAnsi="Arial"/>
          <w:i/>
          <w:iCs/>
          <w:color w:val="1D4ED8"/>
          <w:sz w:val="22"/>
          <w:szCs w:val="22"/>
        </w:rPr>
        <w:t xml:space="preserve">Everything to complete before you take a single real dollar.</w:t>
      </w:r>
    </w:p>
    <w:p>
      <w:pPr>
        <w:spacing w:before="80" w:after="0"/>
      </w:pPr>
      <w:r>
        <w:t xml:space="preserve"/>
      </w:r>
    </w:p>
    <w:p>
      <w:pPr>
        <w:spacing w:before="0" w:after="0"/>
      </w:pPr>
      <w:r>
        <w:rPr>
          <w:rFonts w:ascii="Arial" w:cs="Arial" w:eastAsia="Arial" w:hAnsi="Arial"/>
          <w:color w:val="94A3B8"/>
          <w:sz w:val="17"/>
          <w:szCs w:val="17"/>
        </w:rPr>
        <w:t xml:space="preserve">Build Our Community, LLC  ·  CONFIDENTIAL  ·  INTERNAL ONLY</w:t>
      </w:r>
    </w:p>
    <w:p>
      <w:pPr>
        <w:spacing w:before="1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200"/>
              <w:left w:type="dxa" w:w="240"/>
              <w:bottom w:type="dxa" w:w="200"/>
              <w:right w:type="dxa" w:w="240"/>
            </w:tcMar>
          </w:tcPr>
          <w:p>
            <w:pPr>
              <w:spacing w:before="0" w:after="80"/>
            </w:pPr>
            <w:r>
              <w:rPr>
                <w:rFonts w:ascii="Arial" w:cs="Arial" w:eastAsia="Arial" w:hAnsi="Arial"/>
                <w:b/>
                <w:bCs/>
                <w:color w:val="1D4ED8"/>
                <w:sz w:val="22"/>
                <w:szCs w:val="22"/>
              </w:rPr>
              <w:t xml:space="preserve">How to use this document</w:t>
            </w:r>
          </w:p>
          <w:p>
            <w:pPr>
              <w:spacing w:before="0" w:after="60"/>
            </w:pPr>
            <w:r>
              <w:rPr>
                <w:rFonts w:ascii="Arial" w:cs="Arial" w:eastAsia="Arial" w:hAnsi="Arial"/>
                <w:color w:val="1E293B"/>
                <w:sz w:val="19"/>
                <w:szCs w:val="19"/>
              </w:rPr>
              <w:t xml:space="preserve">Since RevitaHub is currently running on mock data, you have the advantage of building compliance and infrastructure into the platform before it matters — not retrofitting it after. This checklist replaces urgency with sequence.</w:t>
            </w:r>
          </w:p>
          <w:p>
            <w:pPr>
              <w:spacing w:before="60" w:after="0"/>
            </w:pPr>
            <w:r>
              <w:rPr>
                <w:rFonts w:ascii="Arial" w:cs="Arial" w:eastAsia="Arial" w:hAnsi="Arial"/>
                <w:color w:val="1E293B"/>
                <w:sz w:val="19"/>
                <w:szCs w:val="19"/>
              </w:rPr>
              <w:t xml:space="preserve">Work through each phase in order. You cannot open Phase 3 (Launch Gate) until every item in Phases 1 and 2 is checked. This protects you legally and operationally.</w:t>
            </w:r>
          </w:p>
        </w:tc>
      </w:tr>
    </w:tbl>
    <w:p>
      <w:pPr>
        <w:spacing w:before="240" w:after="0"/>
      </w:pPr>
      <w:r>
        <w:t xml:space="preserve"/>
      </w:r>
    </w:p>
    <w:p>
      <w:pPr>
        <w:pStyle w:val="Heading1"/>
        <w:pBdr>
          <w:bottom w:val="single" w:color="0D1F3C" w:sz="10" w:space="6"/>
        </w:pBdr>
        <w:spacing w:before="560" w:after="0"/>
      </w:pPr>
      <w:r>
        <w:rPr>
          <w:rFonts w:ascii="Arial" w:cs="Arial" w:eastAsia="Arial" w:hAnsi="Arial"/>
          <w:b/>
          <w:bCs/>
          <w:color w:val="0D1F3C"/>
          <w:sz w:val="34"/>
          <w:szCs w:val="34"/>
        </w:rPr>
        <w:t xml:space="preserve">Overview</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BD5E0" w:sz="1"/>
              <w:left w:val="single" w:color="CBD5E0" w:sz="1"/>
              <w:bottom w:val="single" w:color="CBD5E0" w:sz="1"/>
              <w:right w:val="single" w:color="CBD5E0" w:sz="1"/>
            </w:tcBorders>
            <w:shd w:fill="0D1F3C"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7360"/>
            <w:tcBorders>
              <w:top w:val="single" w:color="CBD5E0" w:sz="1"/>
              <w:left w:val="single" w:color="CBD5E0" w:sz="1"/>
              <w:bottom w:val="single" w:color="CBD5E0" w:sz="1"/>
              <w:right w:val="single" w:color="CBD5E0" w:sz="1"/>
            </w:tcBorders>
            <w:shd w:fill="0D1F3C" w:val="clear"/>
            <w:tcMar>
              <w:top w:type="dxa" w:w="80"/>
              <w:left w:type="dxa" w:w="120"/>
              <w:bottom w:type="dxa" w:w="80"/>
              <w:right w:type="dxa" w:w="120"/>
            </w:tcMar>
          </w:tcPr>
          <w:p>
            <w:r>
              <w:rPr>
                <w:rFonts w:ascii="Arial" w:cs="Arial" w:eastAsia="Arial" w:hAnsi="Arial"/>
                <w:color w:val="FFFFFF"/>
                <w:sz w:val="18"/>
                <w:szCs w:val="18"/>
              </w:rPr>
              <w:t xml:space="preserve">WHAT YOU'RE BUILDING</w:t>
            </w:r>
          </w:p>
        </w:tc>
      </w:tr>
      <w:tr>
        <w:tc>
          <w:tcPr>
            <w:tcW w:type="dxa" w:w="2000"/>
            <w:tcBorders>
              <w:top w:val="single" w:color="CBD5E0" w:sz="1"/>
              <w:left w:val="single" w:color="CBD5E0" w:sz="1"/>
              <w:bottom w:val="single" w:color="CBD5E0" w:sz="1"/>
              <w:right w:val="single" w:color="CBD5E0" w:sz="1"/>
            </w:tcBorders>
            <w:shd w:fill="F8FAFC" w:val="clear"/>
            <w:tcMar>
              <w:top w:type="dxa" w:w="80"/>
              <w:left w:type="dxa" w:w="120"/>
              <w:bottom w:type="dxa" w:w="80"/>
              <w:right w:type="dxa" w:w="120"/>
            </w:tcMar>
          </w:tcPr>
          <w:p>
            <w:r>
              <w:rPr>
                <w:rFonts w:ascii="Arial" w:cs="Arial" w:eastAsia="Arial" w:hAnsi="Arial"/>
                <w:b/>
                <w:bCs/>
                <w:color w:val="0D1F3C"/>
                <w:sz w:val="18"/>
                <w:szCs w:val="18"/>
              </w:rPr>
              <w:t xml:space="preserve">1 · Foundation</w:t>
            </w:r>
          </w:p>
        </w:tc>
        <w:tc>
          <w:tcPr>
            <w:tcW w:type="dxa" w:w="7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Replace dev scaffolding with production-grade infrastructure. Auth, environments, monitoring, database hygiene. Do this now while the codebase is still clean.</w:t>
            </w:r>
          </w:p>
        </w:tc>
      </w:tr>
      <w:tr>
        <w:tc>
          <w:tcPr>
            <w:tcW w:type="dxa" w:w="2000"/>
            <w:tcBorders>
              <w:top w:val="single" w:color="CBD5E0" w:sz="1"/>
              <w:left w:val="single" w:color="CBD5E0" w:sz="1"/>
              <w:bottom w:val="single" w:color="CBD5E0" w:sz="1"/>
              <w:right w:val="single" w:color="CBD5E0" w:sz="1"/>
            </w:tcBorders>
            <w:shd w:fill="F8FAFC" w:val="clear"/>
            <w:tcMar>
              <w:top w:type="dxa" w:w="80"/>
              <w:left w:type="dxa" w:w="120"/>
              <w:bottom w:type="dxa" w:w="80"/>
              <w:right w:type="dxa" w:w="120"/>
            </w:tcMar>
          </w:tcPr>
          <w:p>
            <w:r>
              <w:rPr>
                <w:rFonts w:ascii="Arial" w:cs="Arial" w:eastAsia="Arial" w:hAnsi="Arial"/>
                <w:b/>
                <w:bCs/>
                <w:color w:val="0D1F3C"/>
                <w:sz w:val="18"/>
                <w:szCs w:val="18"/>
              </w:rPr>
              <w:t xml:space="preserve">2 · Pre-Launch</w:t>
            </w:r>
          </w:p>
        </w:tc>
        <w:tc>
          <w:tcPr>
            <w:tcW w:type="dxa" w:w="7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Build all the compliance, legal, and investor-facing flows. Securities exemption, KYC enforcement, risk disclosures, smart contract audit. Takes the most time — start early.</w:t>
            </w:r>
          </w:p>
        </w:tc>
      </w:tr>
      <w:tr>
        <w:tc>
          <w:tcPr>
            <w:tcW w:type="dxa" w:w="2000"/>
            <w:tcBorders>
              <w:top w:val="single" w:color="CBD5E0" w:sz="1"/>
              <w:left w:val="single" w:color="CBD5E0" w:sz="1"/>
              <w:bottom w:val="single" w:color="CBD5E0" w:sz="1"/>
              <w:right w:val="single" w:color="CBD5E0" w:sz="1"/>
            </w:tcBorders>
            <w:shd w:fill="F8FAFC" w:val="clear"/>
            <w:tcMar>
              <w:top w:type="dxa" w:w="80"/>
              <w:left w:type="dxa" w:w="120"/>
              <w:bottom w:type="dxa" w:w="80"/>
              <w:right w:type="dxa" w:w="120"/>
            </w:tcMar>
          </w:tcPr>
          <w:p>
            <w:r>
              <w:rPr>
                <w:rFonts w:ascii="Arial" w:cs="Arial" w:eastAsia="Arial" w:hAnsi="Arial"/>
                <w:b/>
                <w:bCs/>
                <w:color w:val="0D1F3C"/>
                <w:sz w:val="18"/>
                <w:szCs w:val="18"/>
              </w:rPr>
              <w:t xml:space="preserve">3 · Launch Gate</w:t>
            </w:r>
          </w:p>
        </w:tc>
        <w:tc>
          <w:tcPr>
            <w:tcW w:type="dxa" w:w="7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The hard stop. Every item here is a legal or financial prerequisite. You do not go live until every box is checked.</w:t>
            </w:r>
          </w:p>
        </w:tc>
      </w:tr>
      <w:tr>
        <w:tc>
          <w:tcPr>
            <w:tcW w:type="dxa" w:w="2000"/>
            <w:tcBorders>
              <w:top w:val="single" w:color="CBD5E0" w:sz="1"/>
              <w:left w:val="single" w:color="CBD5E0" w:sz="1"/>
              <w:bottom w:val="single" w:color="CBD5E0" w:sz="1"/>
              <w:right w:val="single" w:color="CBD5E0" w:sz="1"/>
            </w:tcBorders>
            <w:shd w:fill="F8FAFC" w:val="clear"/>
            <w:tcMar>
              <w:top w:type="dxa" w:w="80"/>
              <w:left w:type="dxa" w:w="120"/>
              <w:bottom w:type="dxa" w:w="80"/>
              <w:right w:type="dxa" w:w="120"/>
            </w:tcMar>
          </w:tcPr>
          <w:p>
            <w:r>
              <w:rPr>
                <w:rFonts w:ascii="Arial" w:cs="Arial" w:eastAsia="Arial" w:hAnsi="Arial"/>
                <w:b/>
                <w:bCs/>
                <w:color w:val="0D1F3C"/>
                <w:sz w:val="18"/>
                <w:szCs w:val="18"/>
              </w:rPr>
              <w:t xml:space="preserve">4 · Post-Launch</w:t>
            </w:r>
          </w:p>
        </w:tc>
        <w:tc>
          <w:tcPr>
            <w:tcW w:type="dxa" w:w="7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Things you can build after you open — investor reporting, secondary market, international expansion, AML monitoring at scale.</w:t>
            </w:r>
          </w:p>
        </w:tc>
      </w:tr>
    </w:tbl>
    <w:p>
      <w:pPr>
        <w:spacing w:before="320" w:after="0"/>
      </w:pPr>
      <w:r>
        <w:t xml:space="preserve"/>
      </w:r>
    </w:p>
    <w:p>
      <w:pPr>
        <w:pStyle w:val="Heading1"/>
        <w:pBdr>
          <w:bottom w:val="single" w:color="0D1F3C" w:sz="10" w:space="6"/>
        </w:pBdr>
        <w:spacing w:before="560" w:after="0"/>
      </w:pPr>
      <w:r>
        <w:rPr>
          <w:rFonts w:ascii="Arial" w:cs="Arial" w:eastAsia="Arial" w:hAnsi="Arial"/>
          <w:b/>
          <w:bCs/>
          <w:color w:val="0D1F3C"/>
          <w:sz w:val="34"/>
          <w:szCs w:val="34"/>
        </w:rPr>
        <w:t xml:space="preserve">Phase 1 — Foundation</w:t>
      </w:r>
    </w:p>
    <w:p>
      <w:pPr>
        <w:spacing w:before="80" w:after="80"/>
      </w:pPr>
      <w:r>
        <w:rPr>
          <w:rFonts w:ascii="Arial" w:cs="Arial" w:eastAsia="Arial" w:hAnsi="Arial"/>
          <w:i/>
          <w:iCs/>
          <w:color w:val="475569"/>
          <w:sz w:val="19"/>
          <w:szCs w:val="19"/>
        </w:rPr>
        <w:t xml:space="preserve">Build this now. These have nothing to do with compliance — they're just the right infrastructure to have before you layer real features on top. The longer you wait, the harder migration gets.</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FF" w:val="clear"/>
            <w:tcMar>
              <w:top w:type="dxa" w:w="200"/>
              <w:left w:type="dxa" w:w="280"/>
              <w:bottom w:type="dxa" w:w="200"/>
              <w:right w:type="dxa" w:w="280"/>
            </w:tcMar>
          </w:tcPr>
          <w:p>
            <w:pPr>
              <w:spacing w:before="0" w:after="40"/>
            </w:pPr>
            <w:r>
              <w:rPr>
                <w:rFonts w:ascii="Arial" w:cs="Arial" w:eastAsia="Arial" w:hAnsi="Arial"/>
                <w:b/>
                <w:bCs/>
                <w:color w:val="FFFFFF"/>
                <w:sz w:val="16"/>
                <w:szCs w:val="16"/>
                <w:shd w:fill="7C3AED" w:val="clear"/>
              </w:rPr>
              <w:t xml:space="preserve">  FOUNDATION  </w:t>
            </w:r>
            <w:r>
              <w:rPr>
                <w:rFonts w:ascii="Arial" w:cs="Arial" w:eastAsia="Arial" w:hAnsi="Arial"/>
                <w:b/>
                <w:bCs/>
                <w:color w:val="7C3AED"/>
                <w:sz w:val="15"/>
                <w:szCs w:val="15"/>
              </w:rPr>
              <w:t xml:space="preserve">   BUILD NOW</w:t>
            </w:r>
          </w:p>
          <w:p>
            <w:pPr>
              <w:spacing w:before="0" w:after="0"/>
            </w:pPr>
            <w:r>
              <w:rPr>
                <w:rFonts w:ascii="Arial" w:cs="Arial" w:eastAsia="Arial" w:hAnsi="Arial"/>
                <w:color w:val="1E293B"/>
                <w:sz w:val="20"/>
                <w:szCs w:val="20"/>
              </w:rPr>
              <w:t xml:space="preserve">Replace dev scaffolding with production-grade infrastructure. Do this while the codebase is still clean.</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C3AED" w:sz="14"/>
              <w:bottom w:val="single" w:color="CBD5E0" w:sz="1"/>
              <w:right w:val="none" w:color="FFFFFF" w:sz="0"/>
            </w:tcBorders>
            <w:shd w:fill="F5F3FF" w:val="clear"/>
            <w:tcMar>
              <w:top w:type="dxa" w:w="120"/>
              <w:left w:type="dxa" w:w="200"/>
              <w:bottom w:type="dxa" w:w="120"/>
              <w:right w:type="dxa" w:w="200"/>
            </w:tcMar>
          </w:tcPr>
          <w:p>
            <w:pPr>
              <w:spacing w:before="0" w:after="0"/>
            </w:pPr>
            <w:r>
              <w:rPr>
                <w:rFonts w:ascii="Arial" w:cs="Arial" w:eastAsia="Arial" w:hAnsi="Arial"/>
                <w:b/>
                <w:bCs/>
                <w:color w:val="7C3AED"/>
                <w:sz w:val="20"/>
                <w:szCs w:val="20"/>
              </w:rPr>
              <w:t xml:space="preserve">Replace Replit Auth</w:t>
            </w:r>
          </w:p>
        </w:tc>
      </w:tr>
      <w:tr>
        <w:tc>
          <w:tcPr>
            <w:tcW w:type="dxa" w:w="9360"/>
            <w:tcBorders>
              <w:top w:val="none" w:color="FFFFFF" w:sz="0"/>
              <w:left w:val="single" w:color="7C3AED" w:sz="14"/>
              <w:bottom w:val="single" w:color="CBD5E0" w:sz="1"/>
              <w:right w:val="none" w:color="FFFFFF" w:sz="0"/>
            </w:tcBorders>
            <w:shd w:fill="FFFFFF" w:val="clear"/>
            <w:tcMar>
              <w:top w:type="dxa" w:w="100"/>
              <w:left w:type="dxa" w:w="200"/>
              <w:bottom w:type="dxa" w:w="100"/>
              <w:right w:type="dxa" w:w="200"/>
            </w:tcMar>
          </w:tcPr>
          <w:p>
            <w:pPr>
              <w:pStyle w:val="ListParagraph"/>
              <w:numPr>
                <w:ilvl w:val="0"/>
                <w:numId w:val="2"/>
              </w:numPr>
              <w:spacing w:before="60" w:after="60"/>
            </w:pPr>
            <w:r>
              <w:rPr>
                <w:rFonts w:ascii="Arial" w:cs="Arial" w:eastAsia="Arial" w:hAnsi="Arial"/>
                <w:color w:val="1E293B"/>
                <w:sz w:val="19"/>
                <w:szCs w:val="19"/>
              </w:rPr>
              <w:t xml:space="preserve">Replit OpenID Connect is a development convenience — not a production auth system</w:t>
            </w:r>
            <w:r>
              <w:rPr>
                <w:rFonts w:ascii="Arial" w:cs="Arial" w:eastAsia="Arial" w:hAnsi="Arial"/>
                <w:b/>
                <w:bCs/>
                <w:color w:val="B91C1C"/>
                <w:sz w:val="17"/>
                <w:szCs w:val="17"/>
              </w:rPr>
              <w:t xml:space="preserve">  [BREAKING IF IGNORED]</w:t>
            </w:r>
          </w:p>
          <w:p>
            <w:pPr>
              <w:pStyle w:val="ListParagraph"/>
              <w:numPr>
                <w:ilvl w:val="0"/>
                <w:numId w:val="2"/>
              </w:numPr>
              <w:spacing w:before="60" w:after="60"/>
            </w:pPr>
            <w:r>
              <w:rPr>
                <w:rFonts w:ascii="Arial" w:cs="Arial" w:eastAsia="Arial" w:hAnsi="Arial"/>
                <w:color w:val="1E293B"/>
                <w:sz w:val="19"/>
                <w:szCs w:val="19"/>
              </w:rPr>
              <w:t xml:space="preserve">Migrate to Clerk (fastest), Auth0, or custom JWT before any real users onboard</w:t>
            </w:r>
          </w:p>
          <w:p>
            <w:pPr>
              <w:pStyle w:val="ListParagraph"/>
              <w:numPr>
                <w:ilvl w:val="0"/>
                <w:numId w:val="2"/>
              </w:numPr>
              <w:spacing w:before="60" w:after="60"/>
            </w:pPr>
            <w:r>
              <w:rPr>
                <w:rFonts w:ascii="Arial" w:cs="Arial" w:eastAsia="Arial" w:hAnsi="Arial"/>
                <w:color w:val="1E293B"/>
                <w:sz w:val="19"/>
                <w:szCs w:val="19"/>
              </w:rPr>
              <w:t xml:space="preserve">Update all /api/auth/* routes, session handling, and useAuth hook</w:t>
            </w:r>
          </w:p>
          <w:p>
            <w:pPr>
              <w:pStyle w:val="ListParagraph"/>
              <w:numPr>
                <w:ilvl w:val="0"/>
                <w:numId w:val="2"/>
              </w:numPr>
              <w:spacing w:before="60" w:after="60"/>
            </w:pPr>
            <w:r>
              <w:rPr>
                <w:rFonts w:ascii="Arial" w:cs="Arial" w:eastAsia="Arial" w:hAnsi="Arial"/>
                <w:color w:val="1E293B"/>
                <w:sz w:val="19"/>
                <w:szCs w:val="19"/>
              </w:rPr>
              <w:t xml:space="preserve">Ensure wallet connection (RainbowKit) remains linked to the new user identity</w:t>
            </w:r>
          </w:p>
          <w:p>
            <w:pPr>
              <w:spacing w:before="100" w:after="0"/>
            </w:pPr>
            <w:r>
              <w:rPr>
                <w:rFonts w:ascii="Arial" w:cs="Arial" w:eastAsia="Arial" w:hAnsi="Arial"/>
                <w:i/>
                <w:iCs/>
                <w:color w:val="94A3B8"/>
                <w:sz w:val="17"/>
                <w:szCs w:val="17"/>
              </w:rPr>
              <w:t xml:space="preserve">→ Clerk is the fastest swap — drops into React + Express in ~2 days and has built-in KYC hooks</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C3AED" w:sz="14"/>
              <w:bottom w:val="single" w:color="CBD5E0" w:sz="1"/>
              <w:right w:val="none" w:color="FFFFFF" w:sz="0"/>
            </w:tcBorders>
            <w:shd w:fill="F5F3FF" w:val="clear"/>
            <w:tcMar>
              <w:top w:type="dxa" w:w="120"/>
              <w:left w:type="dxa" w:w="200"/>
              <w:bottom w:type="dxa" w:w="120"/>
              <w:right w:type="dxa" w:w="200"/>
            </w:tcMar>
          </w:tcPr>
          <w:p>
            <w:pPr>
              <w:spacing w:before="0" w:after="0"/>
            </w:pPr>
            <w:r>
              <w:rPr>
                <w:rFonts w:ascii="Arial" w:cs="Arial" w:eastAsia="Arial" w:hAnsi="Arial"/>
                <w:b/>
                <w:bCs/>
                <w:color w:val="7C3AED"/>
                <w:sz w:val="20"/>
                <w:szCs w:val="20"/>
              </w:rPr>
              <w:t xml:space="preserve">Set Up Dev / Staging / Production Environments</w:t>
            </w:r>
          </w:p>
        </w:tc>
      </w:tr>
      <w:tr>
        <w:tc>
          <w:tcPr>
            <w:tcW w:type="dxa" w:w="9360"/>
            <w:tcBorders>
              <w:top w:val="none" w:color="FFFFFF" w:sz="0"/>
              <w:left w:val="single" w:color="7C3AED" w:sz="14"/>
              <w:bottom w:val="single" w:color="CBD5E0" w:sz="1"/>
              <w:right w:val="none" w:color="FFFFFF" w:sz="0"/>
            </w:tcBorders>
            <w:shd w:fill="FFFFFF" w:val="clear"/>
            <w:tcMar>
              <w:top w:type="dxa" w:w="100"/>
              <w:left w:type="dxa" w:w="200"/>
              <w:bottom w:type="dxa" w:w="100"/>
              <w:right w:type="dxa" w:w="200"/>
            </w:tcMar>
          </w:tcPr>
          <w:p>
            <w:pPr>
              <w:pStyle w:val="ListParagraph"/>
              <w:numPr>
                <w:ilvl w:val="0"/>
                <w:numId w:val="2"/>
              </w:numPr>
              <w:spacing w:before="60" w:after="60"/>
            </w:pPr>
            <w:r>
              <w:rPr>
                <w:rFonts w:ascii="Arial" w:cs="Arial" w:eastAsia="Arial" w:hAnsi="Arial"/>
                <w:color w:val="1E293B"/>
                <w:sz w:val="19"/>
                <w:szCs w:val="19"/>
              </w:rPr>
              <w:t xml:space="preserve">Currently everything runs in a single environment — this is fine for mock, dangerous for real</w:t>
            </w:r>
          </w:p>
          <w:p>
            <w:pPr>
              <w:pStyle w:val="ListParagraph"/>
              <w:numPr>
                <w:ilvl w:val="0"/>
                <w:numId w:val="2"/>
              </w:numPr>
              <w:spacing w:before="60" w:after="60"/>
            </w:pPr>
            <w:r>
              <w:rPr>
                <w:rFonts w:ascii="Arial" w:cs="Arial" w:eastAsia="Arial" w:hAnsi="Arial"/>
                <w:color w:val="1E293B"/>
                <w:sz w:val="19"/>
                <w:szCs w:val="19"/>
              </w:rPr>
              <w:t xml:space="preserve">Create three separate environments: dev, staging, production</w:t>
            </w:r>
          </w:p>
          <w:p>
            <w:pPr>
              <w:pStyle w:val="ListParagraph"/>
              <w:numPr>
                <w:ilvl w:val="0"/>
                <w:numId w:val="2"/>
              </w:numPr>
              <w:spacing w:before="60" w:after="60"/>
            </w:pPr>
            <w:r>
              <w:rPr>
                <w:rFonts w:ascii="Arial" w:cs="Arial" w:eastAsia="Arial" w:hAnsi="Arial"/>
                <w:color w:val="1E293B"/>
                <w:sz w:val="19"/>
                <w:szCs w:val="19"/>
              </w:rPr>
              <w:t xml:space="preserve">Separate PostgreSQL databases per environment — never share a DB between stages</w:t>
            </w:r>
          </w:p>
          <w:p>
            <w:pPr>
              <w:pStyle w:val="ListParagraph"/>
              <w:numPr>
                <w:ilvl w:val="0"/>
                <w:numId w:val="2"/>
              </w:numPr>
              <w:spacing w:before="60" w:after="60"/>
            </w:pPr>
            <w:r>
              <w:rPr>
                <w:rFonts w:ascii="Arial" w:cs="Arial" w:eastAsia="Arial" w:hAnsi="Arial"/>
                <w:color w:val="1E293B"/>
                <w:sz w:val="19"/>
                <w:szCs w:val="19"/>
              </w:rPr>
              <w:t xml:space="preserve">Separate contract deployments: Base Sepolia (testnet) for dev/staging, Base mainnet for production</w:t>
            </w:r>
          </w:p>
          <w:p>
            <w:pPr>
              <w:pStyle w:val="ListParagraph"/>
              <w:numPr>
                <w:ilvl w:val="0"/>
                <w:numId w:val="2"/>
              </w:numPr>
              <w:spacing w:before="60" w:after="60"/>
            </w:pPr>
            <w:r>
              <w:rPr>
                <w:rFonts w:ascii="Arial" w:cs="Arial" w:eastAsia="Arial" w:hAnsi="Arial"/>
                <w:color w:val="1E293B"/>
                <w:sz w:val="19"/>
                <w:szCs w:val="19"/>
              </w:rPr>
              <w:t xml:space="preserve">Separate environment variable sets — never copy prod secrets to dev</w:t>
            </w:r>
          </w:p>
          <w:p>
            <w:pPr>
              <w:pStyle w:val="ListParagraph"/>
              <w:numPr>
                <w:ilvl w:val="0"/>
                <w:numId w:val="2"/>
              </w:numPr>
              <w:spacing w:before="60" w:after="60"/>
            </w:pPr>
            <w:r>
              <w:rPr>
                <w:rFonts w:ascii="Arial" w:cs="Arial" w:eastAsia="Arial" w:hAnsi="Arial"/>
                <w:color w:val="1E293B"/>
                <w:sz w:val="19"/>
                <w:szCs w:val="19"/>
              </w:rPr>
              <w:t xml:space="preserve">Add a deployment pipeline (GitHub Actions or similar) with staging gate before production</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C3AED" w:sz="14"/>
              <w:bottom w:val="single" w:color="CBD5E0" w:sz="1"/>
              <w:right w:val="none" w:color="FFFFFF" w:sz="0"/>
            </w:tcBorders>
            <w:shd w:fill="F5F3FF" w:val="clear"/>
            <w:tcMar>
              <w:top w:type="dxa" w:w="120"/>
              <w:left w:type="dxa" w:w="200"/>
              <w:bottom w:type="dxa" w:w="120"/>
              <w:right w:type="dxa" w:w="200"/>
            </w:tcMar>
          </w:tcPr>
          <w:p>
            <w:pPr>
              <w:spacing w:before="0" w:after="0"/>
            </w:pPr>
            <w:r>
              <w:rPr>
                <w:rFonts w:ascii="Arial" w:cs="Arial" w:eastAsia="Arial" w:hAnsi="Arial"/>
                <w:b/>
                <w:bCs/>
                <w:color w:val="7C3AED"/>
                <w:sz w:val="20"/>
                <w:szCs w:val="20"/>
              </w:rPr>
              <w:t xml:space="preserve">Database Hygiene</w:t>
            </w:r>
          </w:p>
        </w:tc>
      </w:tr>
      <w:tr>
        <w:tc>
          <w:tcPr>
            <w:tcW w:type="dxa" w:w="9360"/>
            <w:tcBorders>
              <w:top w:val="none" w:color="FFFFFF" w:sz="0"/>
              <w:left w:val="single" w:color="7C3AED" w:sz="14"/>
              <w:bottom w:val="single" w:color="CBD5E0" w:sz="1"/>
              <w:right w:val="none" w:color="FFFFFF" w:sz="0"/>
            </w:tcBorders>
            <w:shd w:fill="FFFFFF" w:val="clear"/>
            <w:tcMar>
              <w:top w:type="dxa" w:w="100"/>
              <w:left w:type="dxa" w:w="200"/>
              <w:bottom w:type="dxa" w:w="100"/>
              <w:right w:type="dxa" w:w="200"/>
            </w:tcMar>
          </w:tcPr>
          <w:p>
            <w:pPr>
              <w:pStyle w:val="ListParagraph"/>
              <w:numPr>
                <w:ilvl w:val="0"/>
                <w:numId w:val="2"/>
              </w:numPr>
              <w:spacing w:before="60" w:after="60"/>
            </w:pPr>
            <w:r>
              <w:rPr>
                <w:rFonts w:ascii="Arial" w:cs="Arial" w:eastAsia="Arial" w:hAnsi="Arial"/>
                <w:color w:val="1E293B"/>
                <w:sz w:val="19"/>
                <w:szCs w:val="19"/>
              </w:rPr>
              <w:t xml:space="preserve">Add deletedAt timestamp (soft delete) to all financial tables: tokenPurchases, tokenHoldings, proposals, tokenOfferings</w:t>
            </w:r>
          </w:p>
          <w:p>
            <w:pPr>
              <w:pStyle w:val="ListParagraph"/>
              <w:numPr>
                <w:ilvl w:val="0"/>
                <w:numId w:val="2"/>
              </w:numPr>
              <w:spacing w:before="60" w:after="60"/>
            </w:pPr>
            <w:r>
              <w:rPr>
                <w:rFonts w:ascii="Arial" w:cs="Arial" w:eastAsia="Arial" w:hAnsi="Arial"/>
                <w:color w:val="1E293B"/>
                <w:sz w:val="19"/>
                <w:szCs w:val="19"/>
              </w:rPr>
              <w:t xml:space="preserve">Add a dedicated audit_log table: userId, action, targetTable, targetId, metadata, timestamp</w:t>
            </w:r>
          </w:p>
          <w:p>
            <w:pPr>
              <w:pStyle w:val="ListParagraph"/>
              <w:numPr>
                <w:ilvl w:val="0"/>
                <w:numId w:val="2"/>
              </w:numPr>
              <w:spacing w:before="60" w:after="60"/>
            </w:pPr>
            <w:r>
              <w:rPr>
                <w:rFonts w:ascii="Arial" w:cs="Arial" w:eastAsia="Arial" w:hAnsi="Arial"/>
                <w:color w:val="1E293B"/>
                <w:sz w:val="19"/>
                <w:szCs w:val="19"/>
              </w:rPr>
              <w:t xml:space="preserve">Regulatory retention: financial records must be kept 5–7 years — hard deletes are illegal on live data</w:t>
            </w:r>
          </w:p>
          <w:p>
            <w:pPr>
              <w:pStyle w:val="ListParagraph"/>
              <w:numPr>
                <w:ilvl w:val="0"/>
                <w:numId w:val="2"/>
              </w:numPr>
              <w:spacing w:before="60" w:after="60"/>
            </w:pPr>
            <w:r>
              <w:rPr>
                <w:rFonts w:ascii="Arial" w:cs="Arial" w:eastAsia="Arial" w:hAnsi="Arial"/>
                <w:color w:val="1E293B"/>
                <w:sz w:val="19"/>
                <w:szCs w:val="19"/>
              </w:rPr>
              <w:t xml:space="preserve">Add database backup automation with point-in-time recovery (daily minimum, hourly preferred)</w:t>
            </w:r>
          </w:p>
          <w:p>
            <w:pPr>
              <w:pStyle w:val="ListParagraph"/>
              <w:numPr>
                <w:ilvl w:val="0"/>
                <w:numId w:val="2"/>
              </w:numPr>
              <w:spacing w:before="60" w:after="60"/>
            </w:pPr>
            <w:r>
              <w:rPr>
                <w:rFonts w:ascii="Arial" w:cs="Arial" w:eastAsia="Arial" w:hAnsi="Arial"/>
                <w:color w:val="1E293B"/>
                <w:sz w:val="19"/>
                <w:szCs w:val="19"/>
              </w:rPr>
              <w:t xml:space="preserve">Define RTO &lt; 4 hours, RPO &lt; 1 hour — document these in a runbook</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C3AED" w:sz="14"/>
              <w:bottom w:val="single" w:color="CBD5E0" w:sz="1"/>
              <w:right w:val="none" w:color="FFFFFF" w:sz="0"/>
            </w:tcBorders>
            <w:shd w:fill="F5F3FF" w:val="clear"/>
            <w:tcMar>
              <w:top w:type="dxa" w:w="120"/>
              <w:left w:type="dxa" w:w="200"/>
              <w:bottom w:type="dxa" w:w="120"/>
              <w:right w:type="dxa" w:w="200"/>
            </w:tcMar>
          </w:tcPr>
          <w:p>
            <w:pPr>
              <w:spacing w:before="0" w:after="0"/>
            </w:pPr>
            <w:r>
              <w:rPr>
                <w:rFonts w:ascii="Arial" w:cs="Arial" w:eastAsia="Arial" w:hAnsi="Arial"/>
                <w:b/>
                <w:bCs/>
                <w:color w:val="7C3AED"/>
                <w:sz w:val="20"/>
                <w:szCs w:val="20"/>
              </w:rPr>
              <w:t xml:space="preserve">Security Headers &amp; API Hardening</w:t>
            </w:r>
          </w:p>
        </w:tc>
      </w:tr>
      <w:tr>
        <w:tc>
          <w:tcPr>
            <w:tcW w:type="dxa" w:w="9360"/>
            <w:tcBorders>
              <w:top w:val="none" w:color="FFFFFF" w:sz="0"/>
              <w:left w:val="single" w:color="7C3AED" w:sz="14"/>
              <w:bottom w:val="single" w:color="CBD5E0" w:sz="1"/>
              <w:right w:val="none" w:color="FFFFFF" w:sz="0"/>
            </w:tcBorders>
            <w:shd w:fill="FFFFFF" w:val="clear"/>
            <w:tcMar>
              <w:top w:type="dxa" w:w="100"/>
              <w:left w:type="dxa" w:w="200"/>
              <w:bottom w:type="dxa" w:w="100"/>
              <w:right w:type="dxa" w:w="200"/>
            </w:tcMar>
          </w:tcPr>
          <w:p>
            <w:pPr>
              <w:pStyle w:val="ListParagraph"/>
              <w:numPr>
                <w:ilvl w:val="0"/>
                <w:numId w:val="2"/>
              </w:numPr>
              <w:spacing w:before="60" w:after="60"/>
            </w:pPr>
            <w:r>
              <w:rPr>
                <w:rFonts w:ascii="Arial" w:cs="Arial" w:eastAsia="Arial" w:hAnsi="Arial"/>
                <w:color w:val="1E293B"/>
                <w:sz w:val="19"/>
                <w:szCs w:val="19"/>
              </w:rPr>
              <w:t xml:space="preserve">Add helmet.js to Express — one line, covers HSTS, CSP, X-Frame-Options, XSS protection</w:t>
            </w:r>
          </w:p>
          <w:p>
            <w:pPr>
              <w:pStyle w:val="ListParagraph"/>
              <w:numPr>
                <w:ilvl w:val="0"/>
                <w:numId w:val="2"/>
              </w:numPr>
              <w:spacing w:before="60" w:after="60"/>
            </w:pPr>
            <w:r>
              <w:rPr>
                <w:rFonts w:ascii="Arial" w:cs="Arial" w:eastAsia="Arial" w:hAnsi="Arial"/>
                <w:color w:val="1E293B"/>
                <w:sz w:val="19"/>
                <w:szCs w:val="19"/>
              </w:rPr>
              <w:t xml:space="preserve">Add CSRF protection to all state-changing endpoints</w:t>
            </w:r>
          </w:p>
          <w:p>
            <w:pPr>
              <w:pStyle w:val="ListParagraph"/>
              <w:numPr>
                <w:ilvl w:val="0"/>
                <w:numId w:val="2"/>
              </w:numPr>
              <w:spacing w:before="60" w:after="60"/>
            </w:pPr>
            <w:r>
              <w:rPr>
                <w:rFonts w:ascii="Arial" w:cs="Arial" w:eastAsia="Arial" w:hAnsi="Arial"/>
                <w:color w:val="1E293B"/>
                <w:sz w:val="19"/>
                <w:szCs w:val="19"/>
              </w:rPr>
              <w:t xml:space="preserve">Set session cookies: secure, httpOnly, sameSite=strict, 8-hour expiry</w:t>
            </w:r>
          </w:p>
          <w:p>
            <w:pPr>
              <w:pStyle w:val="ListParagraph"/>
              <w:numPr>
                <w:ilvl w:val="0"/>
                <w:numId w:val="2"/>
              </w:numPr>
              <w:spacing w:before="60" w:after="60"/>
            </w:pPr>
            <w:r>
              <w:rPr>
                <w:rFonts w:ascii="Arial" w:cs="Arial" w:eastAsia="Arial" w:hAnsi="Arial"/>
                <w:color w:val="1E293B"/>
                <w:sz w:val="19"/>
                <w:szCs w:val="19"/>
              </w:rPr>
              <w:t xml:space="preserve">Expand rate limiting from purchase/vote endpoints to all write endpoints globally</w:t>
            </w:r>
          </w:p>
          <w:p>
            <w:pPr>
              <w:pStyle w:val="ListParagraph"/>
              <w:numPr>
                <w:ilvl w:val="0"/>
                <w:numId w:val="2"/>
              </w:numPr>
              <w:spacing w:before="60" w:after="60"/>
            </w:pPr>
            <w:r>
              <w:rPr>
                <w:rFonts w:ascii="Arial" w:cs="Arial" w:eastAsia="Arial" w:hAnsi="Arial"/>
                <w:color w:val="1E293B"/>
                <w:sz w:val="19"/>
                <w:szCs w:val="19"/>
              </w:rPr>
              <w:t xml:space="preserve">Verify Stripe webhook signature on every POST /api/webhooks/stripe call</w:t>
            </w:r>
          </w:p>
          <w:p>
            <w:pPr>
              <w:spacing w:before="100" w:after="0"/>
            </w:pPr>
            <w:r>
              <w:rPr>
                <w:rFonts w:ascii="Arial" w:cs="Arial" w:eastAsia="Arial" w:hAnsi="Arial"/>
                <w:i/>
                <w:iCs/>
                <w:color w:val="94A3B8"/>
                <w:sz w:val="17"/>
                <w:szCs w:val="17"/>
              </w:rPr>
              <w:t xml:space="preserve">→ npm install helmet — literally one line: app.use(helmet())</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C3AED" w:sz="14"/>
              <w:bottom w:val="single" w:color="CBD5E0" w:sz="1"/>
              <w:right w:val="none" w:color="FFFFFF" w:sz="0"/>
            </w:tcBorders>
            <w:shd w:fill="F5F3FF" w:val="clear"/>
            <w:tcMar>
              <w:top w:type="dxa" w:w="120"/>
              <w:left w:type="dxa" w:w="200"/>
              <w:bottom w:type="dxa" w:w="120"/>
              <w:right w:type="dxa" w:w="200"/>
            </w:tcMar>
          </w:tcPr>
          <w:p>
            <w:pPr>
              <w:spacing w:before="0" w:after="0"/>
            </w:pPr>
            <w:r>
              <w:rPr>
                <w:rFonts w:ascii="Arial" w:cs="Arial" w:eastAsia="Arial" w:hAnsi="Arial"/>
                <w:b/>
                <w:bCs/>
                <w:color w:val="7C3AED"/>
                <w:sz w:val="20"/>
                <w:szCs w:val="20"/>
              </w:rPr>
              <w:t xml:space="preserve">Monitoring &amp; Error Tracking</w:t>
            </w:r>
          </w:p>
        </w:tc>
      </w:tr>
      <w:tr>
        <w:tc>
          <w:tcPr>
            <w:tcW w:type="dxa" w:w="9360"/>
            <w:tcBorders>
              <w:top w:val="none" w:color="FFFFFF" w:sz="0"/>
              <w:left w:val="single" w:color="7C3AED" w:sz="14"/>
              <w:bottom w:val="single" w:color="CBD5E0" w:sz="1"/>
              <w:right w:val="none" w:color="FFFFFF" w:sz="0"/>
            </w:tcBorders>
            <w:shd w:fill="FFFFFF" w:val="clear"/>
            <w:tcMar>
              <w:top w:type="dxa" w:w="100"/>
              <w:left w:type="dxa" w:w="200"/>
              <w:bottom w:type="dxa" w:w="100"/>
              <w:right w:type="dxa" w:w="200"/>
            </w:tcMar>
          </w:tcPr>
          <w:p>
            <w:pPr>
              <w:pStyle w:val="ListParagraph"/>
              <w:numPr>
                <w:ilvl w:val="0"/>
                <w:numId w:val="2"/>
              </w:numPr>
              <w:spacing w:before="60" w:after="60"/>
            </w:pPr>
            <w:r>
              <w:rPr>
                <w:rFonts w:ascii="Arial" w:cs="Arial" w:eastAsia="Arial" w:hAnsi="Arial"/>
                <w:color w:val="1E293B"/>
                <w:sz w:val="19"/>
                <w:szCs w:val="19"/>
              </w:rPr>
              <w:t xml:space="preserve">Add Sentry to both frontend (React) and backend (Express) for error capture</w:t>
            </w:r>
          </w:p>
          <w:p>
            <w:pPr>
              <w:pStyle w:val="ListParagraph"/>
              <w:numPr>
                <w:ilvl w:val="0"/>
                <w:numId w:val="2"/>
              </w:numPr>
              <w:spacing w:before="60" w:after="60"/>
            </w:pPr>
            <w:r>
              <w:rPr>
                <w:rFonts w:ascii="Arial" w:cs="Arial" w:eastAsia="Arial" w:hAnsi="Arial"/>
                <w:color w:val="1E293B"/>
                <w:sz w:val="19"/>
                <w:szCs w:val="19"/>
              </w:rPr>
              <w:t xml:space="preserve">Add uptime monitoring — Better Uptime or Datadog synthetics</w:t>
            </w:r>
          </w:p>
          <w:p>
            <w:pPr>
              <w:pStyle w:val="ListParagraph"/>
              <w:numPr>
                <w:ilvl w:val="0"/>
                <w:numId w:val="2"/>
              </w:numPr>
              <w:spacing w:before="60" w:after="60"/>
            </w:pPr>
            <w:r>
              <w:rPr>
                <w:rFonts w:ascii="Arial" w:cs="Arial" w:eastAsia="Arial" w:hAnsi="Arial"/>
                <w:color w:val="1E293B"/>
                <w:sz w:val="19"/>
                <w:szCs w:val="19"/>
              </w:rPr>
              <w:t xml:space="preserve">Set up alerts for: failed purchases, failed blockchain mints, Stripe webhook failures, Escrow balance anomalies</w:t>
            </w:r>
          </w:p>
          <w:p>
            <w:pPr>
              <w:pStyle w:val="ListParagraph"/>
              <w:numPr>
                <w:ilvl w:val="0"/>
                <w:numId w:val="2"/>
              </w:numPr>
              <w:spacing w:before="60" w:after="60"/>
            </w:pPr>
            <w:r>
              <w:rPr>
                <w:rFonts w:ascii="Arial" w:cs="Arial" w:eastAsia="Arial" w:hAnsi="Arial"/>
                <w:color w:val="1E293B"/>
                <w:sz w:val="19"/>
                <w:szCs w:val="19"/>
              </w:rPr>
              <w:t xml:space="preserve">Add structured logging (Winston or Pino) — replace console.log across the backend</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C3AED" w:sz="14"/>
              <w:bottom w:val="single" w:color="CBD5E0" w:sz="1"/>
              <w:right w:val="none" w:color="FFFFFF" w:sz="0"/>
            </w:tcBorders>
            <w:shd w:fill="F5F3FF" w:val="clear"/>
            <w:tcMar>
              <w:top w:type="dxa" w:w="120"/>
              <w:left w:type="dxa" w:w="200"/>
              <w:bottom w:type="dxa" w:w="120"/>
              <w:right w:type="dxa" w:w="200"/>
            </w:tcMar>
          </w:tcPr>
          <w:p>
            <w:pPr>
              <w:spacing w:before="0" w:after="0"/>
            </w:pPr>
            <w:r>
              <w:rPr>
                <w:rFonts w:ascii="Arial" w:cs="Arial" w:eastAsia="Arial" w:hAnsi="Arial"/>
                <w:b/>
                <w:bCs/>
                <w:color w:val="7C3AED"/>
                <w:sz w:val="20"/>
                <w:szCs w:val="20"/>
              </w:rPr>
              <w:t xml:space="preserve">File Storage Security</w:t>
            </w:r>
          </w:p>
        </w:tc>
      </w:tr>
      <w:tr>
        <w:tc>
          <w:tcPr>
            <w:tcW w:type="dxa" w:w="9360"/>
            <w:tcBorders>
              <w:top w:val="none" w:color="FFFFFF" w:sz="0"/>
              <w:left w:val="single" w:color="7C3AED" w:sz="14"/>
              <w:bottom w:val="single" w:color="CBD5E0" w:sz="1"/>
              <w:right w:val="none" w:color="FFFFFF" w:sz="0"/>
            </w:tcBorders>
            <w:shd w:fill="FFFFFF" w:val="clear"/>
            <w:tcMar>
              <w:top w:type="dxa" w:w="100"/>
              <w:left w:type="dxa" w:w="200"/>
              <w:bottom w:type="dxa" w:w="100"/>
              <w:right w:type="dxa" w:w="200"/>
            </w:tcMar>
          </w:tcPr>
          <w:p>
            <w:pPr>
              <w:pStyle w:val="ListParagraph"/>
              <w:numPr>
                <w:ilvl w:val="0"/>
                <w:numId w:val="2"/>
              </w:numPr>
              <w:spacing w:before="60" w:after="60"/>
            </w:pPr>
            <w:r>
              <w:rPr>
                <w:rFonts w:ascii="Arial" w:cs="Arial" w:eastAsia="Arial" w:hAnsi="Arial"/>
                <w:color w:val="1E293B"/>
                <w:sz w:val="19"/>
                <w:szCs w:val="19"/>
              </w:rPr>
              <w:t xml:space="preserve">Enable GCS object-level audit logging for all uploads</w:t>
            </w:r>
          </w:p>
          <w:p>
            <w:pPr>
              <w:pStyle w:val="ListParagraph"/>
              <w:numPr>
                <w:ilvl w:val="0"/>
                <w:numId w:val="2"/>
              </w:numPr>
              <w:spacing w:before="60" w:after="60"/>
            </w:pPr>
            <w:r>
              <w:rPr>
                <w:rFonts w:ascii="Arial" w:cs="Arial" w:eastAsia="Arial" w:hAnsi="Arial"/>
                <w:color w:val="1E293B"/>
                <w:sz w:val="19"/>
                <w:szCs w:val="19"/>
              </w:rPr>
              <w:t xml:space="preserve">KYC documents are sensitive PII — encrypt with customer-managed keys (CMEK)</w:t>
            </w:r>
          </w:p>
          <w:p>
            <w:pPr>
              <w:pStyle w:val="ListParagraph"/>
              <w:numPr>
                <w:ilvl w:val="0"/>
                <w:numId w:val="2"/>
              </w:numPr>
              <w:spacing w:before="60" w:after="60"/>
            </w:pPr>
            <w:r>
              <w:rPr>
                <w:rFonts w:ascii="Arial" w:cs="Arial" w:eastAsia="Arial" w:hAnsi="Arial"/>
                <w:color w:val="1E293B"/>
                <w:sz w:val="19"/>
                <w:szCs w:val="19"/>
              </w:rPr>
              <w:t xml:space="preserve">Set signed URL expiry to 15 minutes maximum for private document access</w:t>
            </w:r>
          </w:p>
          <w:p>
            <w:pPr>
              <w:pStyle w:val="ListParagraph"/>
              <w:numPr>
                <w:ilvl w:val="0"/>
                <w:numId w:val="2"/>
              </w:numPr>
              <w:spacing w:before="60" w:after="60"/>
            </w:pPr>
            <w:r>
              <w:rPr>
                <w:rFonts w:ascii="Arial" w:cs="Arial" w:eastAsia="Arial" w:hAnsi="Arial"/>
                <w:color w:val="1E293B"/>
                <w:sz w:val="19"/>
                <w:szCs w:val="19"/>
              </w:rPr>
              <w:t xml:space="preserve">Ensure PRIVATE_OBJECT_DIR is never publicly accessible — test this explicitly</w:t>
            </w:r>
          </w:p>
        </w:tc>
      </w:tr>
    </w:tbl>
    <w:p>
      <w:pPr>
        <w:spacing w:before="120" w:after="0"/>
      </w:pPr>
      <w:r>
        <w:t xml:space="preserve"/>
      </w:r>
    </w:p>
    <w:p>
      <w:pPr>
        <w:spacing w:before="200" w:after="0"/>
      </w:pPr>
      <w:r>
        <w:t xml:space="preserve"/>
      </w:r>
    </w:p>
    <w:p>
      <w:pPr>
        <w:pStyle w:val="Heading1"/>
        <w:pBdr>
          <w:bottom w:val="single" w:color="0D1F3C" w:sz="10" w:space="6"/>
        </w:pBdr>
        <w:spacing w:before="560" w:after="0"/>
      </w:pPr>
      <w:r>
        <w:rPr>
          <w:rFonts w:ascii="Arial" w:cs="Arial" w:eastAsia="Arial" w:hAnsi="Arial"/>
          <w:b/>
          <w:bCs/>
          <w:color w:val="0D1F3C"/>
          <w:sz w:val="34"/>
          <w:szCs w:val="34"/>
        </w:rPr>
        <w:t xml:space="preserve">Phase 2 — Pre-Launch Build</w:t>
      </w:r>
    </w:p>
    <w:p>
      <w:pPr>
        <w:spacing w:before="80" w:after="80"/>
      </w:pPr>
      <w:r>
        <w:rPr>
          <w:rFonts w:ascii="Arial" w:cs="Arial" w:eastAsia="Arial" w:hAnsi="Arial"/>
          <w:i/>
          <w:iCs/>
          <w:color w:val="475569"/>
          <w:sz w:val="19"/>
          <w:szCs w:val="19"/>
        </w:rPr>
        <w:t xml:space="preserve">This is the big one. Everything here is either legally required before you take money, or directly protects investors. Budget 2–4 months. Most items require external professionals.</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200"/>
              <w:left w:type="dxa" w:w="280"/>
              <w:bottom w:type="dxa" w:w="200"/>
              <w:right w:type="dxa" w:w="280"/>
            </w:tcMar>
          </w:tcPr>
          <w:p>
            <w:pPr>
              <w:spacing w:before="0" w:after="40"/>
            </w:pPr>
            <w:r>
              <w:rPr>
                <w:rFonts w:ascii="Arial" w:cs="Arial" w:eastAsia="Arial" w:hAnsi="Arial"/>
                <w:b/>
                <w:bCs/>
                <w:color w:val="FFFFFF"/>
                <w:sz w:val="16"/>
                <w:szCs w:val="16"/>
                <w:shd w:fill="1D4ED8" w:val="clear"/>
              </w:rPr>
              <w:t xml:space="preserve">  PRE-LAUNCH  </w:t>
            </w:r>
            <w:r>
              <w:rPr>
                <w:rFonts w:ascii="Arial" w:cs="Arial" w:eastAsia="Arial" w:hAnsi="Arial"/>
                <w:b/>
                <w:bCs/>
                <w:color w:val="1D4ED8"/>
                <w:sz w:val="15"/>
                <w:szCs w:val="15"/>
              </w:rPr>
              <w:t xml:space="preserve">   BEFORE GO-LIVE</w:t>
            </w:r>
          </w:p>
          <w:p>
            <w:pPr>
              <w:spacing w:before="0" w:after="0"/>
            </w:pPr>
            <w:r>
              <w:rPr>
                <w:rFonts w:ascii="Arial" w:cs="Arial" w:eastAsia="Arial" w:hAnsi="Arial"/>
                <w:color w:val="1E293B"/>
                <w:sz w:val="20"/>
                <w:szCs w:val="20"/>
              </w:rPr>
              <w:t xml:space="preserve">Legal, compliance, and investor-facing infrastructure. Requires external counsel. Start this early.</w:t>
            </w:r>
          </w:p>
        </w:tc>
      </w:tr>
    </w:tbl>
    <w:p>
      <w:pPr>
        <w:spacing w:before="160" w:after="0"/>
      </w:pPr>
      <w:r>
        <w:t xml:space="preserve"/>
      </w:r>
    </w:p>
    <w:p>
      <w:pPr>
        <w:pStyle w:val="Heading2"/>
        <w:spacing w:before="360" w:after="100"/>
      </w:pPr>
      <w:r>
        <w:rPr>
          <w:rFonts w:ascii="Arial" w:cs="Arial" w:eastAsia="Arial" w:hAnsi="Arial"/>
          <w:b/>
          <w:bCs/>
          <w:color w:val="0D1F3C"/>
          <w:sz w:val="24"/>
          <w:szCs w:val="24"/>
        </w:rPr>
        <w:t xml:space="preserve">2A · Legal &amp; Securities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D4ED8" w:sz="14"/>
              <w:bottom w:val="single" w:color="CBD5E0" w:sz="1"/>
              <w:right w:val="none" w:color="FFFFFF" w:sz="0"/>
            </w:tcBorders>
            <w:shd w:fill="EFF6FF" w:val="clear"/>
            <w:tcMar>
              <w:top w:type="dxa" w:w="120"/>
              <w:left w:type="dxa" w:w="200"/>
              <w:bottom w:type="dxa" w:w="120"/>
              <w:right w:type="dxa" w:w="200"/>
            </w:tcMar>
          </w:tcPr>
          <w:p>
            <w:pPr>
              <w:spacing w:before="0" w:after="0"/>
            </w:pPr>
            <w:r>
              <w:rPr>
                <w:rFonts w:ascii="Arial" w:cs="Arial" w:eastAsia="Arial" w:hAnsi="Arial"/>
                <w:b/>
                <w:bCs/>
                <w:color w:val="1D4ED8"/>
                <w:sz w:val="20"/>
                <w:szCs w:val="20"/>
              </w:rPr>
              <w:t xml:space="preserve">Engage Securities Counsel</w:t>
            </w:r>
          </w:p>
        </w:tc>
      </w:tr>
      <w:tr>
        <w:tc>
          <w:tcPr>
            <w:tcW w:type="dxa" w:w="9360"/>
            <w:tcBorders>
              <w:top w:val="none" w:color="FFFFFF" w:sz="0"/>
              <w:left w:val="single" w:color="1D4ED8" w:sz="14"/>
              <w:bottom w:val="single" w:color="CBD5E0" w:sz="1"/>
              <w:right w:val="none" w:color="FFFFFF" w:sz="0"/>
            </w:tcBorders>
            <w:shd w:fill="FFFFFF" w:val="clear"/>
            <w:tcMar>
              <w:top w:type="dxa" w:w="100"/>
              <w:left w:type="dxa" w:w="200"/>
              <w:bottom w:type="dxa" w:w="100"/>
              <w:right w:type="dxa" w:w="200"/>
            </w:tcMar>
          </w:tcPr>
          <w:p>
            <w:pPr>
              <w:pStyle w:val="ListParagraph"/>
              <w:numPr>
                <w:ilvl w:val="0"/>
                <w:numId w:val="2"/>
              </w:numPr>
              <w:spacing w:before="60" w:after="60"/>
            </w:pPr>
            <w:r>
              <w:rPr>
                <w:rFonts w:ascii="Arial" w:cs="Arial" w:eastAsia="Arial" w:hAnsi="Arial"/>
                <w:color w:val="1E293B"/>
                <w:sz w:val="19"/>
                <w:szCs w:val="19"/>
              </w:rPr>
              <w:t xml:space="preserve">This is the single most important step — do it first, before building anything in this section</w:t>
            </w:r>
            <w:r>
              <w:rPr>
                <w:rFonts w:ascii="Arial" w:cs="Arial" w:eastAsia="Arial" w:hAnsi="Arial"/>
                <w:b/>
                <w:bCs/>
                <w:color w:val="1D4ED8"/>
                <w:sz w:val="17"/>
                <w:szCs w:val="17"/>
              </w:rPr>
              <w:t xml:space="preserve">  [EXTERNAL]</w:t>
            </w:r>
          </w:p>
          <w:p>
            <w:pPr>
              <w:pStyle w:val="ListParagraph"/>
              <w:numPr>
                <w:ilvl w:val="0"/>
                <w:numId w:val="2"/>
              </w:numPr>
              <w:spacing w:before="60" w:after="60"/>
            </w:pPr>
            <w:r>
              <w:rPr>
                <w:rFonts w:ascii="Arial" w:cs="Arial" w:eastAsia="Arial" w:hAnsi="Arial"/>
                <w:color w:val="1E293B"/>
                <w:sz w:val="19"/>
                <w:szCs w:val="19"/>
              </w:rPr>
              <w:t xml:space="preserve">Counsel will determine which exemption applies: Reg CF (up to $5M/year), Reg D 506(b) (accredited + up to 35 non-accredited), Reg D 506(c) (accredited only, general solicitation allowed), or Reg A+ (up to $75M/year, heavier filing burden)</w:t>
            </w:r>
          </w:p>
          <w:p>
            <w:pPr>
              <w:pStyle w:val="ListParagraph"/>
              <w:numPr>
                <w:ilvl w:val="0"/>
                <w:numId w:val="2"/>
              </w:numPr>
              <w:spacing w:before="60" w:after="60"/>
            </w:pPr>
            <w:r>
              <w:rPr>
                <w:rFonts w:ascii="Arial" w:cs="Arial" w:eastAsia="Arial" w:hAnsi="Arial"/>
                <w:color w:val="1E293B"/>
                <w:sz w:val="19"/>
                <w:szCs w:val="19"/>
              </w:rPr>
              <w:t xml:space="preserve">Budget $10,000–$40,000 for initial securities counsel engagement</w:t>
            </w:r>
          </w:p>
          <w:p>
            <w:pPr>
              <w:pStyle w:val="ListParagraph"/>
              <w:numPr>
                <w:ilvl w:val="0"/>
                <w:numId w:val="2"/>
              </w:numPr>
              <w:spacing w:before="60" w:after="60"/>
            </w:pPr>
            <w:r>
              <w:rPr>
                <w:rFonts w:ascii="Arial" w:cs="Arial" w:eastAsia="Arial" w:hAnsi="Arial"/>
                <w:color w:val="1E293B"/>
                <w:sz w:val="19"/>
                <w:szCs w:val="19"/>
              </w:rPr>
              <w:t xml:space="preserve">Recommendation: Reg D 506(b) to start (easiest, no SEC filing required), graduate to Reg CF once portal infrastructure is ready</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D4ED8" w:sz="14"/>
              <w:bottom w:val="single" w:color="CBD5E0" w:sz="1"/>
              <w:right w:val="none" w:color="FFFFFF" w:sz="0"/>
            </w:tcBorders>
            <w:shd w:fill="EFF6FF" w:val="clear"/>
            <w:tcMar>
              <w:top w:type="dxa" w:w="120"/>
              <w:left w:type="dxa" w:w="200"/>
              <w:bottom w:type="dxa" w:w="120"/>
              <w:right w:type="dxa" w:w="200"/>
            </w:tcMar>
          </w:tcPr>
          <w:p>
            <w:pPr>
              <w:spacing w:before="0" w:after="0"/>
            </w:pPr>
            <w:r>
              <w:rPr>
                <w:rFonts w:ascii="Arial" w:cs="Arial" w:eastAsia="Arial" w:hAnsi="Arial"/>
                <w:b/>
                <w:bCs/>
                <w:color w:val="1D4ED8"/>
                <w:sz w:val="20"/>
                <w:szCs w:val="20"/>
              </w:rPr>
              <w:t xml:space="preserve">Determine Funding Portal Strategy</w:t>
            </w:r>
          </w:p>
        </w:tc>
      </w:tr>
      <w:tr>
        <w:tc>
          <w:tcPr>
            <w:tcW w:type="dxa" w:w="9360"/>
            <w:tcBorders>
              <w:top w:val="none" w:color="FFFFFF" w:sz="0"/>
              <w:left w:val="single" w:color="1D4ED8" w:sz="14"/>
              <w:bottom w:val="single" w:color="CBD5E0" w:sz="1"/>
              <w:right w:val="none" w:color="FFFFFF" w:sz="0"/>
            </w:tcBorders>
            <w:shd w:fill="FFFFFF" w:val="clear"/>
            <w:tcMar>
              <w:top w:type="dxa" w:w="100"/>
              <w:left w:type="dxa" w:w="200"/>
              <w:bottom w:type="dxa" w:w="100"/>
              <w:right w:type="dxa" w:w="200"/>
            </w:tcMar>
          </w:tcPr>
          <w:p>
            <w:pPr>
              <w:pStyle w:val="ListParagraph"/>
              <w:numPr>
                <w:ilvl w:val="0"/>
                <w:numId w:val="2"/>
              </w:numPr>
              <w:spacing w:before="60" w:after="60"/>
            </w:pPr>
            <w:r>
              <w:rPr>
                <w:rFonts w:ascii="Arial" w:cs="Arial" w:eastAsia="Arial" w:hAnsi="Arial"/>
                <w:color w:val="1E293B"/>
                <w:sz w:val="19"/>
                <w:szCs w:val="19"/>
              </w:rPr>
              <w:t xml:space="preserve">Reg CF requires operating through a FINRA-registered broker-dealer or funding portal — you cannot accept Reg CF investments directly via your own API</w:t>
            </w:r>
            <w:r>
              <w:rPr>
                <w:rFonts w:ascii="Arial" w:cs="Arial" w:eastAsia="Arial" w:hAnsi="Arial"/>
                <w:b/>
                <w:bCs/>
                <w:color w:val="B91C1C"/>
                <w:sz w:val="17"/>
                <w:szCs w:val="17"/>
              </w:rPr>
              <w:t xml:space="preserve">  [LEGAL REQUIREMENT]</w:t>
            </w:r>
          </w:p>
          <w:p>
            <w:pPr>
              <w:pStyle w:val="ListParagraph"/>
              <w:numPr>
                <w:ilvl w:val="0"/>
                <w:numId w:val="2"/>
              </w:numPr>
              <w:spacing w:before="60" w:after="60"/>
            </w:pPr>
            <w:r>
              <w:rPr>
                <w:rFonts w:ascii="Arial" w:cs="Arial" w:eastAsia="Arial" w:hAnsi="Arial"/>
                <w:color w:val="1E293B"/>
                <w:sz w:val="19"/>
                <w:szCs w:val="19"/>
              </w:rPr>
              <w:t xml:space="preserve">Option A: Register RevitaHub as its own SEC/FINRA-registered funding portal (12–18 months, $50K–$150K)</w:t>
            </w:r>
          </w:p>
          <w:p>
            <w:pPr>
              <w:pStyle w:val="ListParagraph"/>
              <w:numPr>
                <w:ilvl w:val="0"/>
                <w:numId w:val="2"/>
              </w:numPr>
              <w:spacing w:before="60" w:after="60"/>
            </w:pPr>
            <w:r>
              <w:rPr>
                <w:rFonts w:ascii="Arial" w:cs="Arial" w:eastAsia="Arial" w:hAnsi="Arial"/>
                <w:color w:val="1E293B"/>
                <w:sz w:val="19"/>
                <w:szCs w:val="19"/>
              </w:rPr>
              <w:t xml:space="preserve">Option B: White-label through Republic, Wefunder, or StartEngine — faster to market, revenue share applies</w:t>
            </w:r>
          </w:p>
          <w:p>
            <w:pPr>
              <w:pStyle w:val="ListParagraph"/>
              <w:numPr>
                <w:ilvl w:val="0"/>
                <w:numId w:val="2"/>
              </w:numPr>
              <w:spacing w:before="60" w:after="60"/>
            </w:pPr>
            <w:r>
              <w:rPr>
                <w:rFonts w:ascii="Arial" w:cs="Arial" w:eastAsia="Arial" w:hAnsi="Arial"/>
                <w:color w:val="1E293B"/>
                <w:sz w:val="19"/>
                <w:szCs w:val="19"/>
              </w:rPr>
              <w:t xml:space="preserve">Option C: Stay Reg D only (no portal required) with accredited investors until portal registration completes</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D4ED8" w:sz="14"/>
              <w:bottom w:val="single" w:color="CBD5E0" w:sz="1"/>
              <w:right w:val="none" w:color="FFFFFF" w:sz="0"/>
            </w:tcBorders>
            <w:shd w:fill="EFF6FF" w:val="clear"/>
            <w:tcMar>
              <w:top w:type="dxa" w:w="120"/>
              <w:left w:type="dxa" w:w="200"/>
              <w:bottom w:type="dxa" w:w="120"/>
              <w:right w:type="dxa" w:w="200"/>
            </w:tcMar>
          </w:tcPr>
          <w:p>
            <w:pPr>
              <w:spacing w:before="0" w:after="0"/>
            </w:pPr>
            <w:r>
              <w:rPr>
                <w:rFonts w:ascii="Arial" w:cs="Arial" w:eastAsia="Arial" w:hAnsi="Arial"/>
                <w:b/>
                <w:bCs/>
                <w:color w:val="1D4ED8"/>
                <w:sz w:val="20"/>
                <w:szCs w:val="20"/>
              </w:rPr>
              <w:t xml:space="preserve">File Required Legal Documents</w:t>
            </w:r>
          </w:p>
        </w:tc>
      </w:tr>
      <w:tr>
        <w:tc>
          <w:tcPr>
            <w:tcW w:type="dxa" w:w="9360"/>
            <w:tcBorders>
              <w:top w:val="none" w:color="FFFFFF" w:sz="0"/>
              <w:left w:val="single" w:color="1D4ED8" w:sz="14"/>
              <w:bottom w:val="single" w:color="CBD5E0" w:sz="1"/>
              <w:right w:val="none" w:color="FFFFFF" w:sz="0"/>
            </w:tcBorders>
            <w:shd w:fill="FFFFFF" w:val="clear"/>
            <w:tcMar>
              <w:top w:type="dxa" w:w="100"/>
              <w:left w:type="dxa" w:w="200"/>
              <w:bottom w:type="dxa" w:w="100"/>
              <w:right w:type="dxa" w:w="200"/>
            </w:tcMar>
          </w:tcPr>
          <w:p>
            <w:pPr>
              <w:pStyle w:val="ListParagraph"/>
              <w:numPr>
                <w:ilvl w:val="0"/>
                <w:numId w:val="2"/>
              </w:numPr>
              <w:spacing w:before="60" w:after="60"/>
            </w:pPr>
            <w:r>
              <w:rPr>
                <w:rFonts w:ascii="Arial" w:cs="Arial" w:eastAsia="Arial" w:hAnsi="Arial"/>
                <w:color w:val="1E293B"/>
                <w:sz w:val="19"/>
                <w:szCs w:val="19"/>
              </w:rPr>
              <w:t xml:space="preserve">Terms of Service — must include: investment risk disclosures, non-guaranteed returns, investor qualifications, arbitration clause</w:t>
            </w:r>
          </w:p>
          <w:p>
            <w:pPr>
              <w:pStyle w:val="ListParagraph"/>
              <w:numPr>
                <w:ilvl w:val="0"/>
                <w:numId w:val="2"/>
              </w:numPr>
              <w:spacing w:before="60" w:after="60"/>
            </w:pPr>
            <w:r>
              <w:rPr>
                <w:rFonts w:ascii="Arial" w:cs="Arial" w:eastAsia="Arial" w:hAnsi="Arial"/>
                <w:color w:val="1E293B"/>
                <w:sz w:val="19"/>
                <w:szCs w:val="19"/>
              </w:rPr>
              <w:t xml:space="preserve">Privacy Policy — must cover CCPA (California), and eventually GDPR (EU phase). Required given you collect owner PII</w:t>
            </w:r>
          </w:p>
          <w:p>
            <w:pPr>
              <w:pStyle w:val="ListParagraph"/>
              <w:numPr>
                <w:ilvl w:val="0"/>
                <w:numId w:val="2"/>
              </w:numPr>
              <w:spacing w:before="60" w:after="60"/>
            </w:pPr>
            <w:r>
              <w:rPr>
                <w:rFonts w:ascii="Arial" w:cs="Arial" w:eastAsia="Arial" w:hAnsi="Arial"/>
                <w:color w:val="1E293B"/>
                <w:sz w:val="19"/>
                <w:szCs w:val="19"/>
              </w:rPr>
              <w:t xml:space="preserve">Risk Disclosure Statement — standalone page, must be acknowledged by investor before first purchase</w:t>
            </w:r>
          </w:p>
          <w:p>
            <w:pPr>
              <w:pStyle w:val="ListParagraph"/>
              <w:numPr>
                <w:ilvl w:val="0"/>
                <w:numId w:val="2"/>
              </w:numPr>
              <w:spacing w:before="60" w:after="60"/>
            </w:pPr>
            <w:r>
              <w:rPr>
                <w:rFonts w:ascii="Arial" w:cs="Arial" w:eastAsia="Arial" w:hAnsi="Arial"/>
                <w:color w:val="1E293B"/>
                <w:sz w:val="19"/>
                <w:szCs w:val="19"/>
              </w:rPr>
              <w:t xml:space="preserve">Investment Agreement / Subscription Agreement — the legal contract between investor and property entity</w:t>
            </w:r>
          </w:p>
          <w:p>
            <w:pPr>
              <w:pStyle w:val="ListParagraph"/>
              <w:numPr>
                <w:ilvl w:val="0"/>
                <w:numId w:val="2"/>
              </w:numPr>
              <w:spacing w:before="60" w:after="60"/>
            </w:pPr>
            <w:r>
              <w:rPr>
                <w:rFonts w:ascii="Arial" w:cs="Arial" w:eastAsia="Arial" w:hAnsi="Arial"/>
                <w:color w:val="1E293B"/>
                <w:sz w:val="19"/>
                <w:szCs w:val="19"/>
              </w:rPr>
              <w:t xml:space="preserve">Reg CF Form C or Reg D Form D — file with SEC as required by your chosen exemption</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D4ED8" w:sz="14"/>
              <w:bottom w:val="single" w:color="CBD5E0" w:sz="1"/>
              <w:right w:val="none" w:color="FFFFFF" w:sz="0"/>
            </w:tcBorders>
            <w:shd w:fill="EFF6FF" w:val="clear"/>
            <w:tcMar>
              <w:top w:type="dxa" w:w="120"/>
              <w:left w:type="dxa" w:w="200"/>
              <w:bottom w:type="dxa" w:w="120"/>
              <w:right w:type="dxa" w:w="200"/>
            </w:tcMar>
          </w:tcPr>
          <w:p>
            <w:pPr>
              <w:spacing w:before="0" w:after="0"/>
            </w:pPr>
            <w:r>
              <w:rPr>
                <w:rFonts w:ascii="Arial" w:cs="Arial" w:eastAsia="Arial" w:hAnsi="Arial"/>
                <w:b/>
                <w:bCs/>
                <w:color w:val="1D4ED8"/>
                <w:sz w:val="20"/>
                <w:szCs w:val="20"/>
              </w:rPr>
              <w:t xml:space="preserve">State Blue Sky Compliance</w:t>
            </w:r>
          </w:p>
        </w:tc>
      </w:tr>
      <w:tr>
        <w:tc>
          <w:tcPr>
            <w:tcW w:type="dxa" w:w="9360"/>
            <w:tcBorders>
              <w:top w:val="none" w:color="FFFFFF" w:sz="0"/>
              <w:left w:val="single" w:color="1D4ED8" w:sz="14"/>
              <w:bottom w:val="single" w:color="CBD5E0" w:sz="1"/>
              <w:right w:val="none" w:color="FFFFFF" w:sz="0"/>
            </w:tcBorders>
            <w:shd w:fill="FFFFFF" w:val="clear"/>
            <w:tcMar>
              <w:top w:type="dxa" w:w="100"/>
              <w:left w:type="dxa" w:w="200"/>
              <w:bottom w:type="dxa" w:w="100"/>
              <w:right w:type="dxa" w:w="200"/>
            </w:tcMar>
          </w:tcPr>
          <w:p>
            <w:pPr>
              <w:pStyle w:val="ListParagraph"/>
              <w:numPr>
                <w:ilvl w:val="0"/>
                <w:numId w:val="2"/>
              </w:numPr>
              <w:spacing w:before="60" w:after="60"/>
            </w:pPr>
            <w:r>
              <w:rPr>
                <w:rFonts w:ascii="Arial" w:cs="Arial" w:eastAsia="Arial" w:hAnsi="Arial"/>
                <w:color w:val="1E293B"/>
                <w:sz w:val="19"/>
                <w:szCs w:val="19"/>
              </w:rPr>
              <w:t xml:space="preserve">File notice filings in each state where you offer securities — requirements vary by state</w:t>
            </w:r>
          </w:p>
          <w:p>
            <w:pPr>
              <w:pStyle w:val="ListParagraph"/>
              <w:numPr>
                <w:ilvl w:val="0"/>
                <w:numId w:val="2"/>
              </w:numPr>
              <w:spacing w:before="60" w:after="60"/>
            </w:pPr>
            <w:r>
              <w:rPr>
                <w:rFonts w:ascii="Arial" w:cs="Arial" w:eastAsia="Arial" w:hAnsi="Arial"/>
                <w:color w:val="1E293B"/>
                <w:sz w:val="19"/>
                <w:szCs w:val="19"/>
              </w:rPr>
              <w:t xml:space="preserve">StateComplianceTable.tsx exists in the frontend but needs backend enforcement — block purchases from non-compliant states at the API level, not just the UI</w:t>
            </w:r>
          </w:p>
          <w:p>
            <w:pPr>
              <w:pStyle w:val="ListParagraph"/>
              <w:numPr>
                <w:ilvl w:val="0"/>
                <w:numId w:val="2"/>
              </w:numPr>
              <w:spacing w:before="60" w:after="60"/>
            </w:pPr>
            <w:r>
              <w:rPr>
                <w:rFonts w:ascii="Arial" w:cs="Arial" w:eastAsia="Arial" w:hAnsi="Arial"/>
                <w:color w:val="1E293B"/>
                <w:sz w:val="19"/>
                <w:szCs w:val="19"/>
              </w:rPr>
              <w:t xml:space="preserve">Build a backend state blocklist that is updatable without a code deploy</w:t>
            </w:r>
          </w:p>
          <w:p>
            <w:pPr>
              <w:pStyle w:val="ListParagraph"/>
              <w:numPr>
                <w:ilvl w:val="0"/>
                <w:numId w:val="2"/>
              </w:numPr>
              <w:spacing w:before="60" w:after="60"/>
            </w:pPr>
            <w:r>
              <w:rPr>
                <w:rFonts w:ascii="Arial" w:cs="Arial" w:eastAsia="Arial" w:hAnsi="Arial"/>
                <w:color w:val="1E293B"/>
                <w:sz w:val="19"/>
                <w:szCs w:val="19"/>
              </w:rPr>
              <w:t xml:space="preserve">For the International phase: either remove it until international counsel is engaged, or implement Reg S compliance with geo-blocking</w:t>
            </w:r>
          </w:p>
        </w:tc>
      </w:tr>
    </w:tbl>
    <w:p>
      <w:pPr>
        <w:spacing w:before="120" w:after="0"/>
      </w:pPr>
      <w:r>
        <w:t xml:space="preserve"/>
      </w:r>
    </w:p>
    <w:p>
      <w:pPr>
        <w:spacing w:before="120" w:after="0"/>
      </w:pPr>
      <w:r>
        <w:t xml:space="preserve"/>
      </w:r>
    </w:p>
    <w:p>
      <w:pPr>
        <w:pStyle w:val="Heading2"/>
        <w:spacing w:before="360" w:after="100"/>
      </w:pPr>
      <w:r>
        <w:rPr>
          <w:rFonts w:ascii="Arial" w:cs="Arial" w:eastAsia="Arial" w:hAnsi="Arial"/>
          <w:b/>
          <w:bCs/>
          <w:color w:val="0D1F3C"/>
          <w:sz w:val="24"/>
          <w:szCs w:val="24"/>
        </w:rPr>
        <w:t xml:space="preserve">2B · Smart Contract Audit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D4ED8" w:sz="14"/>
              <w:bottom w:val="single" w:color="CBD5E0" w:sz="1"/>
              <w:right w:val="none" w:color="FFFFFF" w:sz="0"/>
            </w:tcBorders>
            <w:shd w:fill="EFF6FF" w:val="clear"/>
            <w:tcMar>
              <w:top w:type="dxa" w:w="120"/>
              <w:left w:type="dxa" w:w="200"/>
              <w:bottom w:type="dxa" w:w="120"/>
              <w:right w:type="dxa" w:w="200"/>
            </w:tcMar>
          </w:tcPr>
          <w:p>
            <w:pPr>
              <w:spacing w:before="0" w:after="0"/>
            </w:pPr>
            <w:r>
              <w:rPr>
                <w:rFonts w:ascii="Arial" w:cs="Arial" w:eastAsia="Arial" w:hAnsi="Arial"/>
                <w:b/>
                <w:bCs/>
                <w:color w:val="1D4ED8"/>
                <w:sz w:val="20"/>
                <w:szCs w:val="20"/>
              </w:rPr>
              <w:t xml:space="preserve">Third-Party Smart Contract Audit</w:t>
            </w:r>
          </w:p>
        </w:tc>
      </w:tr>
      <w:tr>
        <w:tc>
          <w:tcPr>
            <w:tcW w:type="dxa" w:w="9360"/>
            <w:tcBorders>
              <w:top w:val="none" w:color="FFFFFF" w:sz="0"/>
              <w:left w:val="single" w:color="1D4ED8" w:sz="14"/>
              <w:bottom w:val="single" w:color="CBD5E0" w:sz="1"/>
              <w:right w:val="none" w:color="FFFFFF" w:sz="0"/>
            </w:tcBorders>
            <w:shd w:fill="FFFFFF" w:val="clear"/>
            <w:tcMar>
              <w:top w:type="dxa" w:w="100"/>
              <w:left w:type="dxa" w:w="200"/>
              <w:bottom w:type="dxa" w:w="100"/>
              <w:right w:type="dxa" w:w="200"/>
            </w:tcMar>
          </w:tcPr>
          <w:p>
            <w:pPr>
              <w:pStyle w:val="ListParagraph"/>
              <w:numPr>
                <w:ilvl w:val="0"/>
                <w:numId w:val="2"/>
              </w:numPr>
              <w:spacing w:before="60" w:after="60"/>
            </w:pPr>
            <w:r>
              <w:rPr>
                <w:rFonts w:ascii="Arial" w:cs="Arial" w:eastAsia="Arial" w:hAnsi="Arial"/>
                <w:color w:val="1E293B"/>
                <w:sz w:val="19"/>
                <w:szCs w:val="19"/>
              </w:rPr>
              <w:t xml:space="preserve">Five custom Solidity contracts hold or control investor capital — none should go to mainnet unaudited</w:t>
            </w:r>
            <w:r>
              <w:rPr>
                <w:rFonts w:ascii="Arial" w:cs="Arial" w:eastAsia="Arial" w:hAnsi="Arial"/>
                <w:b/>
                <w:bCs/>
                <w:color w:val="B91C1C"/>
                <w:sz w:val="17"/>
                <w:szCs w:val="17"/>
              </w:rPr>
              <w:t xml:space="preserve">  [BEFORE ANY MAINNET DEPLOYMENT]</w:t>
            </w:r>
          </w:p>
          <w:p>
            <w:pPr>
              <w:pStyle w:val="ListParagraph"/>
              <w:numPr>
                <w:ilvl w:val="0"/>
                <w:numId w:val="2"/>
              </w:numPr>
              <w:spacing w:before="60" w:after="60"/>
            </w:pPr>
            <w:r>
              <w:rPr>
                <w:rFonts w:ascii="Arial" w:cs="Arial" w:eastAsia="Arial" w:hAnsi="Arial"/>
                <w:color w:val="1E293B"/>
                <w:sz w:val="19"/>
                <w:szCs w:val="19"/>
              </w:rPr>
              <w:t xml:space="preserve">Engage: Trail of Bits, OpenZeppelin, Certik, or Quantstamp. Budget $30,000–$150,000 depending on scope</w:t>
            </w:r>
          </w:p>
          <w:p>
            <w:pPr>
              <w:pStyle w:val="ListParagraph"/>
              <w:numPr>
                <w:ilvl w:val="0"/>
                <w:numId w:val="2"/>
              </w:numPr>
              <w:spacing w:before="60" w:after="60"/>
            </w:pPr>
            <w:r>
              <w:rPr>
                <w:rFonts w:ascii="Arial" w:cs="Arial" w:eastAsia="Arial" w:hAnsi="Arial"/>
                <w:color w:val="1E293B"/>
                <w:sz w:val="19"/>
                <w:szCs w:val="19"/>
              </w:rPr>
              <w:t xml:space="preserve">Specific focus areas for auditors: Escrow.sol reentrancy in purchase() and processRefund(), Treasury.sol multi-sig key management, PropertyToken.sol whitelist bypass scenarios</w:t>
            </w:r>
          </w:p>
          <w:p>
            <w:pPr>
              <w:pStyle w:val="ListParagraph"/>
              <w:numPr>
                <w:ilvl w:val="0"/>
                <w:numId w:val="2"/>
              </w:numPr>
              <w:spacing w:before="60" w:after="60"/>
            </w:pPr>
            <w:r>
              <w:rPr>
                <w:rFonts w:ascii="Arial" w:cs="Arial" w:eastAsia="Arial" w:hAnsi="Arial"/>
                <w:color w:val="1E293B"/>
                <w:sz w:val="19"/>
                <w:szCs w:val="19"/>
              </w:rPr>
              <w:t xml:space="preserve">Add ReentrancyGuard from OpenZeppelin to Escrow.sol before audit begins — this is low-hanging fruit</w:t>
            </w:r>
          </w:p>
          <w:p>
            <w:pPr>
              <w:pStyle w:val="ListParagraph"/>
              <w:numPr>
                <w:ilvl w:val="0"/>
                <w:numId w:val="2"/>
              </w:numPr>
              <w:spacing w:before="60" w:after="60"/>
            </w:pPr>
            <w:r>
              <w:rPr>
                <w:rFonts w:ascii="Arial" w:cs="Arial" w:eastAsia="Arial" w:hAnsi="Arial"/>
                <w:color w:val="1E293B"/>
                <w:sz w:val="19"/>
                <w:szCs w:val="19"/>
              </w:rPr>
              <w:t xml:space="preserve">Verify checks-effects-interactions pattern is followed in every function that sends ETH</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D4ED8" w:sz="14"/>
              <w:bottom w:val="single" w:color="CBD5E0" w:sz="1"/>
              <w:right w:val="none" w:color="FFFFFF" w:sz="0"/>
            </w:tcBorders>
            <w:shd w:fill="EFF6FF" w:val="clear"/>
            <w:tcMar>
              <w:top w:type="dxa" w:w="120"/>
              <w:left w:type="dxa" w:w="200"/>
              <w:bottom w:type="dxa" w:w="120"/>
              <w:right w:type="dxa" w:w="200"/>
            </w:tcMar>
          </w:tcPr>
          <w:p>
            <w:pPr>
              <w:spacing w:before="0" w:after="0"/>
            </w:pPr>
            <w:r>
              <w:rPr>
                <w:rFonts w:ascii="Arial" w:cs="Arial" w:eastAsia="Arial" w:hAnsi="Arial"/>
                <w:b/>
                <w:bCs/>
                <w:color w:val="1D4ED8"/>
                <w:sz w:val="20"/>
                <w:szCs w:val="20"/>
              </w:rPr>
              <w:t xml:space="preserve">Key Management &amp; Operational Security</w:t>
            </w:r>
          </w:p>
        </w:tc>
      </w:tr>
      <w:tr>
        <w:tc>
          <w:tcPr>
            <w:tcW w:type="dxa" w:w="9360"/>
            <w:tcBorders>
              <w:top w:val="none" w:color="FFFFFF" w:sz="0"/>
              <w:left w:val="single" w:color="1D4ED8" w:sz="14"/>
              <w:bottom w:val="single" w:color="CBD5E0" w:sz="1"/>
              <w:right w:val="none" w:color="FFFFFF" w:sz="0"/>
            </w:tcBorders>
            <w:shd w:fill="FFFFFF" w:val="clear"/>
            <w:tcMar>
              <w:top w:type="dxa" w:w="100"/>
              <w:left w:type="dxa" w:w="200"/>
              <w:bottom w:type="dxa" w:w="100"/>
              <w:right w:type="dxa" w:w="200"/>
            </w:tcMar>
          </w:tcPr>
          <w:p>
            <w:pPr>
              <w:pStyle w:val="ListParagraph"/>
              <w:numPr>
                <w:ilvl w:val="0"/>
                <w:numId w:val="2"/>
              </w:numPr>
              <w:spacing w:before="60" w:after="60"/>
            </w:pPr>
            <w:r>
              <w:rPr>
                <w:rFonts w:ascii="Arial" w:cs="Arial" w:eastAsia="Arial" w:hAnsi="Arial"/>
                <w:color w:val="1E293B"/>
                <w:sz w:val="19"/>
                <w:szCs w:val="19"/>
              </w:rPr>
              <w:t xml:space="preserve">PRIVATE_KEY env variable for contract deployment must never be a hot wallet holding significant funds</w:t>
            </w:r>
          </w:p>
          <w:p>
            <w:pPr>
              <w:pStyle w:val="ListParagraph"/>
              <w:numPr>
                <w:ilvl w:val="0"/>
                <w:numId w:val="2"/>
              </w:numPr>
              <w:spacing w:before="60" w:after="60"/>
            </w:pPr>
            <w:r>
              <w:rPr>
                <w:rFonts w:ascii="Arial" w:cs="Arial" w:eastAsia="Arial" w:hAnsi="Arial"/>
                <w:color w:val="1E293B"/>
                <w:sz w:val="19"/>
                <w:szCs w:val="19"/>
              </w:rPr>
              <w:t xml:space="preserve">Use Ledger hardware wallet or AWS KMS / Google Cloud HSM for all privileged signing keys</w:t>
            </w:r>
          </w:p>
          <w:p>
            <w:pPr>
              <w:pStyle w:val="ListParagraph"/>
              <w:numPr>
                <w:ilvl w:val="0"/>
                <w:numId w:val="2"/>
              </w:numPr>
              <w:spacing w:before="60" w:after="60"/>
            </w:pPr>
            <w:r>
              <w:rPr>
                <w:rFonts w:ascii="Arial" w:cs="Arial" w:eastAsia="Arial" w:hAnsi="Arial"/>
                <w:color w:val="1E293B"/>
                <w:sz w:val="19"/>
                <w:szCs w:val="19"/>
              </w:rPr>
              <w:t xml:space="preserve">Treasury multi-sig: implement Gnosis Safe with 3 separate hardware wallets as signers</w:t>
            </w:r>
          </w:p>
          <w:p>
            <w:pPr>
              <w:pStyle w:val="ListParagraph"/>
              <w:numPr>
                <w:ilvl w:val="0"/>
                <w:numId w:val="2"/>
              </w:numPr>
              <w:spacing w:before="60" w:after="60"/>
            </w:pPr>
            <w:r>
              <w:rPr>
                <w:rFonts w:ascii="Arial" w:cs="Arial" w:eastAsia="Arial" w:hAnsi="Arial"/>
                <w:color w:val="1E293B"/>
                <w:sz w:val="19"/>
                <w:szCs w:val="19"/>
              </w:rPr>
              <w:t xml:space="preserve">Document key rotation procedures — what happens if a signer's hardware wallet is lost?</w:t>
            </w:r>
          </w:p>
          <w:p>
            <w:pPr>
              <w:pStyle w:val="ListParagraph"/>
              <w:numPr>
                <w:ilvl w:val="0"/>
                <w:numId w:val="2"/>
              </w:numPr>
              <w:spacing w:before="60" w:after="60"/>
            </w:pPr>
            <w:r>
              <w:rPr>
                <w:rFonts w:ascii="Arial" w:cs="Arial" w:eastAsia="Arial" w:hAnsi="Arial"/>
                <w:color w:val="1E293B"/>
                <w:sz w:val="19"/>
                <w:szCs w:val="19"/>
              </w:rPr>
              <w:t xml:space="preserve">Add Chainlink LINK balance monitoring and auto-top-up — if LINK runs out, phase advancement stops</w:t>
            </w:r>
          </w:p>
        </w:tc>
      </w:tr>
    </w:tbl>
    <w:p>
      <w:pPr>
        <w:spacing w:before="120" w:after="0"/>
      </w:pPr>
      <w:r>
        <w:t xml:space="preserve"/>
      </w:r>
    </w:p>
    <w:p>
      <w:pPr>
        <w:spacing w:before="120" w:after="0"/>
      </w:pPr>
      <w:r>
        <w:t xml:space="preserve"/>
      </w:r>
    </w:p>
    <w:p>
      <w:pPr>
        <w:pStyle w:val="Heading2"/>
        <w:spacing w:before="360" w:after="100"/>
      </w:pPr>
      <w:r>
        <w:rPr>
          <w:rFonts w:ascii="Arial" w:cs="Arial" w:eastAsia="Arial" w:hAnsi="Arial"/>
          <w:b/>
          <w:bCs/>
          <w:color w:val="0D1F3C"/>
          <w:sz w:val="24"/>
          <w:szCs w:val="24"/>
        </w:rPr>
        <w:t xml:space="preserve">2C · KYC / AML Infrastructure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D4ED8" w:sz="14"/>
              <w:bottom w:val="single" w:color="CBD5E0" w:sz="1"/>
              <w:right w:val="none" w:color="FFFFFF" w:sz="0"/>
            </w:tcBorders>
            <w:shd w:fill="EFF6FF" w:val="clear"/>
            <w:tcMar>
              <w:top w:type="dxa" w:w="120"/>
              <w:left w:type="dxa" w:w="200"/>
              <w:bottom w:type="dxa" w:w="120"/>
              <w:right w:type="dxa" w:w="200"/>
            </w:tcMar>
          </w:tcPr>
          <w:p>
            <w:pPr>
              <w:spacing w:before="0" w:after="0"/>
            </w:pPr>
            <w:r>
              <w:rPr>
                <w:rFonts w:ascii="Arial" w:cs="Arial" w:eastAsia="Arial" w:hAnsi="Arial"/>
                <w:b/>
                <w:bCs/>
                <w:color w:val="1D4ED8"/>
                <w:sz w:val="20"/>
                <w:szCs w:val="20"/>
              </w:rPr>
              <w:t xml:space="preserve">Enforce KYC at API Level</w:t>
            </w:r>
          </w:p>
        </w:tc>
      </w:tr>
      <w:tr>
        <w:tc>
          <w:tcPr>
            <w:tcW w:type="dxa" w:w="9360"/>
            <w:tcBorders>
              <w:top w:val="none" w:color="FFFFFF" w:sz="0"/>
              <w:left w:val="single" w:color="1D4ED8" w:sz="14"/>
              <w:bottom w:val="single" w:color="CBD5E0" w:sz="1"/>
              <w:right w:val="none" w:color="FFFFFF" w:sz="0"/>
            </w:tcBorders>
            <w:shd w:fill="FFFFFF" w:val="clear"/>
            <w:tcMar>
              <w:top w:type="dxa" w:w="100"/>
              <w:left w:type="dxa" w:w="200"/>
              <w:bottom w:type="dxa" w:w="100"/>
              <w:right w:type="dxa" w:w="200"/>
            </w:tcMar>
          </w:tcPr>
          <w:p>
            <w:pPr>
              <w:pStyle w:val="ListParagraph"/>
              <w:numPr>
                <w:ilvl w:val="0"/>
                <w:numId w:val="2"/>
              </w:numPr>
              <w:spacing w:before="60" w:after="60"/>
            </w:pPr>
            <w:r>
              <w:rPr>
                <w:rFonts w:ascii="Arial" w:cs="Arial" w:eastAsia="Arial" w:hAnsi="Arial"/>
                <w:color w:val="1E293B"/>
                <w:sz w:val="19"/>
                <w:szCs w:val="19"/>
              </w:rPr>
              <w:t xml:space="preserve">kycStatus exists in your schema but is never checked before a purchase is processed — fix this before go-live</w:t>
            </w:r>
            <w:r>
              <w:rPr>
                <w:rFonts w:ascii="Arial" w:cs="Arial" w:eastAsia="Arial" w:hAnsi="Arial"/>
                <w:b/>
                <w:bCs/>
                <w:color w:val="B45309"/>
                <w:sz w:val="17"/>
                <w:szCs w:val="17"/>
              </w:rPr>
              <w:t xml:space="preserve">  [CURRENT GAP]</w:t>
            </w:r>
          </w:p>
          <w:p>
            <w:pPr>
              <w:pStyle w:val="ListParagraph"/>
              <w:numPr>
                <w:ilvl w:val="0"/>
                <w:numId w:val="2"/>
              </w:numPr>
              <w:spacing w:before="60" w:after="60"/>
            </w:pPr>
            <w:r>
              <w:rPr>
                <w:rFonts w:ascii="Arial" w:cs="Arial" w:eastAsia="Arial" w:hAnsi="Arial"/>
                <w:color w:val="1E293B"/>
                <w:sz w:val="19"/>
                <w:szCs w:val="19"/>
              </w:rPr>
              <w:t xml:space="preserve">Add requireKYCApproved middleware — gates all purchase endpoints behind approved KYC status</w:t>
            </w:r>
          </w:p>
          <w:p>
            <w:pPr>
              <w:pStyle w:val="ListParagraph"/>
              <w:numPr>
                <w:ilvl w:val="0"/>
                <w:numId w:val="2"/>
              </w:numPr>
              <w:spacing w:before="60" w:after="60"/>
            </w:pPr>
            <w:r>
              <w:rPr>
                <w:rFonts w:ascii="Arial" w:cs="Arial" w:eastAsia="Arial" w:hAnsi="Arial"/>
                <w:color w:val="1E293B"/>
                <w:sz w:val="19"/>
                <w:szCs w:val="19"/>
              </w:rPr>
              <w:t xml:space="preserve">Add requireAuth middleware to all endpoints that currently show 'Auth: No' but involve financial actions</w:t>
            </w:r>
          </w:p>
          <w:p>
            <w:pPr>
              <w:pStyle w:val="ListParagraph"/>
              <w:numPr>
                <w:ilvl w:val="0"/>
                <w:numId w:val="2"/>
              </w:numPr>
              <w:spacing w:before="60" w:after="60"/>
            </w:pPr>
            <w:r>
              <w:rPr>
                <w:rFonts w:ascii="Arial" w:cs="Arial" w:eastAsia="Arial" w:hAnsi="Arial"/>
                <w:color w:val="1E293B"/>
                <w:sz w:val="19"/>
                <w:szCs w:val="19"/>
              </w:rPr>
              <w:t xml:space="preserve">Mirror KYC approval on-chain in PropertyToken.sol's whitelist — off-chain KYC should trigger on-chain whitelist addition</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D4ED8" w:sz="14"/>
              <w:bottom w:val="single" w:color="CBD5E0" w:sz="1"/>
              <w:right w:val="none" w:color="FFFFFF" w:sz="0"/>
            </w:tcBorders>
            <w:shd w:fill="EFF6FF" w:val="clear"/>
            <w:tcMar>
              <w:top w:type="dxa" w:w="120"/>
              <w:left w:type="dxa" w:w="200"/>
              <w:bottom w:type="dxa" w:w="120"/>
              <w:right w:type="dxa" w:w="200"/>
            </w:tcMar>
          </w:tcPr>
          <w:p>
            <w:pPr>
              <w:spacing w:before="0" w:after="0"/>
            </w:pPr>
            <w:r>
              <w:rPr>
                <w:rFonts w:ascii="Arial" w:cs="Arial" w:eastAsia="Arial" w:hAnsi="Arial"/>
                <w:b/>
                <w:bCs/>
                <w:color w:val="1D4ED8"/>
                <w:sz w:val="20"/>
                <w:szCs w:val="20"/>
              </w:rPr>
              <w:t xml:space="preserve">Accredited Investor Verification</w:t>
            </w:r>
          </w:p>
        </w:tc>
      </w:tr>
      <w:tr>
        <w:tc>
          <w:tcPr>
            <w:tcW w:type="dxa" w:w="9360"/>
            <w:tcBorders>
              <w:top w:val="none" w:color="FFFFFF" w:sz="0"/>
              <w:left w:val="single" w:color="1D4ED8" w:sz="14"/>
              <w:bottom w:val="single" w:color="CBD5E0" w:sz="1"/>
              <w:right w:val="none" w:color="FFFFFF" w:sz="0"/>
            </w:tcBorders>
            <w:shd w:fill="FFFFFF" w:val="clear"/>
            <w:tcMar>
              <w:top w:type="dxa" w:w="100"/>
              <w:left w:type="dxa" w:w="200"/>
              <w:bottom w:type="dxa" w:w="100"/>
              <w:right w:type="dxa" w:w="200"/>
            </w:tcMar>
          </w:tcPr>
          <w:p>
            <w:pPr>
              <w:pStyle w:val="ListParagraph"/>
              <w:numPr>
                <w:ilvl w:val="0"/>
                <w:numId w:val="2"/>
              </w:numPr>
              <w:spacing w:before="60" w:after="60"/>
            </w:pPr>
            <w:r>
              <w:rPr>
                <w:rFonts w:ascii="Arial" w:cs="Arial" w:eastAsia="Arial" w:hAnsi="Arial"/>
                <w:color w:val="1E293B"/>
                <w:sz w:val="19"/>
                <w:szCs w:val="19"/>
              </w:rPr>
              <w:t xml:space="preserve">Private offerings (offeringType: private) have no accredited investor verification flow — required for Reg D</w:t>
            </w:r>
          </w:p>
          <w:p>
            <w:pPr>
              <w:pStyle w:val="ListParagraph"/>
              <w:numPr>
                <w:ilvl w:val="0"/>
                <w:numId w:val="2"/>
              </w:numPr>
              <w:spacing w:before="60" w:after="60"/>
            </w:pPr>
            <w:r>
              <w:rPr>
                <w:rFonts w:ascii="Arial" w:cs="Arial" w:eastAsia="Arial" w:hAnsi="Arial"/>
                <w:color w:val="1E293B"/>
                <w:sz w:val="19"/>
                <w:szCs w:val="19"/>
              </w:rPr>
              <w:t xml:space="preserve">Integrate a third-party verifier: Verify Investor ($25–$50/verification) or North Capital</w:t>
            </w:r>
          </w:p>
          <w:p>
            <w:pPr>
              <w:pStyle w:val="ListParagraph"/>
              <w:numPr>
                <w:ilvl w:val="0"/>
                <w:numId w:val="2"/>
              </w:numPr>
              <w:spacing w:before="60" w:after="60"/>
            </w:pPr>
            <w:r>
              <w:rPr>
                <w:rFonts w:ascii="Arial" w:cs="Arial" w:eastAsia="Arial" w:hAnsi="Arial"/>
                <w:color w:val="1E293B"/>
                <w:sz w:val="19"/>
                <w:szCs w:val="19"/>
              </w:rPr>
              <w:t xml:space="preserve">Build the verification UI into the investor onboarding flow before access to private offerings is granted</w:t>
            </w:r>
          </w:p>
          <w:p>
            <w:pPr>
              <w:pStyle w:val="ListParagraph"/>
              <w:numPr>
                <w:ilvl w:val="0"/>
                <w:numId w:val="2"/>
              </w:numPr>
              <w:spacing w:before="60" w:after="60"/>
            </w:pPr>
            <w:r>
              <w:rPr>
                <w:rFonts w:ascii="Arial" w:cs="Arial" w:eastAsia="Arial" w:hAnsi="Arial"/>
                <w:color w:val="1E293B"/>
                <w:sz w:val="19"/>
                <w:szCs w:val="19"/>
              </w:rPr>
              <w:t xml:space="preserve">Store verification status, date, and provider in the users table</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D4ED8" w:sz="14"/>
              <w:bottom w:val="single" w:color="CBD5E0" w:sz="1"/>
              <w:right w:val="none" w:color="FFFFFF" w:sz="0"/>
            </w:tcBorders>
            <w:shd w:fill="EFF6FF" w:val="clear"/>
            <w:tcMar>
              <w:top w:type="dxa" w:w="120"/>
              <w:left w:type="dxa" w:w="200"/>
              <w:bottom w:type="dxa" w:w="120"/>
              <w:right w:type="dxa" w:w="200"/>
            </w:tcMar>
          </w:tcPr>
          <w:p>
            <w:pPr>
              <w:spacing w:before="0" w:after="0"/>
            </w:pPr>
            <w:r>
              <w:rPr>
                <w:rFonts w:ascii="Arial" w:cs="Arial" w:eastAsia="Arial" w:hAnsi="Arial"/>
                <w:b/>
                <w:bCs/>
                <w:color w:val="1D4ED8"/>
                <w:sz w:val="20"/>
                <w:szCs w:val="20"/>
              </w:rPr>
              <w:t xml:space="preserve">AML Baseline</w:t>
            </w:r>
          </w:p>
        </w:tc>
      </w:tr>
      <w:tr>
        <w:tc>
          <w:tcPr>
            <w:tcW w:type="dxa" w:w="9360"/>
            <w:tcBorders>
              <w:top w:val="none" w:color="FFFFFF" w:sz="0"/>
              <w:left w:val="single" w:color="1D4ED8" w:sz="14"/>
              <w:bottom w:val="single" w:color="CBD5E0" w:sz="1"/>
              <w:right w:val="none" w:color="FFFFFF" w:sz="0"/>
            </w:tcBorders>
            <w:shd w:fill="FFFFFF" w:val="clear"/>
            <w:tcMar>
              <w:top w:type="dxa" w:w="100"/>
              <w:left w:type="dxa" w:w="200"/>
              <w:bottom w:type="dxa" w:w="100"/>
              <w:right w:type="dxa" w:w="200"/>
            </w:tcMar>
          </w:tcPr>
          <w:p>
            <w:pPr>
              <w:pStyle w:val="ListParagraph"/>
              <w:numPr>
                <w:ilvl w:val="0"/>
                <w:numId w:val="2"/>
              </w:numPr>
              <w:spacing w:before="60" w:after="60"/>
            </w:pPr>
            <w:r>
              <w:rPr>
                <w:rFonts w:ascii="Arial" w:cs="Arial" w:eastAsia="Arial" w:hAnsi="Arial"/>
                <w:color w:val="1E293B"/>
                <w:sz w:val="19"/>
                <w:szCs w:val="19"/>
              </w:rPr>
              <w:t xml:space="preserve">Designate a BSA/AML Compliance Officer (a named person, not a system)</w:t>
            </w:r>
          </w:p>
          <w:p>
            <w:pPr>
              <w:pStyle w:val="ListParagraph"/>
              <w:numPr>
                <w:ilvl w:val="0"/>
                <w:numId w:val="2"/>
              </w:numPr>
              <w:spacing w:before="60" w:after="60"/>
            </w:pPr>
            <w:r>
              <w:rPr>
                <w:rFonts w:ascii="Arial" w:cs="Arial" w:eastAsia="Arial" w:hAnsi="Arial"/>
                <w:color w:val="1E293B"/>
                <w:sz w:val="19"/>
                <w:szCs w:val="19"/>
              </w:rPr>
              <w:t xml:space="preserve">Set transaction monitoring thresholds: flag purchases over $3,000 for review, report over $10,000 per BSA</w:t>
            </w:r>
          </w:p>
          <w:p>
            <w:pPr>
              <w:pStyle w:val="ListParagraph"/>
              <w:numPr>
                <w:ilvl w:val="0"/>
                <w:numId w:val="2"/>
              </w:numPr>
              <w:spacing w:before="60" w:after="60"/>
            </w:pPr>
            <w:r>
              <w:rPr>
                <w:rFonts w:ascii="Arial" w:cs="Arial" w:eastAsia="Arial" w:hAnsi="Arial"/>
                <w:color w:val="1E293B"/>
                <w:sz w:val="19"/>
                <w:szCs w:val="19"/>
              </w:rPr>
              <w:t xml:space="preserve">Crypto + real estate is a FinCEN-flagged high-risk combination — document your AML program in writing</w:t>
            </w:r>
          </w:p>
          <w:p>
            <w:pPr>
              <w:pStyle w:val="ListParagraph"/>
              <w:numPr>
                <w:ilvl w:val="0"/>
                <w:numId w:val="2"/>
              </w:numPr>
              <w:spacing w:before="60" w:after="60"/>
            </w:pPr>
            <w:r>
              <w:rPr>
                <w:rFonts w:ascii="Arial" w:cs="Arial" w:eastAsia="Arial" w:hAnsi="Arial"/>
                <w:color w:val="1E293B"/>
                <w:sz w:val="19"/>
                <w:szCs w:val="19"/>
              </w:rPr>
              <w:t xml:space="preserve">Integrate Chainalysis Reactor or TRM Labs for wallet screening on crypto purchases (can be post-launch v1 but pre-scale)</w:t>
            </w:r>
          </w:p>
        </w:tc>
      </w:tr>
    </w:tbl>
    <w:p>
      <w:pPr>
        <w:spacing w:before="120" w:after="0"/>
      </w:pPr>
      <w:r>
        <w:t xml:space="preserve"/>
      </w:r>
    </w:p>
    <w:p>
      <w:pPr>
        <w:spacing w:before="120" w:after="0"/>
      </w:pPr>
      <w:r>
        <w:t xml:space="preserve"/>
      </w:r>
    </w:p>
    <w:p>
      <w:pPr>
        <w:pStyle w:val="Heading2"/>
        <w:spacing w:before="360" w:after="100"/>
      </w:pPr>
      <w:r>
        <w:rPr>
          <w:rFonts w:ascii="Arial" w:cs="Arial" w:eastAsia="Arial" w:hAnsi="Arial"/>
          <w:b/>
          <w:bCs/>
          <w:color w:val="0D1F3C"/>
          <w:sz w:val="24"/>
          <w:szCs w:val="24"/>
        </w:rPr>
        <w:t xml:space="preserve">2D · Missing Pages &amp; Investor Flows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D4ED8" w:sz="14"/>
              <w:bottom w:val="single" w:color="CBD5E0" w:sz="1"/>
              <w:right w:val="none" w:color="FFFFFF" w:sz="0"/>
            </w:tcBorders>
            <w:shd w:fill="EFF6FF" w:val="clear"/>
            <w:tcMar>
              <w:top w:type="dxa" w:w="120"/>
              <w:left w:type="dxa" w:w="200"/>
              <w:bottom w:type="dxa" w:w="120"/>
              <w:right w:type="dxa" w:w="200"/>
            </w:tcMar>
          </w:tcPr>
          <w:p>
            <w:pPr>
              <w:spacing w:before="0" w:after="0"/>
            </w:pPr>
            <w:r>
              <w:rPr>
                <w:rFonts w:ascii="Arial" w:cs="Arial" w:eastAsia="Arial" w:hAnsi="Arial"/>
                <w:b/>
                <w:bCs/>
                <w:color w:val="1D4ED8"/>
                <w:sz w:val="20"/>
                <w:szCs w:val="20"/>
              </w:rPr>
              <w:t xml:space="preserve">Mandatory Investor Onboarding Flow</w:t>
            </w:r>
          </w:p>
        </w:tc>
      </w:tr>
      <w:tr>
        <w:tc>
          <w:tcPr>
            <w:tcW w:type="dxa" w:w="9360"/>
            <w:tcBorders>
              <w:top w:val="none" w:color="FFFFFF" w:sz="0"/>
              <w:left w:val="single" w:color="1D4ED8" w:sz="14"/>
              <w:bottom w:val="single" w:color="CBD5E0" w:sz="1"/>
              <w:right w:val="none" w:color="FFFFFF" w:sz="0"/>
            </w:tcBorders>
            <w:shd w:fill="FFFFFF" w:val="clear"/>
            <w:tcMar>
              <w:top w:type="dxa" w:w="100"/>
              <w:left w:type="dxa" w:w="200"/>
              <w:bottom w:type="dxa" w:w="100"/>
              <w:right w:type="dxa" w:w="200"/>
            </w:tcMar>
          </w:tcPr>
          <w:p>
            <w:pPr>
              <w:pStyle w:val="ListParagraph"/>
              <w:numPr>
                <w:ilvl w:val="0"/>
                <w:numId w:val="2"/>
              </w:numPr>
              <w:spacing w:before="60" w:after="60"/>
            </w:pPr>
            <w:r>
              <w:rPr>
                <w:rFonts w:ascii="Arial" w:cs="Arial" w:eastAsia="Arial" w:hAnsi="Arial"/>
                <w:color w:val="1E293B"/>
                <w:sz w:val="19"/>
                <w:szCs w:val="19"/>
              </w:rPr>
              <w:t xml:space="preserve">Currently a user can connect a wallet and attempt to purchase tokens with no gating — this must change</w:t>
            </w:r>
          </w:p>
          <w:p>
            <w:pPr>
              <w:pStyle w:val="ListParagraph"/>
              <w:numPr>
                <w:ilvl w:val="0"/>
                <w:numId w:val="2"/>
              </w:numPr>
              <w:spacing w:before="60" w:after="60"/>
            </w:pPr>
            <w:r>
              <w:rPr>
                <w:rFonts w:ascii="Arial" w:cs="Arial" w:eastAsia="Arial" w:hAnsi="Arial"/>
                <w:color w:val="1E293B"/>
                <w:sz w:val="19"/>
                <w:szCs w:val="19"/>
              </w:rPr>
              <w:t xml:space="preserve">Build a linear onboarding gate: Create Account → KYC submission → KYC approval (async) → Risk disclosure acknowledgment → Accredited investor check (if applicable) → Purchase unlocked</w:t>
            </w:r>
          </w:p>
          <w:p>
            <w:pPr>
              <w:pStyle w:val="ListParagraph"/>
              <w:numPr>
                <w:ilvl w:val="0"/>
                <w:numId w:val="2"/>
              </w:numPr>
              <w:spacing w:before="60" w:after="60"/>
            </w:pPr>
            <w:r>
              <w:rPr>
                <w:rFonts w:ascii="Arial" w:cs="Arial" w:eastAsia="Arial" w:hAnsi="Arial"/>
                <w:color w:val="1E293B"/>
                <w:sz w:val="19"/>
                <w:szCs w:val="19"/>
              </w:rPr>
              <w:t xml:space="preserve">Store acknowledgment timestamps for every legal document presented — these are evidence of informed consent</w:t>
            </w:r>
          </w:p>
          <w:p>
            <w:pPr>
              <w:pStyle w:val="ListParagraph"/>
              <w:numPr>
                <w:ilvl w:val="0"/>
                <w:numId w:val="2"/>
              </w:numPr>
              <w:spacing w:before="60" w:after="60"/>
            </w:pPr>
            <w:r>
              <w:rPr>
                <w:rFonts w:ascii="Arial" w:cs="Arial" w:eastAsia="Arial" w:hAnsi="Arial"/>
                <w:color w:val="1E293B"/>
                <w:sz w:val="19"/>
                <w:szCs w:val="19"/>
              </w:rPr>
              <w:t xml:space="preserve">Add a 'cooling off' period prompt (72 hours) as a best practice for retail investors</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D4ED8" w:sz="14"/>
              <w:bottom w:val="single" w:color="CBD5E0" w:sz="1"/>
              <w:right w:val="none" w:color="FFFFFF" w:sz="0"/>
            </w:tcBorders>
            <w:shd w:fill="EFF6FF" w:val="clear"/>
            <w:tcMar>
              <w:top w:type="dxa" w:w="120"/>
              <w:left w:type="dxa" w:w="200"/>
              <w:bottom w:type="dxa" w:w="120"/>
              <w:right w:type="dxa" w:w="200"/>
            </w:tcMar>
          </w:tcPr>
          <w:p>
            <w:pPr>
              <w:spacing w:before="0" w:after="0"/>
            </w:pPr>
            <w:r>
              <w:rPr>
                <w:rFonts w:ascii="Arial" w:cs="Arial" w:eastAsia="Arial" w:hAnsi="Arial"/>
                <w:b/>
                <w:bCs/>
                <w:color w:val="1D4ED8"/>
                <w:sz w:val="20"/>
                <w:szCs w:val="20"/>
              </w:rPr>
              <w:t xml:space="preserve">Legal Pages</w:t>
            </w:r>
          </w:p>
        </w:tc>
      </w:tr>
      <w:tr>
        <w:tc>
          <w:tcPr>
            <w:tcW w:type="dxa" w:w="9360"/>
            <w:tcBorders>
              <w:top w:val="none" w:color="FFFFFF" w:sz="0"/>
              <w:left w:val="single" w:color="1D4ED8" w:sz="14"/>
              <w:bottom w:val="single" w:color="CBD5E0" w:sz="1"/>
              <w:right w:val="none" w:color="FFFFFF" w:sz="0"/>
            </w:tcBorders>
            <w:shd w:fill="FFFFFF" w:val="clear"/>
            <w:tcMar>
              <w:top w:type="dxa" w:w="100"/>
              <w:left w:type="dxa" w:w="200"/>
              <w:bottom w:type="dxa" w:w="100"/>
              <w:right w:type="dxa" w:w="200"/>
            </w:tcMar>
          </w:tcPr>
          <w:p>
            <w:pPr>
              <w:pStyle w:val="ListParagraph"/>
              <w:numPr>
                <w:ilvl w:val="0"/>
                <w:numId w:val="2"/>
              </w:numPr>
              <w:spacing w:before="60" w:after="60"/>
            </w:pPr>
            <w:r>
              <w:rPr>
                <w:rFonts w:ascii="Arial" w:cs="Arial" w:eastAsia="Arial" w:hAnsi="Arial"/>
                <w:color w:val="1E293B"/>
                <w:sz w:val="19"/>
                <w:szCs w:val="19"/>
              </w:rPr>
              <w:t xml:space="preserve">/terms — Terms of Service (drafted by counsel, reviewed annually)</w:t>
            </w:r>
          </w:p>
          <w:p>
            <w:pPr>
              <w:pStyle w:val="ListParagraph"/>
              <w:numPr>
                <w:ilvl w:val="0"/>
                <w:numId w:val="2"/>
              </w:numPr>
              <w:spacing w:before="60" w:after="60"/>
            </w:pPr>
            <w:r>
              <w:rPr>
                <w:rFonts w:ascii="Arial" w:cs="Arial" w:eastAsia="Arial" w:hAnsi="Arial"/>
                <w:color w:val="1E293B"/>
                <w:sz w:val="19"/>
                <w:szCs w:val="19"/>
              </w:rPr>
              <w:t xml:space="preserve">/privacy — Privacy Policy covering CCPA and owner PII collection specifically</w:t>
            </w:r>
          </w:p>
          <w:p>
            <w:pPr>
              <w:pStyle w:val="ListParagraph"/>
              <w:numPr>
                <w:ilvl w:val="0"/>
                <w:numId w:val="2"/>
              </w:numPr>
              <w:spacing w:before="60" w:after="60"/>
            </w:pPr>
            <w:r>
              <w:rPr>
                <w:rFonts w:ascii="Arial" w:cs="Arial" w:eastAsia="Arial" w:hAnsi="Arial"/>
                <w:color w:val="1E293B"/>
                <w:sz w:val="19"/>
                <w:szCs w:val="19"/>
              </w:rPr>
              <w:t xml:space="preserve">/risk-disclosure — Standalone risk disclosure page with 'I acknowledge' checkbox that writes to DB</w:t>
            </w:r>
          </w:p>
          <w:p>
            <w:pPr>
              <w:pStyle w:val="ListParagraph"/>
              <w:numPr>
                <w:ilvl w:val="0"/>
                <w:numId w:val="2"/>
              </w:numPr>
              <w:spacing w:before="60" w:after="60"/>
            </w:pPr>
            <w:r>
              <w:rPr>
                <w:rFonts w:ascii="Arial" w:cs="Arial" w:eastAsia="Arial" w:hAnsi="Arial"/>
                <w:color w:val="1E293B"/>
                <w:sz w:val="19"/>
                <w:szCs w:val="19"/>
              </w:rPr>
              <w:t xml:space="preserve">/how-it-works — Improve to include accurate securities/token mechanics description approved by counsel</w:t>
            </w:r>
          </w:p>
          <w:p>
            <w:pPr>
              <w:pStyle w:val="ListParagraph"/>
              <w:numPr>
                <w:ilvl w:val="0"/>
                <w:numId w:val="2"/>
              </w:numPr>
              <w:spacing w:before="60" w:after="60"/>
            </w:pPr>
            <w:r>
              <w:rPr>
                <w:rFonts w:ascii="Arial" w:cs="Arial" w:eastAsia="Arial" w:hAnsi="Arial"/>
                <w:color w:val="1E293B"/>
                <w:sz w:val="19"/>
                <w:szCs w:val="19"/>
              </w:rPr>
              <w:t xml:space="preserve">Footer links to all legal pages must be present on every page</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D4ED8" w:sz="14"/>
              <w:bottom w:val="single" w:color="CBD5E0" w:sz="1"/>
              <w:right w:val="none" w:color="FFFFFF" w:sz="0"/>
            </w:tcBorders>
            <w:shd w:fill="EFF6FF" w:val="clear"/>
            <w:tcMar>
              <w:top w:type="dxa" w:w="120"/>
              <w:left w:type="dxa" w:w="200"/>
              <w:bottom w:type="dxa" w:w="120"/>
              <w:right w:type="dxa" w:w="200"/>
            </w:tcMar>
          </w:tcPr>
          <w:p>
            <w:pPr>
              <w:spacing w:before="0" w:after="0"/>
            </w:pPr>
            <w:r>
              <w:rPr>
                <w:rFonts w:ascii="Arial" w:cs="Arial" w:eastAsia="Arial" w:hAnsi="Arial"/>
                <w:b/>
                <w:bCs/>
                <w:color w:val="1D4ED8"/>
                <w:sz w:val="20"/>
                <w:szCs w:val="20"/>
              </w:rPr>
              <w:t xml:space="preserve">Missing Investor-Facing Features</w:t>
            </w:r>
          </w:p>
        </w:tc>
      </w:tr>
      <w:tr>
        <w:tc>
          <w:tcPr>
            <w:tcW w:type="dxa" w:w="9360"/>
            <w:tcBorders>
              <w:top w:val="none" w:color="FFFFFF" w:sz="0"/>
              <w:left w:val="single" w:color="1D4ED8" w:sz="14"/>
              <w:bottom w:val="single" w:color="CBD5E0" w:sz="1"/>
              <w:right w:val="none" w:color="FFFFFF" w:sz="0"/>
            </w:tcBorders>
            <w:shd w:fill="FFFFFF" w:val="clear"/>
            <w:tcMar>
              <w:top w:type="dxa" w:w="100"/>
              <w:left w:type="dxa" w:w="200"/>
              <w:bottom w:type="dxa" w:w="100"/>
              <w:right w:type="dxa" w:w="200"/>
            </w:tcMar>
          </w:tcPr>
          <w:p>
            <w:pPr>
              <w:pStyle w:val="ListParagraph"/>
              <w:numPr>
                <w:ilvl w:val="0"/>
                <w:numId w:val="2"/>
              </w:numPr>
              <w:spacing w:before="60" w:after="60"/>
            </w:pPr>
            <w:r>
              <w:rPr>
                <w:rFonts w:ascii="Arial" w:cs="Arial" w:eastAsia="Arial" w:hAnsi="Arial"/>
                <w:color w:val="1E293B"/>
                <w:sz w:val="19"/>
                <w:szCs w:val="19"/>
              </w:rPr>
              <w:t xml:space="preserve">Refund Request UI — the 3% APR refund exists in Escrow.sol but investors have no frontend to request it</w:t>
            </w:r>
          </w:p>
          <w:p>
            <w:pPr>
              <w:pStyle w:val="ListParagraph"/>
              <w:numPr>
                <w:ilvl w:val="0"/>
                <w:numId w:val="2"/>
              </w:numPr>
              <w:spacing w:before="60" w:after="60"/>
            </w:pPr>
            <w:r>
              <w:rPr>
                <w:rFonts w:ascii="Arial" w:cs="Arial" w:eastAsia="Arial" w:hAnsi="Arial"/>
                <w:color w:val="1E293B"/>
                <w:sz w:val="19"/>
                <w:szCs w:val="19"/>
              </w:rPr>
              <w:t xml:space="preserve">Token Transfer UI — shareTransfers table exists, /transfers page does not. Investors can't see or initiate transfers</w:t>
            </w:r>
          </w:p>
          <w:p>
            <w:pPr>
              <w:pStyle w:val="ListParagraph"/>
              <w:numPr>
                <w:ilvl w:val="0"/>
                <w:numId w:val="2"/>
              </w:numPr>
              <w:spacing w:before="60" w:after="60"/>
            </w:pPr>
            <w:r>
              <w:rPr>
                <w:rFonts w:ascii="Arial" w:cs="Arial" w:eastAsia="Arial" w:hAnsi="Arial"/>
                <w:color w:val="1E293B"/>
                <w:sz w:val="19"/>
                <w:szCs w:val="19"/>
              </w:rPr>
              <w:t xml:space="preserve">Document Vault — investors should have access to all offering documents, property docs, and their own KYC status</w:t>
            </w:r>
          </w:p>
          <w:p>
            <w:pPr>
              <w:pStyle w:val="ListParagraph"/>
              <w:numPr>
                <w:ilvl w:val="0"/>
                <w:numId w:val="2"/>
              </w:numPr>
              <w:spacing w:before="60" w:after="60"/>
            </w:pPr>
            <w:r>
              <w:rPr>
                <w:rFonts w:ascii="Arial" w:cs="Arial" w:eastAsia="Arial" w:hAnsi="Arial"/>
                <w:color w:val="1E293B"/>
                <w:sz w:val="19"/>
                <w:szCs w:val="19"/>
              </w:rPr>
              <w:t xml:space="preserve">Email Notifications — purchase confirmations, phase advancement alerts, governance proposal notifications via Nodemailer (infrastructure exists, use it)</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D4ED8" w:sz="14"/>
              <w:bottom w:val="single" w:color="CBD5E0" w:sz="1"/>
              <w:right w:val="none" w:color="FFFFFF" w:sz="0"/>
            </w:tcBorders>
            <w:shd w:fill="EFF6FF" w:val="clear"/>
            <w:tcMar>
              <w:top w:type="dxa" w:w="120"/>
              <w:left w:type="dxa" w:w="200"/>
              <w:bottom w:type="dxa" w:w="120"/>
              <w:right w:type="dxa" w:w="200"/>
            </w:tcMar>
          </w:tcPr>
          <w:p>
            <w:pPr>
              <w:spacing w:before="0" w:after="0"/>
            </w:pPr>
            <w:r>
              <w:rPr>
                <w:rFonts w:ascii="Arial" w:cs="Arial" w:eastAsia="Arial" w:hAnsi="Arial"/>
                <w:b/>
                <w:bCs/>
                <w:color w:val="1D4ED8"/>
                <w:sz w:val="20"/>
                <w:szCs w:val="20"/>
              </w:rPr>
              <w:t xml:space="preserve">Payment Reconciliation Layer</w:t>
            </w:r>
          </w:p>
        </w:tc>
      </w:tr>
      <w:tr>
        <w:tc>
          <w:tcPr>
            <w:tcW w:type="dxa" w:w="9360"/>
            <w:tcBorders>
              <w:top w:val="none" w:color="FFFFFF" w:sz="0"/>
              <w:left w:val="single" w:color="1D4ED8" w:sz="14"/>
              <w:bottom w:val="single" w:color="CBD5E0" w:sz="1"/>
              <w:right w:val="none" w:color="FFFFFF" w:sz="0"/>
            </w:tcBorders>
            <w:shd w:fill="FFFFFF" w:val="clear"/>
            <w:tcMar>
              <w:top w:type="dxa" w:w="100"/>
              <w:left w:type="dxa" w:w="200"/>
              <w:bottom w:type="dxa" w:w="100"/>
              <w:right w:type="dxa" w:w="200"/>
            </w:tcMar>
          </w:tcPr>
          <w:p>
            <w:pPr>
              <w:pStyle w:val="ListParagraph"/>
              <w:numPr>
                <w:ilvl w:val="0"/>
                <w:numId w:val="2"/>
              </w:numPr>
              <w:spacing w:before="60" w:after="60"/>
            </w:pPr>
            <w:r>
              <w:rPr>
                <w:rFonts w:ascii="Arial" w:cs="Arial" w:eastAsia="Arial" w:hAnsi="Arial"/>
                <w:color w:val="1E293B"/>
                <w:sz w:val="19"/>
                <w:szCs w:val="19"/>
              </w:rPr>
              <w:t xml:space="preserve">Platform accepts both Stripe (fiat) and crypto — a Stripe payment can succeed while token minting fails</w:t>
            </w:r>
          </w:p>
          <w:p>
            <w:pPr>
              <w:pStyle w:val="ListParagraph"/>
              <w:numPr>
                <w:ilvl w:val="0"/>
                <w:numId w:val="2"/>
              </w:numPr>
              <w:spacing w:before="60" w:after="60"/>
            </w:pPr>
            <w:r>
              <w:rPr>
                <w:rFonts w:ascii="Arial" w:cs="Arial" w:eastAsia="Arial" w:hAnsi="Arial"/>
                <w:color w:val="1E293B"/>
                <w:sz w:val="19"/>
                <w:szCs w:val="19"/>
              </w:rPr>
              <w:t xml:space="preserve">Build a two-phase commit: Stripe charge → create pending purchase record → await blockchain confirmation → mark confirmed</w:t>
            </w:r>
          </w:p>
          <w:p>
            <w:pPr>
              <w:pStyle w:val="ListParagraph"/>
              <w:numPr>
                <w:ilvl w:val="0"/>
                <w:numId w:val="2"/>
              </w:numPr>
              <w:spacing w:before="60" w:after="60"/>
            </w:pPr>
            <w:r>
              <w:rPr>
                <w:rFonts w:ascii="Arial" w:cs="Arial" w:eastAsia="Arial" w:hAnsi="Arial"/>
                <w:color w:val="1E293B"/>
                <w:sz w:val="19"/>
                <w:szCs w:val="19"/>
              </w:rPr>
              <w:t xml:space="preserve">Build a compensation/rollback flow: if minting fails after payment, auto-initiate refund and alert admin</w:t>
            </w:r>
          </w:p>
          <w:p>
            <w:pPr>
              <w:pStyle w:val="ListParagraph"/>
              <w:numPr>
                <w:ilvl w:val="0"/>
                <w:numId w:val="2"/>
              </w:numPr>
              <w:spacing w:before="60" w:after="60"/>
            </w:pPr>
            <w:r>
              <w:rPr>
                <w:rFonts w:ascii="Arial" w:cs="Arial" w:eastAsia="Arial" w:hAnsi="Arial"/>
                <w:color w:val="1E293B"/>
                <w:sz w:val="19"/>
                <w:szCs w:val="19"/>
              </w:rPr>
              <w:t xml:space="preserve">Add a reconciliation dashboard in admin.tsx: show all purchases in 'pending' state older than 10 minutes</w:t>
            </w:r>
          </w:p>
        </w:tc>
      </w:tr>
    </w:tbl>
    <w:p>
      <w:pPr>
        <w:spacing w:before="120" w:after="0"/>
      </w:pPr>
      <w:r>
        <w:t xml:space="preserve"/>
      </w:r>
    </w:p>
    <w:p>
      <w:pPr>
        <w:spacing w:before="200" w:after="0"/>
      </w:pPr>
      <w:r>
        <w:t xml:space="preserve"/>
      </w:r>
    </w:p>
    <w:p>
      <w:pPr>
        <w:pStyle w:val="Heading1"/>
        <w:pBdr>
          <w:bottom w:val="single" w:color="0D1F3C" w:sz="10" w:space="6"/>
        </w:pBdr>
        <w:spacing w:before="560" w:after="0"/>
      </w:pPr>
      <w:r>
        <w:rPr>
          <w:rFonts w:ascii="Arial" w:cs="Arial" w:eastAsia="Arial" w:hAnsi="Arial"/>
          <w:b/>
          <w:bCs/>
          <w:color w:val="0D1F3C"/>
          <w:sz w:val="34"/>
          <w:szCs w:val="34"/>
        </w:rPr>
        <w:t xml:space="preserve">Phase 3 — Launch Gate</w:t>
      </w:r>
    </w:p>
    <w:p>
      <w:pPr>
        <w:spacing w:before="80" w:after="80"/>
      </w:pPr>
      <w:r>
        <w:rPr>
          <w:rFonts w:ascii="Arial" w:cs="Arial" w:eastAsia="Arial" w:hAnsi="Arial"/>
          <w:i/>
          <w:iCs/>
          <w:color w:val="B91C1C"/>
          <w:sz w:val="19"/>
          <w:szCs w:val="19"/>
        </w:rPr>
        <w:t xml:space="preserve">Hard stop. This is the gate you must pass before RevitaHub accepts a single real dollar from a real investor. Every item below is non-negotiable.</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2F2" w:val="clear"/>
            <w:tcMar>
              <w:top w:type="dxa" w:w="200"/>
              <w:left w:type="dxa" w:w="280"/>
              <w:bottom w:type="dxa" w:w="200"/>
              <w:right w:type="dxa" w:w="280"/>
            </w:tcMar>
          </w:tcPr>
          <w:p>
            <w:pPr>
              <w:spacing w:before="0" w:after="40"/>
            </w:pPr>
            <w:r>
              <w:rPr>
                <w:rFonts w:ascii="Arial" w:cs="Arial" w:eastAsia="Arial" w:hAnsi="Arial"/>
                <w:b/>
                <w:bCs/>
                <w:color w:val="FFFFFF"/>
                <w:sz w:val="16"/>
                <w:szCs w:val="16"/>
                <w:shd w:fill="B91C1C" w:val="clear"/>
              </w:rPr>
              <w:t xml:space="preserve">  LAUNCH GATE  </w:t>
            </w:r>
            <w:r>
              <w:rPr>
                <w:rFonts w:ascii="Arial" w:cs="Arial" w:eastAsia="Arial" w:hAnsi="Arial"/>
                <w:b/>
                <w:bCs/>
                <w:color w:val="B91C1C"/>
                <w:sz w:val="15"/>
                <w:szCs w:val="15"/>
              </w:rPr>
              <w:t xml:space="preserve">   GATE — MUST COMPLETE</w:t>
            </w:r>
          </w:p>
          <w:p>
            <w:pPr>
              <w:spacing w:before="0" w:after="0"/>
            </w:pPr>
            <w:r>
              <w:rPr>
                <w:rFonts w:ascii="Arial" w:cs="Arial" w:eastAsia="Arial" w:hAnsi="Arial"/>
                <w:color w:val="1E293B"/>
                <w:sz w:val="20"/>
                <w:szCs w:val="20"/>
              </w:rPr>
              <w:t xml:space="preserve">Every single item below must be completed and verified before going live. No exceptions.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91C1C" w:sz="16"/>
              <w:bottom w:val="none" w:color="FFFFFF" w:sz="0"/>
              <w:right w:val="none" w:color="FFFFFF" w:sz="0"/>
            </w:tcBorders>
            <w:shd w:fill="FEF2F2" w:val="clear"/>
            <w:tcMar>
              <w:top w:type="dxa" w:w="160"/>
              <w:left w:type="dxa" w:w="200"/>
              <w:bottom w:type="dxa" w:w="160"/>
              <w:right w:type="dxa" w:w="200"/>
            </w:tcMar>
          </w:tcPr>
          <w:p>
            <w:pPr>
              <w:pStyle w:val="ListParagraph"/>
              <w:numPr>
                <w:ilvl w:val="0"/>
                <w:numId w:val="2"/>
              </w:numPr>
              <w:spacing w:before="60" w:after="60"/>
            </w:pPr>
            <w:r>
              <w:rPr>
                <w:rFonts w:ascii="Arial" w:cs="Arial" w:eastAsia="Arial" w:hAnsi="Arial"/>
                <w:color w:val="1E293B"/>
                <w:sz w:val="19"/>
                <w:szCs w:val="19"/>
              </w:rPr>
              <w:t xml:space="preserve">Securities counsel engaged and exemption strategy confirmed in writing</w:t>
            </w:r>
          </w:p>
          <w:p>
            <w:pPr>
              <w:pStyle w:val="ListParagraph"/>
              <w:numPr>
                <w:ilvl w:val="0"/>
                <w:numId w:val="2"/>
              </w:numPr>
              <w:spacing w:before="60" w:after="60"/>
            </w:pPr>
            <w:r>
              <w:rPr>
                <w:rFonts w:ascii="Arial" w:cs="Arial" w:eastAsia="Arial" w:hAnsi="Arial"/>
                <w:color w:val="1E293B"/>
                <w:sz w:val="19"/>
                <w:szCs w:val="19"/>
              </w:rPr>
              <w:t xml:space="preserve">Required SEC/FINRA filings submitted (Form C, Form D, or portal registration as applicable)</w:t>
            </w:r>
          </w:p>
          <w:p>
            <w:pPr>
              <w:pStyle w:val="ListParagraph"/>
              <w:numPr>
                <w:ilvl w:val="0"/>
                <w:numId w:val="2"/>
              </w:numPr>
              <w:spacing w:before="60" w:after="60"/>
            </w:pPr>
            <w:r>
              <w:rPr>
                <w:rFonts w:ascii="Arial" w:cs="Arial" w:eastAsia="Arial" w:hAnsi="Arial"/>
                <w:color w:val="1E293B"/>
                <w:sz w:val="19"/>
                <w:szCs w:val="19"/>
              </w:rPr>
              <w:t xml:space="preserve">State blue sky notice filings complete for all target states</w:t>
            </w:r>
          </w:p>
          <w:p>
            <w:pPr>
              <w:pStyle w:val="ListParagraph"/>
              <w:numPr>
                <w:ilvl w:val="0"/>
                <w:numId w:val="2"/>
              </w:numPr>
              <w:spacing w:before="60" w:after="60"/>
            </w:pPr>
            <w:r>
              <w:rPr>
                <w:rFonts w:ascii="Arial" w:cs="Arial" w:eastAsia="Arial" w:hAnsi="Arial"/>
                <w:color w:val="1E293B"/>
                <w:sz w:val="19"/>
                <w:szCs w:val="19"/>
              </w:rPr>
              <w:t xml:space="preserve">Smart contracts audited by third-party firm — audit report received and critical issues remediated</w:t>
            </w:r>
          </w:p>
          <w:p>
            <w:pPr>
              <w:pStyle w:val="ListParagraph"/>
              <w:numPr>
                <w:ilvl w:val="0"/>
                <w:numId w:val="2"/>
              </w:numPr>
              <w:spacing w:before="60" w:after="60"/>
            </w:pPr>
            <w:r>
              <w:rPr>
                <w:rFonts w:ascii="Arial" w:cs="Arial" w:eastAsia="Arial" w:hAnsi="Arial"/>
                <w:color w:val="1E293B"/>
                <w:sz w:val="19"/>
                <w:szCs w:val="19"/>
              </w:rPr>
              <w:t xml:space="preserve">KYC enforcement middleware live on all purchase endpoints — tested and verified</w:t>
            </w:r>
          </w:p>
          <w:p>
            <w:pPr>
              <w:pStyle w:val="ListParagraph"/>
              <w:numPr>
                <w:ilvl w:val="0"/>
                <w:numId w:val="2"/>
              </w:numPr>
              <w:spacing w:before="60" w:after="60"/>
            </w:pPr>
            <w:r>
              <w:rPr>
                <w:rFonts w:ascii="Arial" w:cs="Arial" w:eastAsia="Arial" w:hAnsi="Arial"/>
                <w:color w:val="1E293B"/>
                <w:sz w:val="19"/>
                <w:szCs w:val="19"/>
              </w:rPr>
              <w:t xml:space="preserve">Mandatory investor onboarding flow live and tested end-to-end</w:t>
            </w:r>
          </w:p>
          <w:p>
            <w:pPr>
              <w:pStyle w:val="ListParagraph"/>
              <w:numPr>
                <w:ilvl w:val="0"/>
                <w:numId w:val="2"/>
              </w:numPr>
              <w:spacing w:before="60" w:after="60"/>
            </w:pPr>
            <w:r>
              <w:rPr>
                <w:rFonts w:ascii="Arial" w:cs="Arial" w:eastAsia="Arial" w:hAnsi="Arial"/>
                <w:color w:val="1E293B"/>
                <w:sz w:val="19"/>
                <w:szCs w:val="19"/>
              </w:rPr>
              <w:t xml:space="preserve">Terms of Service, Privacy Policy, and Risk Disclosure reviewed by counsel and live on site</w:t>
            </w:r>
          </w:p>
          <w:p>
            <w:pPr>
              <w:pStyle w:val="ListParagraph"/>
              <w:numPr>
                <w:ilvl w:val="0"/>
                <w:numId w:val="2"/>
              </w:numPr>
              <w:spacing w:before="60" w:after="60"/>
            </w:pPr>
            <w:r>
              <w:rPr>
                <w:rFonts w:ascii="Arial" w:cs="Arial" w:eastAsia="Arial" w:hAnsi="Arial"/>
                <w:color w:val="1E293B"/>
                <w:sz w:val="19"/>
                <w:szCs w:val="19"/>
              </w:rPr>
              <w:t xml:space="preserve">Replit Auth replaced with production auth provider</w:t>
            </w:r>
          </w:p>
          <w:p>
            <w:pPr>
              <w:pStyle w:val="ListParagraph"/>
              <w:numPr>
                <w:ilvl w:val="0"/>
                <w:numId w:val="2"/>
              </w:numPr>
              <w:spacing w:before="60" w:after="60"/>
            </w:pPr>
            <w:r>
              <w:rPr>
                <w:rFonts w:ascii="Arial" w:cs="Arial" w:eastAsia="Arial" w:hAnsi="Arial"/>
                <w:color w:val="1E293B"/>
                <w:sz w:val="19"/>
                <w:szCs w:val="19"/>
              </w:rPr>
              <w:t xml:space="preserve">Stripe webhook signature verification implemented and tested</w:t>
            </w:r>
          </w:p>
          <w:p>
            <w:pPr>
              <w:pStyle w:val="ListParagraph"/>
              <w:numPr>
                <w:ilvl w:val="0"/>
                <w:numId w:val="2"/>
              </w:numPr>
              <w:spacing w:before="60" w:after="60"/>
            </w:pPr>
            <w:r>
              <w:rPr>
                <w:rFonts w:ascii="Arial" w:cs="Arial" w:eastAsia="Arial" w:hAnsi="Arial"/>
                <w:color w:val="1E293B"/>
                <w:sz w:val="19"/>
                <w:szCs w:val="19"/>
              </w:rPr>
              <w:t xml:space="preserve">Payment reconciliation layer implemented — Stripe + blockchain atomic flow tested</w:t>
            </w:r>
          </w:p>
          <w:p>
            <w:pPr>
              <w:pStyle w:val="ListParagraph"/>
              <w:numPr>
                <w:ilvl w:val="0"/>
                <w:numId w:val="2"/>
              </w:numPr>
              <w:spacing w:before="60" w:after="60"/>
            </w:pPr>
            <w:r>
              <w:rPr>
                <w:rFonts w:ascii="Arial" w:cs="Arial" w:eastAsia="Arial" w:hAnsi="Arial"/>
                <w:color w:val="1E293B"/>
                <w:sz w:val="19"/>
                <w:szCs w:val="19"/>
              </w:rPr>
              <w:t xml:space="preserve">Database backups live — tested restore from backup at least once</w:t>
            </w:r>
          </w:p>
          <w:p>
            <w:pPr>
              <w:pStyle w:val="ListParagraph"/>
              <w:numPr>
                <w:ilvl w:val="0"/>
                <w:numId w:val="2"/>
              </w:numPr>
              <w:spacing w:before="60" w:after="60"/>
            </w:pPr>
            <w:r>
              <w:rPr>
                <w:rFonts w:ascii="Arial" w:cs="Arial" w:eastAsia="Arial" w:hAnsi="Arial"/>
                <w:color w:val="1E293B"/>
                <w:sz w:val="19"/>
                <w:szCs w:val="19"/>
              </w:rPr>
              <w:t xml:space="preserve">Sentry error monitoring live on frontend and backend</w:t>
            </w:r>
          </w:p>
          <w:p>
            <w:pPr>
              <w:pStyle w:val="ListParagraph"/>
              <w:numPr>
                <w:ilvl w:val="0"/>
                <w:numId w:val="2"/>
              </w:numPr>
              <w:spacing w:before="60" w:after="60"/>
            </w:pPr>
            <w:r>
              <w:rPr>
                <w:rFonts w:ascii="Arial" w:cs="Arial" w:eastAsia="Arial" w:hAnsi="Arial"/>
                <w:color w:val="1E293B"/>
                <w:sz w:val="19"/>
                <w:szCs w:val="19"/>
              </w:rPr>
              <w:t xml:space="preserve">helmet.js security headers deployed and verified via securityheaders.com</w:t>
            </w:r>
          </w:p>
          <w:p>
            <w:pPr>
              <w:pStyle w:val="ListParagraph"/>
              <w:numPr>
                <w:ilvl w:val="0"/>
                <w:numId w:val="2"/>
              </w:numPr>
              <w:spacing w:before="60" w:after="60"/>
            </w:pPr>
            <w:r>
              <w:rPr>
                <w:rFonts w:ascii="Arial" w:cs="Arial" w:eastAsia="Arial" w:hAnsi="Arial"/>
                <w:color w:val="1E293B"/>
                <w:sz w:val="19"/>
                <w:szCs w:val="19"/>
              </w:rPr>
              <w:t xml:space="preserve">Treasury multi-sig configured on Gnosis Safe with hardware wallet signers</w:t>
            </w:r>
          </w:p>
          <w:p>
            <w:pPr>
              <w:pStyle w:val="ListParagraph"/>
              <w:numPr>
                <w:ilvl w:val="0"/>
                <w:numId w:val="2"/>
              </w:numPr>
              <w:spacing w:before="60" w:after="60"/>
            </w:pPr>
            <w:r>
              <w:rPr>
                <w:rFonts w:ascii="Arial" w:cs="Arial" w:eastAsia="Arial" w:hAnsi="Arial"/>
                <w:color w:val="1E293B"/>
                <w:sz w:val="19"/>
                <w:szCs w:val="19"/>
              </w:rPr>
              <w:t xml:space="preserve">BSA/AML Compliance Officer designated — written AML program document exists</w:t>
            </w:r>
          </w:p>
          <w:p>
            <w:pPr>
              <w:pStyle w:val="ListParagraph"/>
              <w:numPr>
                <w:ilvl w:val="0"/>
                <w:numId w:val="2"/>
              </w:numPr>
              <w:spacing w:before="60" w:after="60"/>
            </w:pPr>
            <w:r>
              <w:rPr>
                <w:rFonts w:ascii="Arial" w:cs="Arial" w:eastAsia="Arial" w:hAnsi="Arial"/>
                <w:color w:val="1E293B"/>
                <w:sz w:val="19"/>
                <w:szCs w:val="19"/>
              </w:rPr>
              <w:t xml:space="preserve">Soft delete pattern implemented across all financial tables</w:t>
            </w:r>
          </w:p>
          <w:p>
            <w:pPr>
              <w:pStyle w:val="ListParagraph"/>
              <w:numPr>
                <w:ilvl w:val="0"/>
                <w:numId w:val="2"/>
              </w:numPr>
              <w:spacing w:before="60" w:after="60"/>
            </w:pPr>
            <w:r>
              <w:rPr>
                <w:rFonts w:ascii="Arial" w:cs="Arial" w:eastAsia="Arial" w:hAnsi="Arial"/>
                <w:color w:val="1E293B"/>
                <w:sz w:val="19"/>
                <w:szCs w:val="19"/>
              </w:rPr>
              <w:t xml:space="preserve">International phase geo-blocked or Reg S compliance in place</w:t>
            </w:r>
          </w:p>
          <w:p>
            <w:pPr>
              <w:pStyle w:val="ListParagraph"/>
              <w:numPr>
                <w:ilvl w:val="0"/>
                <w:numId w:val="2"/>
              </w:numPr>
              <w:spacing w:before="60" w:after="60"/>
            </w:pPr>
            <w:r>
              <w:rPr>
                <w:rFonts w:ascii="Arial" w:cs="Arial" w:eastAsia="Arial" w:hAnsi="Arial"/>
                <w:color w:val="1E293B"/>
                <w:sz w:val="19"/>
                <w:szCs w:val="19"/>
              </w:rPr>
              <w:t xml:space="preserve">Full end-to-end purchase flow tested on Base Sepolia testnet with real wallets</w:t>
            </w:r>
          </w:p>
        </w:tc>
      </w:tr>
    </w:tbl>
    <w:p>
      <w:pPr>
        <w:spacing w:before="280" w:after="0"/>
      </w:pPr>
      <w:r>
        <w:t xml:space="preserve"/>
      </w:r>
    </w:p>
    <w:p>
      <w:pPr>
        <w:pStyle w:val="Heading1"/>
        <w:pBdr>
          <w:bottom w:val="single" w:color="0D1F3C" w:sz="10" w:space="6"/>
        </w:pBdr>
        <w:spacing w:before="560" w:after="0"/>
      </w:pPr>
      <w:r>
        <w:rPr>
          <w:rFonts w:ascii="Arial" w:cs="Arial" w:eastAsia="Arial" w:hAnsi="Arial"/>
          <w:b/>
          <w:bCs/>
          <w:color w:val="0D1F3C"/>
          <w:sz w:val="34"/>
          <w:szCs w:val="34"/>
        </w:rPr>
        <w:t xml:space="preserve">Phase 4 — Post-Launch</w:t>
      </w:r>
    </w:p>
    <w:p>
      <w:pPr>
        <w:spacing w:before="80" w:after="80"/>
      </w:pPr>
      <w:r>
        <w:rPr>
          <w:rFonts w:ascii="Arial" w:cs="Arial" w:eastAsia="Arial" w:hAnsi="Arial"/>
          <w:i/>
          <w:iCs/>
          <w:color w:val="475569"/>
          <w:sz w:val="19"/>
          <w:szCs w:val="19"/>
        </w:rPr>
        <w:t xml:space="preserve">These are real gaps but not launch blockers. Build them in the first 6 months after go-live.</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DF4" w:val="clear"/>
            <w:tcMar>
              <w:top w:type="dxa" w:w="200"/>
              <w:left w:type="dxa" w:w="280"/>
              <w:bottom w:type="dxa" w:w="200"/>
              <w:right w:type="dxa" w:w="280"/>
            </w:tcMar>
          </w:tcPr>
          <w:p>
            <w:pPr>
              <w:spacing w:before="0" w:after="40"/>
            </w:pPr>
            <w:r>
              <w:rPr>
                <w:rFonts w:ascii="Arial" w:cs="Arial" w:eastAsia="Arial" w:hAnsi="Arial"/>
                <w:b/>
                <w:bCs/>
                <w:color w:val="FFFFFF"/>
                <w:sz w:val="16"/>
                <w:szCs w:val="16"/>
                <w:shd w:fill="15803D" w:val="clear"/>
              </w:rPr>
              <w:t xml:space="preserve">  POST-LAUNCH  </w:t>
            </w:r>
            <w:r>
              <w:rPr>
                <w:rFonts w:ascii="Arial" w:cs="Arial" w:eastAsia="Arial" w:hAnsi="Arial"/>
                <w:b/>
                <w:bCs/>
                <w:color w:val="15803D"/>
                <w:sz w:val="15"/>
                <w:szCs w:val="15"/>
              </w:rPr>
              <w:t xml:space="preserve">   AFTER LAUNCH</w:t>
            </w:r>
          </w:p>
          <w:p>
            <w:pPr>
              <w:spacing w:before="0" w:after="0"/>
            </w:pPr>
            <w:r>
              <w:rPr>
                <w:rFonts w:ascii="Arial" w:cs="Arial" w:eastAsia="Arial" w:hAnsi="Arial"/>
                <w:color w:val="1E293B"/>
                <w:sz w:val="20"/>
                <w:szCs w:val="20"/>
              </w:rPr>
              <w:t xml:space="preserve">Real gaps — but not blockers. Build in the first 6 months after you open.</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5803D" w:sz="14"/>
              <w:bottom w:val="single" w:color="CBD5E0" w:sz="1"/>
              <w:right w:val="none" w:color="FFFFFF" w:sz="0"/>
            </w:tcBorders>
            <w:shd w:fill="F0FDF4" w:val="clear"/>
            <w:tcMar>
              <w:top w:type="dxa" w:w="120"/>
              <w:left w:type="dxa" w:w="200"/>
              <w:bottom w:type="dxa" w:w="120"/>
              <w:right w:type="dxa" w:w="200"/>
            </w:tcMar>
          </w:tcPr>
          <w:p>
            <w:pPr>
              <w:spacing w:before="0" w:after="0"/>
            </w:pPr>
            <w:r>
              <w:rPr>
                <w:rFonts w:ascii="Arial" w:cs="Arial" w:eastAsia="Arial" w:hAnsi="Arial"/>
                <w:b/>
                <w:bCs/>
                <w:color w:val="15803D"/>
                <w:sz w:val="20"/>
                <w:szCs w:val="20"/>
              </w:rPr>
              <w:t xml:space="preserve">Investor Annual Reporting</w:t>
            </w:r>
          </w:p>
        </w:tc>
      </w:tr>
      <w:tr>
        <w:tc>
          <w:tcPr>
            <w:tcW w:type="dxa" w:w="9360"/>
            <w:tcBorders>
              <w:top w:val="none" w:color="FFFFFF" w:sz="0"/>
              <w:left w:val="single" w:color="15803D" w:sz="14"/>
              <w:bottom w:val="single" w:color="CBD5E0" w:sz="1"/>
              <w:right w:val="none" w:color="FFFFFF" w:sz="0"/>
            </w:tcBorders>
            <w:shd w:fill="FFFFFF" w:val="clear"/>
            <w:tcMar>
              <w:top w:type="dxa" w:w="100"/>
              <w:left w:type="dxa" w:w="200"/>
              <w:bottom w:type="dxa" w:w="100"/>
              <w:right w:type="dxa" w:w="200"/>
            </w:tcMar>
          </w:tcPr>
          <w:p>
            <w:pPr>
              <w:pStyle w:val="ListParagraph"/>
              <w:numPr>
                <w:ilvl w:val="0"/>
                <w:numId w:val="2"/>
              </w:numPr>
              <w:spacing w:before="60" w:after="60"/>
            </w:pPr>
            <w:r>
              <w:rPr>
                <w:rFonts w:ascii="Arial" w:cs="Arial" w:eastAsia="Arial" w:hAnsi="Arial"/>
                <w:color w:val="1E293B"/>
                <w:sz w:val="19"/>
                <w:szCs w:val="19"/>
              </w:rPr>
              <w:t xml:space="preserve">Reg CF legally requires annual reports to investors — build the infrastructure to generate and distribute these</w:t>
            </w:r>
          </w:p>
          <w:p>
            <w:pPr>
              <w:pStyle w:val="ListParagraph"/>
              <w:numPr>
                <w:ilvl w:val="0"/>
                <w:numId w:val="2"/>
              </w:numPr>
              <w:spacing w:before="60" w:after="60"/>
            </w:pPr>
            <w:r>
              <w:rPr>
                <w:rFonts w:ascii="Arial" w:cs="Arial" w:eastAsia="Arial" w:hAnsi="Arial"/>
                <w:color w:val="1E293B"/>
                <w:sz w:val="19"/>
                <w:szCs w:val="19"/>
              </w:rPr>
              <w:t xml:space="preserve">Reports must include: financial statements, use of proceeds, material changes to the business</w:t>
            </w:r>
          </w:p>
          <w:p>
            <w:pPr>
              <w:pStyle w:val="ListParagraph"/>
              <w:numPr>
                <w:ilvl w:val="0"/>
                <w:numId w:val="2"/>
              </w:numPr>
              <w:spacing w:before="60" w:after="60"/>
            </w:pPr>
            <w:r>
              <w:rPr>
                <w:rFonts w:ascii="Arial" w:cs="Arial" w:eastAsia="Arial" w:hAnsi="Arial"/>
                <w:color w:val="1E293B"/>
                <w:sz w:val="19"/>
                <w:szCs w:val="19"/>
              </w:rPr>
              <w:t xml:space="preserve">Build an admin-facing report generator that exports investor-facing annual summaries</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5803D" w:sz="14"/>
              <w:bottom w:val="single" w:color="CBD5E0" w:sz="1"/>
              <w:right w:val="none" w:color="FFFFFF" w:sz="0"/>
            </w:tcBorders>
            <w:shd w:fill="F0FDF4" w:val="clear"/>
            <w:tcMar>
              <w:top w:type="dxa" w:w="120"/>
              <w:left w:type="dxa" w:w="200"/>
              <w:bottom w:type="dxa" w:w="120"/>
              <w:right w:type="dxa" w:w="200"/>
            </w:tcMar>
          </w:tcPr>
          <w:p>
            <w:pPr>
              <w:spacing w:before="0" w:after="0"/>
            </w:pPr>
            <w:r>
              <w:rPr>
                <w:rFonts w:ascii="Arial" w:cs="Arial" w:eastAsia="Arial" w:hAnsi="Arial"/>
                <w:b/>
                <w:bCs/>
                <w:color w:val="15803D"/>
                <w:sz w:val="20"/>
                <w:szCs w:val="20"/>
              </w:rPr>
              <w:t xml:space="preserve">Secondary Market / Liquidity</w:t>
            </w:r>
          </w:p>
        </w:tc>
      </w:tr>
      <w:tr>
        <w:tc>
          <w:tcPr>
            <w:tcW w:type="dxa" w:w="9360"/>
            <w:tcBorders>
              <w:top w:val="none" w:color="FFFFFF" w:sz="0"/>
              <w:left w:val="single" w:color="15803D" w:sz="14"/>
              <w:bottom w:val="single" w:color="CBD5E0" w:sz="1"/>
              <w:right w:val="none" w:color="FFFFFF" w:sz="0"/>
            </w:tcBorders>
            <w:shd w:fill="FFFFFF" w:val="clear"/>
            <w:tcMar>
              <w:top w:type="dxa" w:w="100"/>
              <w:left w:type="dxa" w:w="200"/>
              <w:bottom w:type="dxa" w:w="100"/>
              <w:right w:type="dxa" w:w="200"/>
            </w:tcMar>
          </w:tcPr>
          <w:p>
            <w:pPr>
              <w:pStyle w:val="ListParagraph"/>
              <w:numPr>
                <w:ilvl w:val="0"/>
                <w:numId w:val="2"/>
              </w:numPr>
              <w:spacing w:before="60" w:after="60"/>
            </w:pPr>
            <w:r>
              <w:rPr>
                <w:rFonts w:ascii="Arial" w:cs="Arial" w:eastAsia="Arial" w:hAnsi="Arial"/>
                <w:color w:val="1E293B"/>
                <w:sz w:val="19"/>
                <w:szCs w:val="19"/>
              </w:rPr>
              <w:t xml:space="preserve">Token holders currently have no clear exit — shareTransfers table exists but no secondary market or buyback mechanism</w:t>
            </w:r>
          </w:p>
          <w:p>
            <w:pPr>
              <w:pStyle w:val="ListParagraph"/>
              <w:numPr>
                <w:ilvl w:val="0"/>
                <w:numId w:val="2"/>
              </w:numPr>
              <w:spacing w:before="60" w:after="60"/>
            </w:pPr>
            <w:r>
              <w:rPr>
                <w:rFonts w:ascii="Arial" w:cs="Arial" w:eastAsia="Arial" w:hAnsi="Arial"/>
                <w:color w:val="1E293B"/>
                <w:sz w:val="19"/>
                <w:szCs w:val="19"/>
              </w:rPr>
              <w:t xml:space="preserve">Options: build an internal peer-to-peer transfer marketplace, partner with an ATS (Alternative Trading System), or implement a buyback reserve</w:t>
            </w:r>
          </w:p>
          <w:p>
            <w:pPr>
              <w:pStyle w:val="ListParagraph"/>
              <w:numPr>
                <w:ilvl w:val="0"/>
                <w:numId w:val="2"/>
              </w:numPr>
              <w:spacing w:before="60" w:after="60"/>
            </w:pPr>
            <w:r>
              <w:rPr>
                <w:rFonts w:ascii="Arial" w:cs="Arial" w:eastAsia="Arial" w:hAnsi="Arial"/>
                <w:color w:val="1E293B"/>
                <w:sz w:val="19"/>
                <w:szCs w:val="19"/>
              </w:rPr>
              <w:t xml:space="preserve">This is a major investor relations issue — address within 90 days of launch</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5803D" w:sz="14"/>
              <w:bottom w:val="single" w:color="CBD5E0" w:sz="1"/>
              <w:right w:val="none" w:color="FFFFFF" w:sz="0"/>
            </w:tcBorders>
            <w:shd w:fill="F0FDF4" w:val="clear"/>
            <w:tcMar>
              <w:top w:type="dxa" w:w="120"/>
              <w:left w:type="dxa" w:w="200"/>
              <w:bottom w:type="dxa" w:w="120"/>
              <w:right w:type="dxa" w:w="200"/>
            </w:tcMar>
          </w:tcPr>
          <w:p>
            <w:pPr>
              <w:spacing w:before="0" w:after="0"/>
            </w:pPr>
            <w:r>
              <w:rPr>
                <w:rFonts w:ascii="Arial" w:cs="Arial" w:eastAsia="Arial" w:hAnsi="Arial"/>
                <w:b/>
                <w:bCs/>
                <w:color w:val="15803D"/>
                <w:sz w:val="20"/>
                <w:szCs w:val="20"/>
              </w:rPr>
              <w:t xml:space="preserve">AML Scaling</w:t>
            </w:r>
          </w:p>
        </w:tc>
      </w:tr>
      <w:tr>
        <w:tc>
          <w:tcPr>
            <w:tcW w:type="dxa" w:w="9360"/>
            <w:tcBorders>
              <w:top w:val="none" w:color="FFFFFF" w:sz="0"/>
              <w:left w:val="single" w:color="15803D" w:sz="14"/>
              <w:bottom w:val="single" w:color="CBD5E0" w:sz="1"/>
              <w:right w:val="none" w:color="FFFFFF" w:sz="0"/>
            </w:tcBorders>
            <w:shd w:fill="FFFFFF" w:val="clear"/>
            <w:tcMar>
              <w:top w:type="dxa" w:w="100"/>
              <w:left w:type="dxa" w:w="200"/>
              <w:bottom w:type="dxa" w:w="100"/>
              <w:right w:type="dxa" w:w="200"/>
            </w:tcMar>
          </w:tcPr>
          <w:p>
            <w:pPr>
              <w:pStyle w:val="ListParagraph"/>
              <w:numPr>
                <w:ilvl w:val="0"/>
                <w:numId w:val="2"/>
              </w:numPr>
              <w:spacing w:before="60" w:after="60"/>
            </w:pPr>
            <w:r>
              <w:rPr>
                <w:rFonts w:ascii="Arial" w:cs="Arial" w:eastAsia="Arial" w:hAnsi="Arial"/>
                <w:color w:val="1E293B"/>
                <w:sz w:val="19"/>
                <w:szCs w:val="19"/>
              </w:rPr>
              <w:t xml:space="preserve">Integrate Chainalysis Reactor or TRM Labs for automated wallet screening on crypto purchases</w:t>
            </w:r>
          </w:p>
          <w:p>
            <w:pPr>
              <w:pStyle w:val="ListParagraph"/>
              <w:numPr>
                <w:ilvl w:val="0"/>
                <w:numId w:val="2"/>
              </w:numPr>
              <w:spacing w:before="60" w:after="60"/>
            </w:pPr>
            <w:r>
              <w:rPr>
                <w:rFonts w:ascii="Arial" w:cs="Arial" w:eastAsia="Arial" w:hAnsi="Arial"/>
                <w:color w:val="1E293B"/>
                <w:sz w:val="19"/>
                <w:szCs w:val="19"/>
              </w:rPr>
              <w:t xml:space="preserve">Build suspicious activity flagging and SAR filing workflow for compliance officer</w:t>
            </w:r>
          </w:p>
          <w:p>
            <w:pPr>
              <w:pStyle w:val="ListParagraph"/>
              <w:numPr>
                <w:ilvl w:val="0"/>
                <w:numId w:val="2"/>
              </w:numPr>
              <w:spacing w:before="60" w:after="60"/>
            </w:pPr>
            <w:r>
              <w:rPr>
                <w:rFonts w:ascii="Arial" w:cs="Arial" w:eastAsia="Arial" w:hAnsi="Arial"/>
                <w:color w:val="1E293B"/>
                <w:sz w:val="19"/>
                <w:szCs w:val="19"/>
              </w:rPr>
              <w:t xml:space="preserve">Set up automated CTR (Currency Transaction Report) alerts for transactions over $10,000</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5803D" w:sz="14"/>
              <w:bottom w:val="single" w:color="CBD5E0" w:sz="1"/>
              <w:right w:val="none" w:color="FFFFFF" w:sz="0"/>
            </w:tcBorders>
            <w:shd w:fill="F0FDF4" w:val="clear"/>
            <w:tcMar>
              <w:top w:type="dxa" w:w="120"/>
              <w:left w:type="dxa" w:w="200"/>
              <w:bottom w:type="dxa" w:w="120"/>
              <w:right w:type="dxa" w:w="200"/>
            </w:tcMar>
          </w:tcPr>
          <w:p>
            <w:pPr>
              <w:spacing w:before="0" w:after="0"/>
            </w:pPr>
            <w:r>
              <w:rPr>
                <w:rFonts w:ascii="Arial" w:cs="Arial" w:eastAsia="Arial" w:hAnsi="Arial"/>
                <w:b/>
                <w:bCs/>
                <w:color w:val="15803D"/>
                <w:sz w:val="20"/>
                <w:szCs w:val="20"/>
              </w:rPr>
              <w:t xml:space="preserve">International Phase Compliance</w:t>
            </w:r>
          </w:p>
        </w:tc>
      </w:tr>
      <w:tr>
        <w:tc>
          <w:tcPr>
            <w:tcW w:type="dxa" w:w="9360"/>
            <w:tcBorders>
              <w:top w:val="none" w:color="FFFFFF" w:sz="0"/>
              <w:left w:val="single" w:color="15803D" w:sz="14"/>
              <w:bottom w:val="single" w:color="CBD5E0" w:sz="1"/>
              <w:right w:val="none" w:color="FFFFFF" w:sz="0"/>
            </w:tcBorders>
            <w:shd w:fill="FFFFFF" w:val="clear"/>
            <w:tcMar>
              <w:top w:type="dxa" w:w="100"/>
              <w:left w:type="dxa" w:w="200"/>
              <w:bottom w:type="dxa" w:w="100"/>
              <w:right w:type="dxa" w:w="200"/>
            </w:tcMar>
          </w:tcPr>
          <w:p>
            <w:pPr>
              <w:pStyle w:val="ListParagraph"/>
              <w:numPr>
                <w:ilvl w:val="0"/>
                <w:numId w:val="2"/>
              </w:numPr>
              <w:spacing w:before="60" w:after="60"/>
            </w:pPr>
            <w:r>
              <w:rPr>
                <w:rFonts w:ascii="Arial" w:cs="Arial" w:eastAsia="Arial" w:hAnsi="Arial"/>
                <w:color w:val="1E293B"/>
                <w:sz w:val="19"/>
                <w:szCs w:val="19"/>
              </w:rPr>
              <w:t xml:space="preserve">EU: Prospectus Regulation, MiCA (Markets in Crypto Assets) compliance required</w:t>
            </w:r>
          </w:p>
          <w:p>
            <w:pPr>
              <w:pStyle w:val="ListParagraph"/>
              <w:numPr>
                <w:ilvl w:val="0"/>
                <w:numId w:val="2"/>
              </w:numPr>
              <w:spacing w:before="60" w:after="60"/>
            </w:pPr>
            <w:r>
              <w:rPr>
                <w:rFonts w:ascii="Arial" w:cs="Arial" w:eastAsia="Arial" w:hAnsi="Arial"/>
                <w:color w:val="1E293B"/>
                <w:sz w:val="19"/>
                <w:szCs w:val="19"/>
              </w:rPr>
              <w:t xml:space="preserve">UK: FCA registration or exemption required</w:t>
            </w:r>
          </w:p>
          <w:p>
            <w:pPr>
              <w:pStyle w:val="ListParagraph"/>
              <w:numPr>
                <w:ilvl w:val="0"/>
                <w:numId w:val="2"/>
              </w:numPr>
              <w:spacing w:before="60" w:after="60"/>
            </w:pPr>
            <w:r>
              <w:rPr>
                <w:rFonts w:ascii="Arial" w:cs="Arial" w:eastAsia="Arial" w:hAnsi="Arial"/>
                <w:color w:val="1E293B"/>
                <w:sz w:val="19"/>
                <w:szCs w:val="19"/>
              </w:rPr>
              <w:t xml:space="preserve">Canada, Australia: their own securities frameworks apply</w:t>
            </w:r>
          </w:p>
          <w:p>
            <w:pPr>
              <w:pStyle w:val="ListParagraph"/>
              <w:numPr>
                <w:ilvl w:val="0"/>
                <w:numId w:val="2"/>
              </w:numPr>
              <w:spacing w:before="60" w:after="60"/>
            </w:pPr>
            <w:r>
              <w:rPr>
                <w:rFonts w:ascii="Arial" w:cs="Arial" w:eastAsia="Arial" w:hAnsi="Arial"/>
                <w:color w:val="1E293B"/>
                <w:sz w:val="19"/>
                <w:szCs w:val="19"/>
              </w:rPr>
              <w:t xml:space="preserve">Engage international counsel per jurisdiction before enabling the International phase for any region</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5803D" w:sz="14"/>
              <w:bottom w:val="single" w:color="CBD5E0" w:sz="1"/>
              <w:right w:val="none" w:color="FFFFFF" w:sz="0"/>
            </w:tcBorders>
            <w:shd w:fill="F0FDF4" w:val="clear"/>
            <w:tcMar>
              <w:top w:type="dxa" w:w="120"/>
              <w:left w:type="dxa" w:w="200"/>
              <w:bottom w:type="dxa" w:w="120"/>
              <w:right w:type="dxa" w:w="200"/>
            </w:tcMar>
          </w:tcPr>
          <w:p>
            <w:pPr>
              <w:spacing w:before="0" w:after="0"/>
            </w:pPr>
            <w:r>
              <w:rPr>
                <w:rFonts w:ascii="Arial" w:cs="Arial" w:eastAsia="Arial" w:hAnsi="Arial"/>
                <w:b/>
                <w:bCs/>
                <w:color w:val="15803D"/>
                <w:sz w:val="20"/>
                <w:szCs w:val="20"/>
              </w:rPr>
              <w:t xml:space="preserve">Property Valuation Transparency</w:t>
            </w:r>
          </w:p>
        </w:tc>
      </w:tr>
      <w:tr>
        <w:tc>
          <w:tcPr>
            <w:tcW w:type="dxa" w:w="9360"/>
            <w:tcBorders>
              <w:top w:val="none" w:color="FFFFFF" w:sz="0"/>
              <w:left w:val="single" w:color="15803D" w:sz="14"/>
              <w:bottom w:val="single" w:color="CBD5E0" w:sz="1"/>
              <w:right w:val="none" w:color="FFFFFF" w:sz="0"/>
            </w:tcBorders>
            <w:shd w:fill="FFFFFF" w:val="clear"/>
            <w:tcMar>
              <w:top w:type="dxa" w:w="100"/>
              <w:left w:type="dxa" w:w="200"/>
              <w:bottom w:type="dxa" w:w="100"/>
              <w:right w:type="dxa" w:w="200"/>
            </w:tcMar>
          </w:tcPr>
          <w:p>
            <w:pPr>
              <w:pStyle w:val="ListParagraph"/>
              <w:numPr>
                <w:ilvl w:val="0"/>
                <w:numId w:val="2"/>
              </w:numPr>
              <w:spacing w:before="60" w:after="60"/>
            </w:pPr>
            <w:r>
              <w:rPr>
                <w:rFonts w:ascii="Arial" w:cs="Arial" w:eastAsia="Arial" w:hAnsi="Arial"/>
                <w:color w:val="1E293B"/>
                <w:sz w:val="19"/>
                <w:szCs w:val="19"/>
              </w:rPr>
              <w:t xml:space="preserve">estimatedValue is currently a field with no disclosed methodology — securities law requires disclosure of how values are determined</w:t>
            </w:r>
          </w:p>
          <w:p>
            <w:pPr>
              <w:pStyle w:val="ListParagraph"/>
              <w:numPr>
                <w:ilvl w:val="0"/>
                <w:numId w:val="2"/>
              </w:numPr>
              <w:spacing w:before="60" w:after="60"/>
            </w:pPr>
            <w:r>
              <w:rPr>
                <w:rFonts w:ascii="Arial" w:cs="Arial" w:eastAsia="Arial" w:hAnsi="Arial"/>
                <w:color w:val="1E293B"/>
                <w:sz w:val="19"/>
                <w:szCs w:val="19"/>
              </w:rPr>
              <w:t xml:space="preserve">Integrate third-party appraisals or a disclosed automated valuation methodology (AVM)</w:t>
            </w:r>
          </w:p>
          <w:p>
            <w:pPr>
              <w:pStyle w:val="ListParagraph"/>
              <w:numPr>
                <w:ilvl w:val="0"/>
                <w:numId w:val="2"/>
              </w:numPr>
              <w:spacing w:before="60" w:after="60"/>
            </w:pPr>
            <w:r>
              <w:rPr>
                <w:rFonts w:ascii="Arial" w:cs="Arial" w:eastAsia="Arial" w:hAnsi="Arial"/>
                <w:color w:val="1E293B"/>
                <w:sz w:val="19"/>
                <w:szCs w:val="19"/>
              </w:rPr>
              <w:t xml:space="preserve">Add capital stack transparency: show liens, mortgages, senior debt on each property detail page</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5803D" w:sz="14"/>
              <w:bottom w:val="single" w:color="CBD5E0" w:sz="1"/>
              <w:right w:val="none" w:color="FFFFFF" w:sz="0"/>
            </w:tcBorders>
            <w:shd w:fill="F0FDF4" w:val="clear"/>
            <w:tcMar>
              <w:top w:type="dxa" w:w="120"/>
              <w:left w:type="dxa" w:w="200"/>
              <w:bottom w:type="dxa" w:w="120"/>
              <w:right w:type="dxa" w:w="200"/>
            </w:tcMar>
          </w:tcPr>
          <w:p>
            <w:pPr>
              <w:spacing w:before="0" w:after="0"/>
            </w:pPr>
            <w:r>
              <w:rPr>
                <w:rFonts w:ascii="Arial" w:cs="Arial" w:eastAsia="Arial" w:hAnsi="Arial"/>
                <w:b/>
                <w:bCs/>
                <w:color w:val="15803D"/>
                <w:sz w:val="20"/>
                <w:szCs w:val="20"/>
              </w:rPr>
              <w:t xml:space="preserve">Insurance &amp; Title</w:t>
            </w:r>
          </w:p>
        </w:tc>
      </w:tr>
      <w:tr>
        <w:tc>
          <w:tcPr>
            <w:tcW w:type="dxa" w:w="9360"/>
            <w:tcBorders>
              <w:top w:val="none" w:color="FFFFFF" w:sz="0"/>
              <w:left w:val="single" w:color="15803D" w:sz="14"/>
              <w:bottom w:val="single" w:color="CBD5E0" w:sz="1"/>
              <w:right w:val="none" w:color="FFFFFF" w:sz="0"/>
            </w:tcBorders>
            <w:shd w:fill="FFFFFF" w:val="clear"/>
            <w:tcMar>
              <w:top w:type="dxa" w:w="100"/>
              <w:left w:type="dxa" w:w="200"/>
              <w:bottom w:type="dxa" w:w="100"/>
              <w:right w:type="dxa" w:w="200"/>
            </w:tcMar>
          </w:tcPr>
          <w:p>
            <w:pPr>
              <w:pStyle w:val="ListParagraph"/>
              <w:numPr>
                <w:ilvl w:val="0"/>
                <w:numId w:val="2"/>
              </w:numPr>
              <w:spacing w:before="60" w:after="60"/>
            </w:pPr>
            <w:r>
              <w:rPr>
                <w:rFonts w:ascii="Arial" w:cs="Arial" w:eastAsia="Arial" w:hAnsi="Arial"/>
                <w:color w:val="1E293B"/>
                <w:sz w:val="19"/>
                <w:szCs w:val="19"/>
              </w:rPr>
              <w:t xml:space="preserve">Add title insurance requirement to property submission process</w:t>
            </w:r>
          </w:p>
          <w:p>
            <w:pPr>
              <w:pStyle w:val="ListParagraph"/>
              <w:numPr>
                <w:ilvl w:val="0"/>
                <w:numId w:val="2"/>
              </w:numPr>
              <w:spacing w:before="60" w:after="60"/>
            </w:pPr>
            <w:r>
              <w:rPr>
                <w:rFonts w:ascii="Arial" w:cs="Arial" w:eastAsia="Arial" w:hAnsi="Arial"/>
                <w:color w:val="1E293B"/>
                <w:sz w:val="19"/>
                <w:szCs w:val="19"/>
              </w:rPr>
              <w:t xml:space="preserve">Disclose property insurance status to investors on each property page</w:t>
            </w:r>
          </w:p>
          <w:p>
            <w:pPr>
              <w:pStyle w:val="ListParagraph"/>
              <w:numPr>
                <w:ilvl w:val="0"/>
                <w:numId w:val="2"/>
              </w:numPr>
              <w:spacing w:before="60" w:after="60"/>
            </w:pPr>
            <w:r>
              <w:rPr>
                <w:rFonts w:ascii="Arial" w:cs="Arial" w:eastAsia="Arial" w:hAnsi="Arial"/>
                <w:color w:val="1E293B"/>
                <w:sz w:val="19"/>
                <w:szCs w:val="19"/>
              </w:rPr>
              <w:t xml:space="preserve">Explore investor protection insurance products (SIPC doesn't cover securities crowdfunding, but some insurers do)</w:t>
            </w:r>
          </w:p>
        </w:tc>
      </w:tr>
    </w:tbl>
    <w:p>
      <w:pPr>
        <w:spacing w:before="120" w:after="0"/>
      </w:pPr>
      <w:r>
        <w:t xml:space="preserve"/>
      </w:r>
    </w:p>
    <w:p>
      <w:pPr>
        <w:spacing w:before="280" w:after="0"/>
      </w:pPr>
      <w:r>
        <w:t xml:space="preserve"/>
      </w:r>
    </w:p>
    <w:p>
      <w:pPr>
        <w:pStyle w:val="Heading1"/>
        <w:pBdr>
          <w:bottom w:val="single" w:color="0D1F3C" w:sz="10" w:space="6"/>
        </w:pBdr>
        <w:spacing w:before="560" w:after="0"/>
      </w:pPr>
      <w:r>
        <w:rPr>
          <w:rFonts w:ascii="Arial" w:cs="Arial" w:eastAsia="Arial" w:hAnsi="Arial"/>
          <w:b/>
          <w:bCs/>
          <w:color w:val="0D1F3C"/>
          <w:sz w:val="34"/>
          <w:szCs w:val="34"/>
        </w:rPr>
        <w:t xml:space="preserve">Appendix — What's Already Well-Built</w:t>
      </w:r>
    </w:p>
    <w:p>
      <w:pPr>
        <w:spacing w:before="80" w:after="80"/>
      </w:pPr>
      <w:r>
        <w:rPr>
          <w:rFonts w:ascii="Arial" w:cs="Arial" w:eastAsia="Arial" w:hAnsi="Arial"/>
          <w:i/>
          <w:iCs/>
          <w:color w:val="475569"/>
          <w:sz w:val="19"/>
          <w:szCs w:val="19"/>
        </w:rPr>
        <w:t xml:space="preserve">These architectural decisions are strong and don't need to change. Keep them.</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0" w:sz="1"/>
              <w:left w:val="single" w:color="CBD5E0" w:sz="1"/>
              <w:bottom w:val="single" w:color="CBD5E0" w:sz="1"/>
              <w:right w:val="single" w:color="CBD5E0" w:sz="1"/>
            </w:tcBorders>
            <w:shd w:fill="0D1F3C"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7160"/>
            <w:tcBorders>
              <w:top w:val="single" w:color="CBD5E0" w:sz="1"/>
              <w:left w:val="single" w:color="CBD5E0" w:sz="1"/>
              <w:bottom w:val="single" w:color="CBD5E0" w:sz="1"/>
              <w:right w:val="single" w:color="CBD5E0" w:sz="1"/>
            </w:tcBorders>
            <w:shd w:fill="0D1F3C" w:val="clear"/>
            <w:tcMar>
              <w:top w:type="dxa" w:w="80"/>
              <w:left w:type="dxa" w:w="120"/>
              <w:bottom w:type="dxa" w:w="80"/>
              <w:right w:type="dxa" w:w="120"/>
            </w:tcMar>
          </w:tcPr>
          <w:p>
            <w:r>
              <w:rPr>
                <w:rFonts w:ascii="Arial" w:cs="Arial" w:eastAsia="Arial" w:hAnsi="Arial"/>
                <w:color w:val="FFFFFF"/>
                <w:sz w:val="18"/>
                <w:szCs w:val="18"/>
              </w:rPr>
              <w:t xml:space="preserve">WHY IT'S GOOD</w:t>
            </w:r>
          </w:p>
        </w:tc>
      </w:tr>
      <w:tr>
        <w:tc>
          <w:tcPr>
            <w:tcW w:type="dxa" w:w="2200"/>
            <w:tcBorders>
              <w:top w:val="single" w:color="CBD5E0" w:sz="1"/>
              <w:left w:val="single" w:color="CBD5E0" w:sz="1"/>
              <w:bottom w:val="single" w:color="CBD5E0" w:sz="1"/>
              <w:right w:val="single" w:color="CBD5E0" w:sz="1"/>
            </w:tcBorders>
            <w:shd w:fill="F8FAFC" w:val="clear"/>
            <w:tcMar>
              <w:top w:type="dxa" w:w="80"/>
              <w:left w:type="dxa" w:w="120"/>
              <w:bottom w:type="dxa" w:w="80"/>
              <w:right w:type="dxa" w:w="120"/>
            </w:tcMar>
          </w:tcPr>
          <w:p>
            <w:r>
              <w:rPr>
                <w:rFonts w:ascii="Arial" w:cs="Arial" w:eastAsia="Arial" w:hAnsi="Arial"/>
                <w:b/>
                <w:bCs/>
                <w:color w:val="0D1F3C"/>
                <w:sz w:val="18"/>
                <w:szCs w:val="18"/>
              </w:rPr>
              <w:t xml:space="preserve">ERC-1155 token standard</w:t>
            </w:r>
          </w:p>
        </w:tc>
        <w:tc>
          <w:tcPr>
            <w:tcW w:type="dxa" w:w="71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Correct choice over ERC-20 — one contract handles all property tokens, reducing deployment cost and complexity</w:t>
            </w:r>
          </w:p>
        </w:tc>
      </w:tr>
      <w:tr>
        <w:tc>
          <w:tcPr>
            <w:tcW w:type="dxa" w:w="2200"/>
            <w:tcBorders>
              <w:top w:val="single" w:color="CBD5E0" w:sz="1"/>
              <w:left w:val="single" w:color="CBD5E0" w:sz="1"/>
              <w:bottom w:val="single" w:color="CBD5E0" w:sz="1"/>
              <w:right w:val="single" w:color="CBD5E0" w:sz="1"/>
            </w:tcBorders>
            <w:shd w:fill="F8FAFC" w:val="clear"/>
            <w:tcMar>
              <w:top w:type="dxa" w:w="80"/>
              <w:left w:type="dxa" w:w="120"/>
              <w:bottom w:type="dxa" w:w="80"/>
              <w:right w:type="dxa" w:w="120"/>
            </w:tcMar>
          </w:tcPr>
          <w:p>
            <w:r>
              <w:rPr>
                <w:rFonts w:ascii="Arial" w:cs="Arial" w:eastAsia="Arial" w:hAnsi="Arial"/>
                <w:b/>
                <w:bCs/>
                <w:color w:val="0D1F3C"/>
                <w:sz w:val="18"/>
                <w:szCs w:val="18"/>
              </w:rPr>
              <w:t xml:space="preserve">Phase-weighted DAO voting</w:t>
            </w:r>
          </w:p>
        </w:tc>
        <w:tc>
          <w:tcPr>
            <w:tcW w:type="dxa" w:w="71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Rare in community platforms. Early/local investors get higher voting multipliers — aligns incentives correctly</w:t>
            </w:r>
          </w:p>
        </w:tc>
      </w:tr>
      <w:tr>
        <w:tc>
          <w:tcPr>
            <w:tcW w:type="dxa" w:w="2200"/>
            <w:tcBorders>
              <w:top w:val="single" w:color="CBD5E0" w:sz="1"/>
              <w:left w:val="single" w:color="CBD5E0" w:sz="1"/>
              <w:bottom w:val="single" w:color="CBD5E0" w:sz="1"/>
              <w:right w:val="single" w:color="CBD5E0" w:sz="1"/>
            </w:tcBorders>
            <w:shd w:fill="F8FAFC" w:val="clear"/>
            <w:tcMar>
              <w:top w:type="dxa" w:w="80"/>
              <w:left w:type="dxa" w:w="120"/>
              <w:bottom w:type="dxa" w:w="80"/>
              <w:right w:type="dxa" w:w="120"/>
            </w:tcMar>
          </w:tcPr>
          <w:p>
            <w:r>
              <w:rPr>
                <w:rFonts w:ascii="Arial" w:cs="Arial" w:eastAsia="Arial" w:hAnsi="Arial"/>
                <w:b/>
                <w:bCs/>
                <w:color w:val="0D1F3C"/>
                <w:sz w:val="18"/>
                <w:szCs w:val="18"/>
              </w:rPr>
              <w:t xml:space="preserve">Gasless EIP-712 voting</w:t>
            </w:r>
          </w:p>
        </w:tc>
        <w:tc>
          <w:tcPr>
            <w:tcW w:type="dxa" w:w="71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Removes the gas barrier for retail investors to participate in governance — critical for community platforms</w:t>
            </w:r>
          </w:p>
        </w:tc>
      </w:tr>
      <w:tr>
        <w:tc>
          <w:tcPr>
            <w:tcW w:type="dxa" w:w="2200"/>
            <w:tcBorders>
              <w:top w:val="single" w:color="CBD5E0" w:sz="1"/>
              <w:left w:val="single" w:color="CBD5E0" w:sz="1"/>
              <w:bottom w:val="single" w:color="CBD5E0" w:sz="1"/>
              <w:right w:val="single" w:color="CBD5E0" w:sz="1"/>
            </w:tcBorders>
            <w:shd w:fill="F8FAFC" w:val="clear"/>
            <w:tcMar>
              <w:top w:type="dxa" w:w="80"/>
              <w:left w:type="dxa" w:w="120"/>
              <w:bottom w:type="dxa" w:w="80"/>
              <w:right w:type="dxa" w:w="120"/>
            </w:tcMar>
          </w:tcPr>
          <w:p>
            <w:r>
              <w:rPr>
                <w:rFonts w:ascii="Arial" w:cs="Arial" w:eastAsia="Arial" w:hAnsi="Arial"/>
                <w:b/>
                <w:bCs/>
                <w:color w:val="0D1F3C"/>
                <w:sz w:val="18"/>
                <w:szCs w:val="18"/>
              </w:rPr>
              <w:t xml:space="preserve">Chainlink Automation</w:t>
            </w:r>
          </w:p>
        </w:tc>
        <w:tc>
          <w:tcPr>
            <w:tcW w:type="dxa" w:w="71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Right tool for trustless phase advancement. No centralized party can manipulate timing</w:t>
            </w:r>
          </w:p>
        </w:tc>
      </w:tr>
      <w:tr>
        <w:tc>
          <w:tcPr>
            <w:tcW w:type="dxa" w:w="2200"/>
            <w:tcBorders>
              <w:top w:val="single" w:color="CBD5E0" w:sz="1"/>
              <w:left w:val="single" w:color="CBD5E0" w:sz="1"/>
              <w:bottom w:val="single" w:color="CBD5E0" w:sz="1"/>
              <w:right w:val="single" w:color="CBD5E0" w:sz="1"/>
            </w:tcBorders>
            <w:shd w:fill="F8FAFC" w:val="clear"/>
            <w:tcMar>
              <w:top w:type="dxa" w:w="80"/>
              <w:left w:type="dxa" w:w="120"/>
              <w:bottom w:type="dxa" w:w="80"/>
              <w:right w:type="dxa" w:w="120"/>
            </w:tcMar>
          </w:tcPr>
          <w:p>
            <w:r>
              <w:rPr>
                <w:rFonts w:ascii="Arial" w:cs="Arial" w:eastAsia="Arial" w:hAnsi="Arial"/>
                <w:b/>
                <w:bCs/>
                <w:color w:val="0D1F3C"/>
                <w:sz w:val="18"/>
                <w:szCs w:val="18"/>
              </w:rPr>
              <w:t xml:space="preserve">TanStack Query v5 + Drizzle</w:t>
            </w:r>
          </w:p>
        </w:tc>
        <w:tc>
          <w:tcPr>
            <w:tcW w:type="dxa" w:w="71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Modern, type-safe, full-stack setup. Will scale well and is maintainable by any competent React/Node dev</w:t>
            </w:r>
          </w:p>
        </w:tc>
      </w:tr>
      <w:tr>
        <w:tc>
          <w:tcPr>
            <w:tcW w:type="dxa" w:w="2200"/>
            <w:tcBorders>
              <w:top w:val="single" w:color="CBD5E0" w:sz="1"/>
              <w:left w:val="single" w:color="CBD5E0" w:sz="1"/>
              <w:bottom w:val="single" w:color="CBD5E0" w:sz="1"/>
              <w:right w:val="single" w:color="CBD5E0" w:sz="1"/>
            </w:tcBorders>
            <w:shd w:fill="F8FAFC" w:val="clear"/>
            <w:tcMar>
              <w:top w:type="dxa" w:w="80"/>
              <w:left w:type="dxa" w:w="120"/>
              <w:bottom w:type="dxa" w:w="80"/>
              <w:right w:type="dxa" w:w="120"/>
            </w:tcMar>
          </w:tcPr>
          <w:p>
            <w:r>
              <w:rPr>
                <w:rFonts w:ascii="Arial" w:cs="Arial" w:eastAsia="Arial" w:hAnsi="Arial"/>
                <w:b/>
                <w:bCs/>
                <w:color w:val="0D1F3C"/>
                <w:sz w:val="18"/>
                <w:szCs w:val="18"/>
              </w:rPr>
              <w:t xml:space="preserve">RevitaLeague gamification</w:t>
            </w:r>
          </w:p>
        </w:tc>
        <w:tc>
          <w:tcPr>
            <w:tcW w:type="dxa" w:w="71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Genuinely differentiated. Turns passive investment into civic engagement — strong retention mechanic</w:t>
            </w:r>
          </w:p>
        </w:tc>
      </w:tr>
      <w:tr>
        <w:tc>
          <w:tcPr>
            <w:tcW w:type="dxa" w:w="2200"/>
            <w:tcBorders>
              <w:top w:val="single" w:color="CBD5E0" w:sz="1"/>
              <w:left w:val="single" w:color="CBD5E0" w:sz="1"/>
              <w:bottom w:val="single" w:color="CBD5E0" w:sz="1"/>
              <w:right w:val="single" w:color="CBD5E0" w:sz="1"/>
            </w:tcBorders>
            <w:shd w:fill="F8FAFC" w:val="clear"/>
            <w:tcMar>
              <w:top w:type="dxa" w:w="80"/>
              <w:left w:type="dxa" w:w="120"/>
              <w:bottom w:type="dxa" w:w="80"/>
              <w:right w:type="dxa" w:w="120"/>
            </w:tcMar>
          </w:tcPr>
          <w:p>
            <w:r>
              <w:rPr>
                <w:rFonts w:ascii="Arial" w:cs="Arial" w:eastAsia="Arial" w:hAnsi="Arial"/>
                <w:b/>
                <w:bCs/>
                <w:color w:val="0D1F3C"/>
                <w:sz w:val="18"/>
                <w:szCs w:val="18"/>
              </w:rPr>
              <w:t xml:space="preserve">Treasury multi-sig design</w:t>
            </w:r>
          </w:p>
        </w:tc>
        <w:tc>
          <w:tcPr>
            <w:tcW w:type="dxa" w:w="71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2-of-3 confirmation requirement is correct — just needs hardware wallets behind it</w:t>
            </w:r>
          </w:p>
        </w:tc>
      </w:tr>
      <w:tr>
        <w:tc>
          <w:tcPr>
            <w:tcW w:type="dxa" w:w="2200"/>
            <w:tcBorders>
              <w:top w:val="single" w:color="CBD5E0" w:sz="1"/>
              <w:left w:val="single" w:color="CBD5E0" w:sz="1"/>
              <w:bottom w:val="single" w:color="CBD5E0" w:sz="1"/>
              <w:right w:val="single" w:color="CBD5E0" w:sz="1"/>
            </w:tcBorders>
            <w:shd w:fill="F8FAFC" w:val="clear"/>
            <w:tcMar>
              <w:top w:type="dxa" w:w="80"/>
              <w:left w:type="dxa" w:w="120"/>
              <w:bottom w:type="dxa" w:w="80"/>
              <w:right w:type="dxa" w:w="120"/>
            </w:tcMar>
          </w:tcPr>
          <w:p>
            <w:r>
              <w:rPr>
                <w:rFonts w:ascii="Arial" w:cs="Arial" w:eastAsia="Arial" w:hAnsi="Arial"/>
                <w:b/>
                <w:bCs/>
                <w:color w:val="0D1F3C"/>
                <w:sz w:val="18"/>
                <w:szCs w:val="18"/>
              </w:rPr>
              <w:t xml:space="preserve">GCS + Uppy for documents</w:t>
            </w:r>
          </w:p>
        </w:tc>
        <w:tc>
          <w:tcPr>
            <w:tcW w:type="dxa" w:w="71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Production-appropriate document handling. Just needs encryption-at-rest for KYC docs</w:t>
            </w:r>
          </w:p>
        </w:tc>
      </w:tr>
      <w:tr>
        <w:tc>
          <w:tcPr>
            <w:tcW w:type="dxa" w:w="2200"/>
            <w:tcBorders>
              <w:top w:val="single" w:color="CBD5E0" w:sz="1"/>
              <w:left w:val="single" w:color="CBD5E0" w:sz="1"/>
              <w:bottom w:val="single" w:color="CBD5E0" w:sz="1"/>
              <w:right w:val="single" w:color="CBD5E0" w:sz="1"/>
            </w:tcBorders>
            <w:shd w:fill="F8FAFC" w:val="clear"/>
            <w:tcMar>
              <w:top w:type="dxa" w:w="80"/>
              <w:left w:type="dxa" w:w="120"/>
              <w:bottom w:type="dxa" w:w="80"/>
              <w:right w:type="dxa" w:w="120"/>
            </w:tcMar>
          </w:tcPr>
          <w:p>
            <w:r>
              <w:rPr>
                <w:rFonts w:ascii="Arial" w:cs="Arial" w:eastAsia="Arial" w:hAnsi="Arial"/>
                <w:b/>
                <w:bCs/>
                <w:color w:val="0D1F3C"/>
                <w:sz w:val="18"/>
                <w:szCs w:val="18"/>
              </w:rPr>
              <w:t xml:space="preserve">Framer Motion + shadcn/ui</w:t>
            </w:r>
          </w:p>
        </w:tc>
        <w:tc>
          <w:tcPr>
            <w:tcW w:type="dxa" w:w="71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Polished UI stack. Consistent with modern React ecosystem and easy to customize</w:t>
            </w:r>
          </w:p>
        </w:tc>
      </w:tr>
      <w:tr>
        <w:tc>
          <w:tcPr>
            <w:tcW w:type="dxa" w:w="2200"/>
            <w:tcBorders>
              <w:top w:val="single" w:color="CBD5E0" w:sz="1"/>
              <w:left w:val="single" w:color="CBD5E0" w:sz="1"/>
              <w:bottom w:val="single" w:color="CBD5E0" w:sz="1"/>
              <w:right w:val="single" w:color="CBD5E0" w:sz="1"/>
            </w:tcBorders>
            <w:shd w:fill="F8FAFC" w:val="clear"/>
            <w:tcMar>
              <w:top w:type="dxa" w:w="80"/>
              <w:left w:type="dxa" w:w="120"/>
              <w:bottom w:type="dxa" w:w="80"/>
              <w:right w:type="dxa" w:w="120"/>
            </w:tcMar>
          </w:tcPr>
          <w:p>
            <w:r>
              <w:rPr>
                <w:rFonts w:ascii="Arial" w:cs="Arial" w:eastAsia="Arial" w:hAnsi="Arial"/>
                <w:b/>
                <w:bCs/>
                <w:color w:val="0D1F3C"/>
                <w:sz w:val="18"/>
                <w:szCs w:val="18"/>
              </w:rPr>
              <w:t xml:space="preserve">1% founder sustainability cut</w:t>
            </w:r>
          </w:p>
        </w:tc>
        <w:tc>
          <w:tcPr>
            <w:tcW w:type="dxa" w:w="71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Transparent and reasonable. The vesting schedule in Treasury.sol is the right way to handle this</w:t>
            </w:r>
          </w:p>
        </w:tc>
      </w:tr>
    </w:tbl>
    <w:p>
      <w:pPr>
        <w:spacing w:before="280" w:after="0"/>
      </w:pPr>
      <w:r>
        <w:t xml:space="preserve"/>
      </w:r>
    </w:p>
    <w:p>
      <w:pPr>
        <w:pBdr>
          <w:top w:val="single" w:color="E2E8F0" w:sz="4" w:space="8"/>
        </w:pBdr>
        <w:spacing w:before="320" w:after="80"/>
      </w:pPr>
      <w:r>
        <w:rPr>
          <w:rFonts w:ascii="Arial" w:cs="Arial" w:eastAsia="Arial" w:hAnsi="Arial"/>
          <w:i/>
          <w:iCs/>
          <w:color w:val="94A3B8"/>
          <w:sz w:val="15"/>
          <w:szCs w:val="15"/>
        </w:rPr>
        <w:t xml:space="preserve">Nothing in this document constitutes legal advice. Engage qualified securities counsel, a licensed broker-dealer, or a registered investment adviser before conducting any securities offering or accepting investor capital. Build Our Community, LLC is solely responsible for ensuring its platform complies with all applicable federal and state laws.</w:t>
      </w:r>
    </w:p>
    <w:sectPr>
      <w:headerReference w:type="default" r:id="rId6"/>
      <w:footerReference w:type="default" r:id="rId7"/>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4"/>
      </w:pBdr>
      <w:spacing w:before="100" w:after="0"/>
    </w:pPr>
    <w:r>
      <w:rPr>
        <w:rFonts w:ascii="Arial" w:cs="Arial" w:eastAsia="Arial" w:hAnsi="Arial"/>
        <w:i/>
        <w:iCs/>
        <w:color w:val="94A3B8"/>
        <w:sz w:val="15"/>
        <w:szCs w:val="15"/>
      </w:rPr>
      <w:t xml:space="preserve">Confidential — Internal Use Only. Not legal advice. Engage qualified securities counsel before any public offering.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6" w:space="4"/>
      </w:pBdr>
      <w:tabs>
        <w:tab w:val="right" w:pos="9360"/>
      </w:tabs>
      <w:spacing w:before="0" w:after="140"/>
    </w:pPr>
    <w:r>
      <w:rPr>
        <w:rFonts w:ascii="Arial" w:cs="Arial" w:eastAsia="Arial" w:hAnsi="Arial"/>
        <w:b/>
        <w:bCs/>
        <w:color w:val="0D1F3C"/>
        <w:sz w:val="16"/>
        <w:szCs w:val="16"/>
      </w:rPr>
      <w:t xml:space="preserve">RevitaHub — Pre-Launch Master Checklist</w:t>
    </w:r>
    <w:r>
      <w:rPr>
        <w:rFonts w:ascii="Arial" w:cs="Arial" w:eastAsia="Arial" w:hAnsi="Arial"/>
        <w:color w:val="94A3B8"/>
        <w:sz w:val="16"/>
        <w:szCs w:val="16"/>
      </w:rPr>
      <w:t xml:space="preserve">	Build Our Community, LLC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lvl w:ilvl="1" w15:tentative="1">
      <w:start w:val="1"/>
      <w:numFmt w:val="bullet"/>
      <w:lvlText w:val="◦"/>
      <w:lvlJc w:val="left"/>
      <w:pPr>
        <w:ind w:left="800" w:hanging="280"/>
      </w:pPr>
    </w:lvl>
  </w:abstractNum>
  <w:abstractNum w:abstractNumId="3" w15:restartNumberingAfterBreak="0">
    <w:multiLevelType w:val="hybridMultilevel"/>
    <w:lvl w:ilvl="0" w15:tentative="1">
      <w:start w:val="1"/>
      <w:numFmt w:val="bullet"/>
      <w:lvlText w:val="☐"/>
      <w:lvlJc w:val="left"/>
      <w:pPr>
        <w:ind w:left="480" w:hanging="280"/>
      </w:pPr>
    </w:lvl>
  </w:abstractNum>
  <w:abstractNum w:abstractNumId="4" w15:restartNumberingAfterBreak="0">
    <w:multiLevelType w:val="hybridMultilevel"/>
    <w:lvl w:ilvl="0" w15:tentative="1">
      <w:start w:val="1"/>
      <w:numFmt w:val="decimal"/>
      <w:lvlText w:val="%1."/>
      <w:lvlJc w:val="left"/>
      <w:pPr>
        <w:ind w:left="480" w:hanging="28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560" w:after="0"/>
      <w:outlineLvl w:val="0"/>
    </w:pPr>
    <w:rPr>
      <w:rFonts w:ascii="Arial" w:cs="Arial" w:eastAsia="Arial" w:hAnsi="Arial"/>
      <w:b/>
      <w:bCs/>
      <w:color w:val="0D1F3C"/>
      <w:sz w:val="34"/>
      <w:szCs w:val="34"/>
    </w:rPr>
  </w:style>
  <w:style w:type="paragraph" w:styleId="Heading2">
    <w:name w:val="Heading 2"/>
    <w:basedOn w:val="Normal"/>
    <w:next w:val="Normal"/>
    <w:qFormat/>
    <w:pPr>
      <w:spacing w:before="360" w:after="100"/>
      <w:outlineLvl w:val="1"/>
    </w:pPr>
    <w:rPr>
      <w:rFonts w:ascii="Arial" w:cs="Arial" w:eastAsia="Arial" w:hAnsi="Arial"/>
      <w:b/>
      <w:bCs/>
      <w:color w:val="0D1F3C"/>
      <w:sz w:val="24"/>
      <w:szCs w:val="24"/>
    </w:rPr>
  </w:style>
  <w:style w:type="paragraph" w:styleId="Heading3">
    <w:name w:val="Heading 3"/>
    <w:basedOn w:val="Normal"/>
    <w:next w:val="Normal"/>
    <w:qFormat/>
    <w:pPr>
      <w:spacing w:before="240" w:after="80"/>
      <w:outlineLvl w:val="2"/>
    </w:pPr>
    <w:rPr>
      <w:rFonts w:ascii="Arial" w:cs="Arial" w:eastAsia="Arial" w:hAnsi="Arial"/>
      <w:b/>
      <w:bCs/>
      <w:color w:val="475569"/>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2026-03-04T02:06:24.537Z</dcterms:created>
  <dcterms:modified xsi:type="dcterms:W3CDTF">2026-03-04T02:06:24.538Z</dcterms:modified>
</cp:coreProperties>
</file>

<file path=docProps/custom.xml><?xml version="1.0" encoding="utf-8"?>
<Properties xmlns="http://schemas.openxmlformats.org/officeDocument/2006/custom-properties" xmlns:vt="http://schemas.openxmlformats.org/officeDocument/2006/docPropsVTypes"/>
</file>