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1565C0"/>
          <w:sz w:val="44"/>
        </w:rPr>
        <w:t>Dynamic Discounting Simulator</w:t>
      </w:r>
    </w:p>
    <w:p>
      <w:pPr>
        <w:spacing w:after="40"/>
        <w:jc w:val="center"/>
      </w:pPr>
      <w:r>
        <w:rPr>
          <w:rFonts w:ascii="Arial" w:hAnsi="Arial"/>
          <w:color w:val="555555"/>
          <w:sz w:val="22"/>
        </w:rPr>
        <w:t>Supply-Chain Finance  |  LP Optimisation  |  Scenario Analysis</w:t>
      </w:r>
    </w:p>
    <w:p>
      <w:pPr>
        <w:spacing w:before="80" w:after="80"/>
        <w:pBdr>
          <w:bottom w:val="single" w:sz="6" w:space="1" w:color="1565C0"/>
        </w:pBdr>
      </w:pPr>
    </w:p>
    <w:p>
      <w:pPr>
        <w:spacing w:after="200"/>
      </w:pPr>
      <w:r>
        <w:t>This document accompanies the Jupyter notebook of the same name. It explains the economic motivation, model design, and key findings, and connects the simulator to real industry products (C2FO, Taulia).</w:t>
      </w:r>
    </w:p>
    <w:p>
      <w:pPr>
        <w:pStyle w:val="Heading1"/>
      </w:pPr>
      <w:r>
        <w:t>1  Background</w:t>
      </w:r>
    </w:p>
    <w:p>
      <w:pPr>
        <w:spacing w:after="160"/>
      </w:pPr>
      <w:r>
        <w:t>When a large corporation buys goods from a supplier it typically pays on 30-90 day payment terms. In the meantime the supplier holds a receivable it cannot yet collect. For an investment-grade corporate this delay is tolerable. For a small business with thin margins and expensive bank credit, every day of delay has a real cost.</w:t>
      </w:r>
    </w:p>
    <w:p>
      <w:pPr>
        <w:spacing w:after="160"/>
      </w:pPr>
      <w:r>
        <w:rPr>
          <w:b/>
        </w:rPr>
        <w:t xml:space="preserve">What is dynamic discounting? </w:t>
      </w:r>
      <w:r>
        <w:t>The buyer offers to pay early - today or in five days - in exchange for a small reduction off the invoice face value. The buyer earns a short-duration return on its surplus cash; the supplier receives liquidity at a rate far below what its bank would charge.</w:t>
      </w:r>
    </w:p>
    <w:p>
      <w:pPr>
        <w:spacing w:after="200"/>
      </w:pPr>
      <w:r>
        <w:rPr>
          <w:b/>
        </w:rPr>
        <w:t xml:space="preserve">Real companies: </w:t>
      </w:r>
      <w:r>
        <w:t>C2FO runs a continuous rate auction between buyers and their supplier networks. Suppliers name the minimum discount rate they will accept; the platform allocates the buyer's capital to the most attractive offers. Taulia (now part of SAP) operates a similar model embedded inside ERP workflows. Both have processed hundreds of billions of dollars of invoice volume.</w:t>
      </w:r>
    </w:p>
    <w:p>
      <w:pPr>
        <w:pStyle w:val="Heading1"/>
      </w:pPr>
      <w:r>
        <w:t>2  Model Design</w:t>
      </w:r>
    </w:p>
    <w:p>
      <w:pPr>
        <w:pStyle w:val="Heading2"/>
      </w:pPr>
      <w:r>
        <w:t>2.1  Supplier Tiers</w:t>
      </w:r>
    </w:p>
    <w:p>
      <w:pPr>
        <w:spacing w:after="120"/>
      </w:pPr>
      <w:r>
        <w:t>Suppliers are segmented into three tiers reflecting real market stratification. Each tier has different invoice sizes, credit profiles, and financing alternatives.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2016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096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Invoice Size</w:t>
            </w:r>
          </w:p>
        </w:tc>
        <w:tc>
          <w:tcPr>
            <w:tcW w:type="dxa" w:w="151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Rate Range</w:t>
            </w:r>
          </w:p>
        </w:tc>
        <w:tc>
          <w:tcPr>
            <w:tcW w:type="dxa" w:w="1008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1 - Investment Grade</w:t>
            </w:r>
          </w:p>
        </w:tc>
        <w:tc>
          <w:tcPr>
            <w:tcW w:type="dxa" w:w="3096"/>
            <w:shd w:val="clear" w:color="auto" w:fill="EBF3FB"/>
          </w:tcPr>
          <w:p>
            <w:r>
              <w:rPr>
                <w:sz w:val="18"/>
              </w:rPr>
              <w:t>Large corporates, strong balance sheets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$500k - $5M</w:t>
            </w:r>
          </w:p>
        </w:tc>
        <w:tc>
          <w:tcPr>
            <w:tcW w:type="dxa" w:w="1512"/>
            <w:shd w:val="clear" w:color="auto" w:fill="EBF3FB"/>
          </w:tcPr>
          <w:p>
            <w:r>
              <w:rPr>
                <w:sz w:val="18"/>
              </w:rPr>
              <w:t>0.5 - 1.2%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2 - Mid-Market</w:t>
            </w:r>
          </w:p>
        </w:tc>
        <w:tc>
          <w:tcPr>
            <w:tcW w:type="dxa" w:w="3096"/>
          </w:tcPr>
          <w:p>
            <w:r>
              <w:rPr>
                <w:sz w:val="18"/>
              </w:rPr>
              <w:t>Regional suppliers, moderate credit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$100k - $500k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1.5 - 4.0%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3 - SME / Constrained</w:t>
            </w:r>
          </w:p>
        </w:tc>
        <w:tc>
          <w:tcPr>
            <w:tcW w:type="dxa" w:w="3096"/>
            <w:shd w:val="clear" w:color="auto" w:fill="EBF3FB"/>
          </w:tcPr>
          <w:p>
            <w:r>
              <w:rPr>
                <w:sz w:val="18"/>
              </w:rPr>
              <w:t>Small businesses, costly bank credit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$10k - $100k</w:t>
            </w:r>
          </w:p>
        </w:tc>
        <w:tc>
          <w:tcPr>
            <w:tcW w:type="dxa" w:w="1512"/>
            <w:shd w:val="clear" w:color="auto" w:fill="EBF3FB"/>
          </w:tcPr>
          <w:p>
            <w:r>
              <w:rPr>
                <w:sz w:val="18"/>
              </w:rPr>
              <w:t>4.0 - 12.0%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22</w:t>
            </w:r>
          </w:p>
        </w:tc>
      </w:tr>
    </w:tbl>
    <w:p/>
    <w:p>
      <w:pPr>
        <w:spacing w:after="160"/>
      </w:pPr>
      <w:r>
        <w:t>Tier-3 SMEs offer the highest yield per dollar but each invoice is small, so funding them consumes many transactions. The optimiser resolves this trade-off automatically.</w:t>
      </w:r>
    </w:p>
    <w:p>
      <w:pPr>
        <w:pStyle w:val="Heading2"/>
      </w:pPr>
      <w:r>
        <w:t>2.2  The Linear Programme</w:t>
      </w:r>
    </w:p>
    <w:p>
      <w:pPr>
        <w:spacing w:after="80"/>
      </w:pPr>
      <w:r>
        <w:t>The buyer holds a capital pool C (baseline $10M). Let x_i be the dollars advanced to supplier i, r_i the annualised discount rate, and d_i the days until invoice maturity. The buyer's gross profit on each advance is:</w:t>
      </w:r>
    </w:p>
    <w:p>
      <w:pPr>
        <w:spacing w:after="120"/>
        <w:jc w:val="center"/>
      </w:pPr>
      <w:r>
        <w:rPr>
          <w:rFonts w:ascii="Courier New" w:hAnsi="Courier New"/>
        </w:rPr>
        <w:t>profit_i  =  x_i  x  r_i  x  (d_i / 365)</w:t>
      </w:r>
    </w:p>
    <w:p>
      <w:pPr>
        <w:spacing w:after="160"/>
      </w:pPr>
      <w:r>
        <w:rPr>
          <w:rFonts w:ascii="Courier New" w:hAnsi="Courier New"/>
          <w:sz w:val="19"/>
        </w:rPr>
        <w:t xml:space="preserve">  maximise   sum_i  x_i * r_i * (d_i / 365)</w:t>
        <w:br/>
        <w:t xml:space="preserve">  subject to sum_i  x_i  &lt;=  C        [capital pool]</w:t>
        <w:br/>
        <w:t xml:space="preserve">             0  &lt;=  x_i  &lt;=  invoice_i [no overpayment]</w:t>
      </w:r>
    </w:p>
    <w:p>
      <w:pPr>
        <w:spacing w:after="200"/>
      </w:pPr>
      <w:r>
        <w:t>Because the problem is linear and separable, scipy's HiGHS solver finds the global optimum in milliseconds - equivalent to a greedy rank-sort by r_i * d_i. The LP formulation generalises naturally to richer constraints (tier caps, minimum ticket sizes) without changing the solver.</w:t>
      </w:r>
    </w:p>
    <w:p>
      <w:pPr>
        <w:pStyle w:val="Heading1"/>
      </w:pPr>
      <w:r>
        <w:t>3  Scenario Analysis</w:t>
      </w:r>
    </w:p>
    <w:p>
      <w:pPr>
        <w:spacing w:after="120"/>
      </w:pPr>
      <w:r>
        <w:t>The simulator re-runs the optimiser under four economic conditions. All scenarios use the same 45-supplier portfolio; only the rate parameters 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94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9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122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Deployed</w:t>
            </w:r>
          </w:p>
        </w:tc>
        <w:tc>
          <w:tcPr>
            <w:tcW w:type="dxa" w:w="122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Ann. Yield</w:t>
            </w:r>
          </w:p>
        </w:tc>
        <w:tc>
          <w:tcPr>
            <w:tcW w:type="dxa" w:w="1008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Funded</w:t>
            </w:r>
          </w:p>
        </w:tc>
      </w:tr>
      <w:tr>
        <w:tc>
          <w:tcPr>
            <w:tcW w:type="dxa" w:w="1944"/>
            <w:shd w:val="clear" w:color="auto" w:fill="EBF3FB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3960"/>
            <w:shd w:val="clear" w:color="auto" w:fill="EBF3FB"/>
          </w:tcPr>
          <w:p>
            <w:r>
              <w:rPr>
                <w:sz w:val="18"/>
              </w:rPr>
              <w:t>Normal market conditions</w:t>
            </w:r>
          </w:p>
        </w:tc>
        <w:tc>
          <w:tcPr>
            <w:tcW w:type="dxa" w:w="1224"/>
            <w:shd w:val="clear" w:color="auto" w:fill="EBF3FB"/>
          </w:tcPr>
          <w:p>
            <w:r>
              <w:rPr>
                <w:sz w:val="18"/>
              </w:rPr>
              <w:t>$10.0M</w:t>
            </w:r>
          </w:p>
        </w:tc>
        <w:tc>
          <w:tcPr>
            <w:tcW w:type="dxa" w:w="1224"/>
            <w:shd w:val="clear" w:color="auto" w:fill="EBF3FB"/>
          </w:tcPr>
          <w:p>
            <w:r>
              <w:rPr>
                <w:sz w:val="18"/>
              </w:rPr>
              <w:t>2.40%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Liquidity Stress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Tier-3 SMEs raise min. rates +2-5 pp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$10.0M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3.01%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1944"/>
            <w:shd w:val="clear" w:color="auto" w:fill="EBF3FB"/>
          </w:tcPr>
          <w:p>
            <w:r>
              <w:rPr>
                <w:sz w:val="18"/>
              </w:rPr>
              <w:t>Rising Rates</w:t>
            </w:r>
          </w:p>
        </w:tc>
        <w:tc>
          <w:tcPr>
            <w:tcW w:type="dxa" w:w="3960"/>
            <w:shd w:val="clear" w:color="auto" w:fill="EBF3FB"/>
          </w:tcPr>
          <w:p>
            <w:r>
              <w:rPr>
                <w:sz w:val="18"/>
              </w:rPr>
              <w:t>All rates x1.5 (~300 bp tightening cycle)</w:t>
            </w:r>
          </w:p>
        </w:tc>
        <w:tc>
          <w:tcPr>
            <w:tcW w:type="dxa" w:w="1224"/>
            <w:shd w:val="clear" w:color="auto" w:fill="EBF3FB"/>
          </w:tcPr>
          <w:p>
            <w:r>
              <w:rPr>
                <w:sz w:val="18"/>
              </w:rPr>
              <w:t>$10.0M</w:t>
            </w:r>
          </w:p>
        </w:tc>
        <w:tc>
          <w:tcPr>
            <w:tcW w:type="dxa" w:w="1224"/>
            <w:shd w:val="clear" w:color="auto" w:fill="EBF3FB"/>
          </w:tcPr>
          <w:p>
            <w:r>
              <w:rPr>
                <w:sz w:val="18"/>
              </w:rPr>
              <w:t>3.60%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Combined Stress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Both effects simultaneously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$10.0M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4.29%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38</w:t>
            </w:r>
          </w:p>
        </w:tc>
      </w:tr>
    </w:tbl>
    <w:p/>
    <w:p>
      <w:pPr>
        <w:pStyle w:val="Heading3"/>
      </w:pPr>
      <w:r>
        <w:t>Key findings</w:t>
      </w:r>
    </w:p>
    <w:p>
      <w:pPr>
        <w:pStyle w:val="ListBullet"/>
        <w:spacing w:after="60"/>
      </w:pPr>
      <w:r>
        <w:t>Capital is always fully deployed - total invoice pool across all tiers far exceeds the $10M budget, giving the LP real binding constraints.</w:t>
      </w:r>
    </w:p>
    <w:p>
      <w:pPr>
        <w:pStyle w:val="ListBullet"/>
        <w:spacing w:after="60"/>
      </w:pPr>
      <w:r>
        <w:t>Liquidity stress benefits the buyer in gross yield terms (+61 bp). When SMEs face a credit crunch they offer larger discounts - creating a genuine ethical tension that real platforms address with rate caps.</w:t>
      </w:r>
    </w:p>
    <w:p>
      <w:pPr>
        <w:pStyle w:val="ListBullet"/>
        <w:spacing w:after="60"/>
      </w:pPr>
      <w:r>
        <w:t>Rising rates lift yields but also raise the buyer's opportunity cost (T-bill rate rises too). The programme remains attractive as long as its yield exceeds the risk-free alternative.</w:t>
      </w:r>
    </w:p>
    <w:p>
      <w:pPr>
        <w:pStyle w:val="ListBullet"/>
        <w:spacing w:after="60"/>
      </w:pPr>
      <w:r>
        <w:t>The capital sensitivity curve shows diminishing marginal returns: beyond ~$18M additional capital only reaches lower-return Tier-1 invoices.</w:t>
      </w:r>
    </w:p>
    <w:p/>
    <w:p>
      <w:pPr>
        <w:spacing w:before="80" w:after="80"/>
        <w:pBdr>
          <w:bottom w:val="single" w:sz="6" w:space="1" w:color="1565C0"/>
        </w:pBdr>
      </w:pPr>
    </w:p>
    <w:p>
      <w:pPr>
        <w:pStyle w:val="Heading1"/>
      </w:pPr>
      <w:r>
        <w:t>4  Limitations and Extensions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176"/>
            <w:shd w:val="clear" w:color="auto" w:fill="E65100"/>
          </w:tcPr>
          <w:p>
            <w:r>
              <w:rPr>
                <w:b/>
                <w:color w:val="FFFFFF"/>
                <w:sz w:val="18"/>
              </w:rPr>
              <w:t>Current Limitation</w:t>
            </w:r>
          </w:p>
        </w:tc>
        <w:tc>
          <w:tcPr>
            <w:tcW w:type="dxa" w:w="5184"/>
            <w:shd w:val="clear" w:color="auto" w:fill="E65100"/>
          </w:tcPr>
          <w:p>
            <w:r>
              <w:rPr>
                <w:b/>
                <w:color w:val="FFFFFF"/>
                <w:sz w:val="18"/>
              </w:rPr>
              <w:t>Possible Extension</w:t>
            </w:r>
          </w:p>
        </w:tc>
      </w:tr>
      <w:tr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Continuous (partial) invoice payments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Binary per-supplier allocation (MIP); minimum ticket size</w:t>
            </w:r>
          </w:p>
        </w:tc>
      </w:tr>
      <w:tr>
        <w:tc>
          <w:tcPr>
            <w:tcW w:type="dxa" w:w="4176"/>
          </w:tcPr>
          <w:p>
            <w:r>
              <w:rPr>
                <w:sz w:val="18"/>
              </w:rPr>
              <w:t>One-shot capital deployment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Rolling weekly auctions with invoice arrivals and settlements</w:t>
            </w:r>
          </w:p>
        </w:tc>
      </w:tr>
      <w:tr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No credit or default risk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Credit loss term: weight by PD x LGD per tier</w:t>
            </w:r>
          </w:p>
        </w:tc>
      </w:tr>
      <w:tr>
        <w:tc>
          <w:tcPr>
            <w:tcW w:type="dxa" w:w="4176"/>
          </w:tcPr>
          <w:p>
            <w:r>
              <w:rPr>
                <w:sz w:val="18"/>
              </w:rPr>
              <w:t>Deterministic rates and amounts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Monte Carlo over rate uncertainty and invoice volatility</w:t>
            </w:r>
          </w:p>
        </w:tc>
      </w:tr>
      <w:tr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Single buyer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Marketplace model with competing buyers</w:t>
            </w:r>
          </w:p>
        </w:tc>
      </w:tr>
    </w:tbl>
    <w:p/>
    <w:p>
      <w:pPr>
        <w:pStyle w:val="Heading1"/>
      </w:pPr>
      <w:r>
        <w:t>5  Technical Notes</w:t>
      </w:r>
    </w:p>
    <w:p>
      <w:pPr>
        <w:spacing w:after="120"/>
      </w:pPr>
      <w:r>
        <w:rPr>
          <w:b/>
        </w:rPr>
        <w:t xml:space="preserve">Dependencies: </w:t>
      </w:r>
      <w:r>
        <w:t>Python 3.10+, NumPy, pandas, SciPy (HiGHS LP), Matplotlib, Seaborn.</w:t>
      </w:r>
    </w:p>
    <w:p>
      <w:pPr>
        <w:spacing w:after="120"/>
      </w:pPr>
      <w:r>
        <w:rPr>
          <w:b/>
        </w:rPr>
        <w:t xml:space="preserve">Files: </w:t>
      </w:r>
      <w:r>
        <w:t>simulator.py - core engine (data generation, LP solver, scenario runner). Dynamic_Discounting_Simulator.ipynb - full interactive notebook with narrative and charts.</w:t>
      </w:r>
    </w:p>
    <w:p>
      <w:pPr>
        <w:spacing w:after="120"/>
      </w:pPr>
      <w:r>
        <w:rPr>
          <w:b/>
        </w:rPr>
        <w:t xml:space="preserve">Running: </w:t>
      </w:r>
      <w:r>
        <w:t>pip install numpy pandas scipy matplotlib seaborn jupyter, then: jupyter notebook Dynamic_Discounting_Simulator.ipynb</w:t>
      </w:r>
    </w:p>
    <w:p/>
    <w:p>
      <w:pPr>
        <w:spacing w:before="80" w:after="80"/>
        <w:pBdr>
          <w:bottom w:val="single" w:sz="6" w:space="1" w:color="1565C0"/>
        </w:pBdr>
      </w:pPr>
    </w:p>
    <w:p>
      <w:pPr>
        <w:jc w:val="center"/>
      </w:pPr>
      <w:r>
        <w:rPr>
          <w:i/>
          <w:color w:val="888888"/>
          <w:sz w:val="17"/>
        </w:rPr>
        <w:t>Dynamic Discounting Simulator  |  Supply-Chain Finance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65C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