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9t1mf9axl701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Table des matières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w:anchor="_oqahslca0tq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hyperlink w:anchor="_487asq8gvzdw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hyperlink w:anchor="_78wxodc9gi0b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hyperlink w:anchor="_s49vwezmaot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>
          <w:sz w:val="26"/>
          <w:szCs w:val="26"/>
        </w:rPr>
      </w:pPr>
      <w:bookmarkStart w:colFirst="0" w:colLast="0" w:name="_oqahslca0tq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x08e4er3143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76625" cy="3848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On utilise une troisième variable comme “tampon” pour faire passer la valeur de l’une à l'autre. On inclut le print dans la boucle for pour permettre l’affichage de tous les nombres de U0 à Un.</w:t>
      </w:r>
    </w:p>
    <w:p w:rsidR="00000000" w:rsidDel="00000000" w:rsidP="00000000" w:rsidRDefault="00000000" w:rsidRPr="00000000" w14:paraId="00000016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fmownmr5njjj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>
          <w:b w:val="1"/>
          <w:sz w:val="30"/>
          <w:szCs w:val="30"/>
          <w:u w:val="single"/>
        </w:rPr>
      </w:pPr>
      <w:bookmarkStart w:colFirst="0" w:colLast="0" w:name="_9e69oqiqe838" w:id="4"/>
      <w:bookmarkEnd w:id="4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PARTIE B :</w:t>
      </w:r>
    </w:p>
    <w:p w:rsidR="00000000" w:rsidDel="00000000" w:rsidP="00000000" w:rsidRDefault="00000000" w:rsidRPr="00000000" w14:paraId="00000019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ekf0ed7c0fgh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46291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Comme dans la partie A, on utilise une variable tampon pour faire passer la valeur. On déclare une variable i qui assure le suivi du rang dans la suite.</w:t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z1rz0jgojkwg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Avec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Avec 96</w:t>
      </w:r>
    </w:p>
    <w:p w:rsidR="00000000" w:rsidDel="00000000" w:rsidP="00000000" w:rsidRDefault="00000000" w:rsidRPr="00000000" w14:paraId="00000021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487asq8gvzdw" w:id="7"/>
      <w:bookmarkEnd w:id="7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2 :</w:t>
      </w:r>
    </w:p>
    <w:p w:rsidR="00000000" w:rsidDel="00000000" w:rsidP="00000000" w:rsidRDefault="00000000" w:rsidRPr="00000000" w14:paraId="00000022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iwib4cia1fjj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26098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On regarde pour chaque nombre compris entre 2 (inclus) et n si il est diviseur du nombre choisi. Si ce n’est pas le cas, il est premier. On utilise un booléen comme un interrupteur qui devient faux au moindre cas invalidant.</w:t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ozcadrf78ukp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457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Avec 4, un nombre non-premier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1352550" cy="4000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Avec 47, un nombre premier</w:t>
      </w:r>
    </w:p>
    <w:p w:rsidR="00000000" w:rsidDel="00000000" w:rsidP="00000000" w:rsidRDefault="00000000" w:rsidRPr="00000000" w14:paraId="0000002A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78wxodc9gi0b" w:id="10"/>
      <w:bookmarkEnd w:id="1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3 :</w:t>
      </w:r>
    </w:p>
    <w:p w:rsidR="00000000" w:rsidDel="00000000" w:rsidP="00000000" w:rsidRDefault="00000000" w:rsidRPr="00000000" w14:paraId="0000002B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doxj05po558i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28194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On définit une chaîne de caractère correspondant au nombre d'étoiles à ajouter. Elle comporte d’abord une * et on y ajoute une * de part et d’autre à chaque rang. On gère ensuite l’indentation de ces étoiles en fonction de la ligne la plus basse, elle-même dépendante en taille du maximum choisi par l’utilisateur. On affiche ensuite une ligne avec des espaces à gauches, les étoiles, puis le même nombre d’espaces à droite</w:t>
      </w:r>
    </w:p>
    <w:p w:rsidR="00000000" w:rsidDel="00000000" w:rsidP="00000000" w:rsidRDefault="00000000" w:rsidRPr="00000000" w14:paraId="0000002E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5pduajv4uy48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1524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Avec n=7 on compte bien 7 étages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36576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Avec 18 également 18 étages.</w:t>
      </w:r>
    </w:p>
    <w:p w:rsidR="00000000" w:rsidDel="00000000" w:rsidP="00000000" w:rsidRDefault="00000000" w:rsidRPr="00000000" w14:paraId="00000033">
      <w:pPr>
        <w:pStyle w:val="Heading2"/>
        <w:jc w:val="center"/>
        <w:rPr>
          <w:b w:val="1"/>
          <w:sz w:val="36"/>
          <w:szCs w:val="36"/>
          <w:u w:val="single"/>
        </w:rPr>
      </w:pPr>
      <w:bookmarkStart w:colFirst="0" w:colLast="0" w:name="_s49vwezmaot" w:id="13"/>
      <w:bookmarkEnd w:id="13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4 :</w:t>
      </w:r>
    </w:p>
    <w:p w:rsidR="00000000" w:rsidDel="00000000" w:rsidP="00000000" w:rsidRDefault="00000000" w:rsidRPr="00000000" w14:paraId="00000034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kiz2qw5i4rzn" w:id="14"/>
      <w:bookmarkEnd w:id="1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On réutilise d’abord les fonctions crées pour vérifier la validité d’une date dans le précédent TP.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On réutilise également le programme principal, qui appelle cette fois une nouvelle fonction “tomorrow” chargée de renvoyer la date du lendemain.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La nouvelle fonction s’appuie sur la validité vérifiée plus tôt, ce qui limite grandement le nombre de cas à traiter. On a donc seulement 3 cas : le dernier jour du mois, le dernier jour du mois de décembre, et un cas normal ou on additionne seulement j+1.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t7ek3sdt6gh5" w:id="15"/>
      <w:bookmarkEnd w:id="1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Sans cas particulier, le lendemain du 5/01/2002 est bien le 6/01/2002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 particulier d’un dernier jour d’un mois de 31 jours. 31/03/2005 → 01/04/2005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 du 28 février une année bissextile 28/02/1664 → 29/02/1664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 du 28 février une année non-bissextile 28/02/1735 → 01/03/1735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Cas du 31 décembre 2003, le lendemain est bien le premier janvier 2004</w:t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TP3_PINAUD_LOUIS_G1A</w:t>
    </w:r>
  </w:p>
  <w:p w:rsidR="00000000" w:rsidDel="00000000" w:rsidP="00000000" w:rsidRDefault="00000000" w:rsidRPr="00000000" w14:paraId="00000048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TP3_PINAUD_LOUIS_G1A</w:t>
    </w:r>
  </w:p>
  <w:p w:rsidR="00000000" w:rsidDel="00000000" w:rsidP="00000000" w:rsidRDefault="00000000" w:rsidRPr="00000000" w14:paraId="0000004D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  <w:p w:rsidR="00000000" w:rsidDel="00000000" w:rsidP="00000000" w:rsidRDefault="00000000" w:rsidRPr="00000000" w14:paraId="0000004A">
    <w:pPr>
      <w:pStyle w:val="Heading1"/>
      <w:jc w:val="center"/>
      <w:rPr/>
    </w:pPr>
    <w:bookmarkStart w:colFirst="0" w:colLast="0" w:name="_bz04rjyx3ygu" w:id="16"/>
    <w:bookmarkEnd w:id="16"/>
    <w:r w:rsidDel="00000000" w:rsidR="00000000" w:rsidRPr="00000000">
      <w:rPr>
        <w:rtl w:val="0"/>
      </w:rPr>
      <w:t xml:space="preserve">TP d’Algorithmique n°3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12.png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