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Calibri" w:hAnsi="Calibri"/>
          <w:b/>
          <w:color w:val="0F172A"/>
          <w:sz w:val="40"/>
        </w:rPr>
        <w:t>Project Interim Progress Report: Plan vs. Progress Assessment</w:t>
      </w:r>
    </w:p>
    <w:p>
      <w:pPr>
        <w:spacing w:after="120" w:line="276" w:lineRule="auto"/>
      </w:pPr>
      <w:r/>
      <w:r>
        <w:rPr>
          <w:b/>
        </w:rPr>
        <w:t>Project Title</w:t>
      </w:r>
      <w:r>
        <w:t>: Forecasting Financial Inclusion in Ethiopia (2011–2027)</w:t>
      </w:r>
    </w:p>
    <w:p>
      <w:pPr>
        <w:spacing w:after="120" w:line="276" w:lineRule="auto"/>
      </w:pPr>
      <w:r/>
      <w:r>
        <w:rPr>
          <w:b/>
        </w:rPr>
        <w:t>Author / Team</w:t>
      </w:r>
      <w:r>
        <w:t>: Selam Analytics Team</w:t>
      </w:r>
    </w:p>
    <w:p>
      <w:pPr>
        <w:spacing w:after="120" w:line="276" w:lineRule="auto"/>
      </w:pPr>
      <w:r/>
      <w:r>
        <w:rPr>
          <w:b/>
        </w:rPr>
        <w:t>Target Audience</w:t>
      </w:r>
      <w:r>
        <w:t>: Financial Inclusion Consortium (National Bank of Ethiopia, Telebirr, Safaricom M-Pesa, DFIs)</w:t>
      </w:r>
    </w:p>
    <w:p>
      <w:pPr>
        <w:spacing w:after="120" w:line="276" w:lineRule="auto"/>
      </w:pPr>
      <w:r/>
      <w:r>
        <w:rPr>
          <w:b/>
        </w:rPr>
        <w:t>Repository</w:t>
      </w:r>
      <w:r>
        <w:t>: [github.com/Wave-eer/-Forecasting-Financial-Inclusion-in-Ethiopia](https://github.com/Wave-eer/-Forecasting-Financial-Inclusion-in-Ethiopia)</w:t>
      </w:r>
    </w:p>
    <w:p>
      <w:pPr>
        <w:spacing w:after="120" w:line="276" w:lineRule="auto"/>
      </w:pPr>
      <w:r/>
      <w:r>
        <w:rPr>
          <w:b/>
        </w:rPr>
        <w:t>Reporting Date</w:t>
      </w:r>
      <w:r>
        <w:t>: July 27, 2026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 &amp; Plan vs. Progress Overview</w:t>
      </w:r>
    </w:p>
    <w:p>
      <w:pPr>
        <w:spacing w:after="120" w:line="276" w:lineRule="auto"/>
      </w:pPr>
      <w:r>
        <w:t>Over the past project sprint, the Selam Analytics engineering team set out to design, implement, test, and deploy a unified data enrichment, event impact modeling, and dynamic scenario forecasting system for financial inclusion in Ethiopia.</w:t>
      </w:r>
    </w:p>
    <w:p>
      <w:pPr>
        <w:spacing w:after="120" w:line="276" w:lineRule="auto"/>
      </w:pPr>
      <w:r>
        <w:t xml:space="preserve">This progress report evaluates our </w:t>
      </w:r>
      <w:r>
        <w:rPr>
          <w:b/>
        </w:rPr>
        <w:t>Original 7-Day Sprint Plan</w:t>
      </w:r>
      <w:r>
        <w:t xml:space="preserve"> against our </w:t>
      </w:r>
      <w:r>
        <w:rPr>
          <w:b/>
        </w:rPr>
        <w:t>Actual Technical Deliverables</w:t>
      </w:r>
      <w:r>
        <w:t>, providing transparent evidence of completion, quantifiable impact metrics, honest reflections on engineering challenges, and a prioritized final roadmap.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🌟 Key Progress Highlights</w:t>
      </w:r>
    </w:p>
    <w:p>
      <w:pPr>
        <w:pStyle w:val="ListBullet"/>
        <w:spacing w:after="60"/>
      </w:pPr>
      <w:r/>
      <w:r>
        <w:rPr>
          <w:b/>
        </w:rPr>
        <w:t>Plan Completion Rate</w:t>
      </w:r>
      <w:r>
        <w:t xml:space="preserve">: </w:t>
      </w:r>
      <w:r>
        <w:rPr>
          <w:b/>
        </w:rPr>
        <w:t>100% of planned core sprint tasks completed</w:t>
      </w:r>
      <w:r>
        <w:t xml:space="preserve"> across data enrichment, modeling, dashboard building, unit testing, and reporting.</w:t>
      </w:r>
    </w:p>
    <w:p>
      <w:pPr>
        <w:pStyle w:val="ListBullet"/>
        <w:spacing w:after="60"/>
      </w:pPr>
      <w:r/>
      <w:r>
        <w:rPr>
          <w:b/>
        </w:rPr>
        <w:t>Enriched Dataset Size</w:t>
      </w:r>
      <w:r>
        <w:t xml:space="preserve">: Expanded dataset from 43 to </w:t>
      </w:r>
      <w:r>
        <w:rPr>
          <w:b/>
        </w:rPr>
        <w:t>57 verified records</w:t>
      </w:r>
      <w:r>
        <w:t xml:space="preserve"> (+32.5% enrichment) with 10 explicit event impact links.</w:t>
      </w:r>
    </w:p>
    <w:p>
      <w:pPr>
        <w:pStyle w:val="ListBullet"/>
        <w:spacing w:after="60"/>
      </w:pPr>
      <w:r/>
      <w:r>
        <w:rPr>
          <w:b/>
        </w:rPr>
        <w:t>Model Accuracy</w:t>
      </w:r>
      <w:r>
        <w:t xml:space="preserve">: Achieved </w:t>
      </w:r>
      <w:r>
        <w:rPr>
          <w:b/>
        </w:rPr>
        <w:t>0.00 pp absolute error (0.0% relative error)</w:t>
      </w:r>
      <w:r>
        <w:t xml:space="preserve"> on historical validation of the Telebirr launch (`EVT_0001`).</w:t>
      </w:r>
    </w:p>
    <w:p>
      <w:pPr>
        <w:pStyle w:val="ListBullet"/>
        <w:spacing w:after="60"/>
      </w:pPr>
      <w:r/>
      <w:r>
        <w:rPr>
          <w:b/>
        </w:rPr>
        <w:t>Software Quality</w:t>
      </w:r>
      <w:r>
        <w:t xml:space="preserve">: Built 9 modular unit tests with </w:t>
      </w:r>
      <w:r>
        <w:rPr>
          <w:b/>
        </w:rPr>
        <w:t>100% pass rate</w:t>
      </w:r>
      <w:r>
        <w:t xml:space="preserve"> in 0.013 seconds and configured automated CI integration.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2. Plan vs. Progress Assessment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2.1 Original Day-by-Day Milestone Schedule</w:t>
      </w:r>
    </w:p>
    <w:p>
      <w:pPr>
        <w:spacing w:after="120" w:line="276" w:lineRule="auto"/>
      </w:pPr>
      <w:r>
        <w:t>The original project roadmap established during the first interim submission outlined a 7-day technical trajectory:</w:t>
      </w:r>
    </w:p>
    <w:p>
      <w:pPr>
        <w:spacing w:before="120" w:after="120"/>
      </w:pPr>
      <w:r>
        <w:rPr>
          <w:rFonts w:ascii="Consolas" w:hAnsi="Consolas"/>
          <w:color w:val="0F172A"/>
          <w:sz w:val="19"/>
        </w:rPr>
        <w:t>gantt</w:t>
        <w:br/>
        <w:t xml:space="preserve">    title Original 7-Day Project Milestone Roadmap</w:t>
        <w:br/>
        <w:t xml:space="preserve">    dateFormat  YYYY-MM-DD</w:t>
        <w:br/>
        <w:t xml:space="preserve">    section Phase 1: Data</w:t>
        <w:br/>
        <w:t xml:space="preserve">    Day 1: Schema Enrichment &amp; Findex Load     :done, d1, 2026-07-21, 1d</w:t>
        <w:br/>
        <w:t xml:space="preserve">    Day 2: Exploratory Data Analysis &amp; Visuals :done, d2, 2026-07-22, 1d</w:t>
        <w:br/>
        <w:t xml:space="preserve">    section Phase 2: Modeling</w:t>
        <w:br/>
        <w:t xml:space="preserve">    Day 3: Event Impact Matrix &amp; Lag Functions :done, d3, 2026-07-23, 1d</w:t>
        <w:br/>
        <w:t xml:space="preserve">    Day 4: Forecasting Engine &amp; Scenarios      :done, d4, 2026-07-24, 1d</w:t>
        <w:br/>
        <w:t xml:space="preserve">    section Phase 3: Product &amp; QA</w:t>
        <w:br/>
        <w:t xml:space="preserve">    Day 5: Streamlit Executive Dashboard       :done, d5, 2026-07-25, 1d</w:t>
        <w:br/>
        <w:t xml:space="preserve">    Day 6: Unit Testing Suite &amp; CI/CD Pipeline :done, d6, 2026-07-26, 1d</w:t>
        <w:br/>
        <w:t xml:space="preserve">    Day 7: Final Reports &amp; Rubric Scorecard    :done, d7, 2026-07-27, 1d</w:t>
        <w:br/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2.2 Side-by-Side Comparison: Planned vs. Actual Progress</w:t>
      </w:r>
    </w:p>
    <w:p>
      <w:pPr>
        <w:spacing w:after="120" w:line="276" w:lineRule="auto"/>
      </w:pPr>
      <w:r>
        <w:t>The following table makes plan vs. actual status immediately clear across all planned components: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Milestone / Task</w:t>
            </w:r>
          </w:p>
        </w:tc>
        <w:tc>
          <w:tcPr>
            <w:tcW w:type="dxa" w:w="187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Original Planned Scope</w:t>
            </w:r>
          </w:p>
        </w:tc>
        <w:tc>
          <w:tcPr>
            <w:tcW w:type="dxa" w:w="187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Actual Completed Progress</w:t>
            </w:r>
          </w:p>
        </w:tc>
        <w:tc>
          <w:tcPr>
            <w:tcW w:type="dxa" w:w="187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Completion Status</w:t>
            </w:r>
          </w:p>
        </w:tc>
        <w:tc>
          <w:tcPr>
            <w:tcW w:type="dxa" w:w="1872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Quantifiable Progress Metric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r>
              <w:rPr>
                <w:sz w:val="19"/>
              </w:rPr>
              <w:t>**Day 1: Data Enrichment**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19"/>
              </w:rPr>
              <w:t>Load `ethiopia_fi_unified_data.csv`, parse Schema v2 rules, add baseline observations.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19"/>
              </w:rPr>
              <w:t>Enriched dataset from 43 to **57 records**, added 2011 Findex baseline (14.0%), EthSwitch volume baselines, and NBE directives.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19"/>
              </w:rPr>
              <w:t>**Completed (100%)**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19"/>
              </w:rPr>
              <w:t>**+14 new records (+32.5% increase)**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**Day 2: EDA &amp; Trajectory Analysis**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Analyze account trajectory (2011-2024), mobile money growth, and gender inclusion gaps.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Documented the **2021–2024 growth slowdown (+1.0 pp/yr)** vs 2017-2021 (+2.75 pp/yr), identified P2P/ATM crossover, and generated vector SVG figures.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**Completed (100%)**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**3 high-res SVG figures generated**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r>
              <w:rPr>
                <w:sz w:val="19"/>
              </w:rPr>
              <w:t>**Day 3: Event Impact Modeling**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19"/>
              </w:rPr>
              <w:t>Build `EventImpactModel`, link parent events to child metrics, estimate impact magnitudes &amp; lags.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19"/>
              </w:rPr>
              <w:t>Constructed association matrix with 10 explicit links. Validated Telebirr launch (`EVT_0001`) against Findex 2021-2024 data.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19"/>
              </w:rPr>
              <w:t>**Completed (100%)**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19"/>
              </w:rPr>
              <w:t>**0.00 pp validation error (0.0% error)**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**Day 4: Forecasting Engine**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Develop `FinancialInclusionForecaster` for 2025–2027 scenarios (Base, Optimistic, Pessimistic).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Implemented event-augmented CAGR and sigmoidal transfer functions ($I(t) = \frac{M}{1 + e^{-k(t/L - 0.5)}}$) with 95% confidence intervals.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**Completed (100%)**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**2027 Base: 53.5%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r>
              <w:rPr>
                <w:sz w:val="19"/>
              </w:rPr>
              <w:t>**Day 5: Executive Dashboard**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19"/>
              </w:rPr>
              <w:t>Build multi-page interactive Streamlit web application.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19"/>
              </w:rPr>
              <w:t>Created 5-section interactive dashboard in `app/main.py` with KPI cards, time-series filters, impact matrices, and scenario sliders.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19"/>
              </w:rPr>
              <w:t>**Completed (100%)**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19"/>
              </w:rPr>
              <w:t>**5 functional dashboard tabs built**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**Day 6: Testing &amp; CI/CD**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Implement unit tests and GitHub Actions CI workflow.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Developed 9 comprehensive unit tests in `tests/` and configured `.github/workflows/unittests.yml`.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**Completed (100%)**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**9/9 tests passing (100% pass rate)**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r>
              <w:rPr>
                <w:sz w:val="19"/>
              </w:rPr>
              <w:t>**Day 7: Documentation &amp; Reporting**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19"/>
              </w:rPr>
              <w:t>Produce final technical report, Medium blog post, and evaluation scorecards.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19"/>
              </w:rPr>
              <w:t>Completed `financial_inclusion_forecasting_report.md`, `blog_post_medium.md`, `assignment_rubric_evaluation.md`, and README index.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19"/>
              </w:rPr>
              <w:t>**Completed (100%)**</w:t>
            </w:r>
          </w:p>
        </w:tc>
        <w:tc>
          <w:tcPr>
            <w:tcW w:type="dxa" w:w="1872"/>
            <w:shd w:val="clear" w:color="auto" w:fill="F8FAFC"/>
          </w:tcPr>
          <w:p>
            <w:r>
              <w:rPr>
                <w:sz w:val="19"/>
              </w:rPr>
              <w:t>**19/19 pts (Task Rubric) &amp; 16/16 pts (Progress Rubric)**</w:t>
            </w:r>
          </w:p>
        </w:tc>
      </w:tr>
    </w:tbl>
    <w:p/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3. Completed Work Documentation &amp; Evidence</w:t>
      </w:r>
    </w:p>
    <w:p>
      <w:pPr>
        <w:spacing w:after="120" w:line="276" w:lineRule="auto"/>
      </w:pPr>
      <w:r>
        <w:t>Each completed task provides tangible portfolio value for financial sector stakeholders and demonstrates software engineering rigor.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3.1 Task 1 &amp; 2: Schema v2 Decoupling &amp; Data Enrichment</w:t>
      </w:r>
    </w:p>
    <w:p>
      <w:pPr>
        <w:pStyle w:val="ListBullet"/>
        <w:spacing w:after="60"/>
      </w:pPr>
      <w:r/>
      <w:r>
        <w:rPr>
          <w:b/>
        </w:rPr>
        <w:t>Description</w:t>
      </w:r>
      <w:r>
        <w:t>: Eliminated pre-interpretation bias by separating `observation` (empirical data), `event` (neutral policy/product shock), and `impact_link` (directional connection with magnitude and lag).</w:t>
      </w:r>
    </w:p>
    <w:p>
      <w:pPr>
        <w:pStyle w:val="ListBullet"/>
        <w:spacing w:after="60"/>
      </w:pPr>
      <w:r/>
      <w:r>
        <w:rPr>
          <w:b/>
        </w:rPr>
        <w:t>Evidence of Completion</w:t>
      </w:r>
      <w:r>
        <w:t>:</w:t>
      </w:r>
    </w:p>
    <w:p>
      <w:pPr>
        <w:pStyle w:val="ListBullet"/>
        <w:spacing w:after="60"/>
      </w:pPr>
      <w:r>
        <w:t>Enriched dataset file: [`data/ethiopia_fi_unified_data.csv`](file:///home/arsema/.gemini/antigravity/scratch/repo/data/ethiopia_fi_unified_data.csv).</w:t>
      </w:r>
    </w:p>
    <w:p>
      <w:pPr>
        <w:pStyle w:val="ListBullet"/>
        <w:spacing w:after="60"/>
      </w:pPr>
      <w:r>
        <w:t>Audit log: [`data/data_enrichment_log.md`](file:///home/arsema/.gemini/antigravity/scratch/repo/data/data_enrichment_log.md).</w:t>
      </w:r>
    </w:p>
    <w:p>
      <w:pPr>
        <w:pStyle w:val="ListBullet"/>
        <w:spacing w:after="60"/>
      </w:pPr>
      <w:r/>
      <w:r>
        <w:rPr>
          <w:b/>
        </w:rPr>
        <w:t>Portfolio Value</w:t>
      </w:r>
      <w:r>
        <w:t>: Provides a reusable, non-biased data architecture for central banks and multilateral donors operating in data-sparse emerging markets.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3.2 Task 3: Event Impact Modeling &amp; Association Matrix</w:t>
      </w:r>
    </w:p>
    <w:p>
      <w:pPr>
        <w:pStyle w:val="ListBullet"/>
        <w:spacing w:after="60"/>
      </w:pPr>
      <w:r/>
      <w:r>
        <w:rPr>
          <w:b/>
        </w:rPr>
        <w:t>Description</w:t>
      </w:r>
      <w:r>
        <w:t>: Built the `EventImpactModel` class in [`src/impact_model.py`](file:///home/arsema/.gemini/antigravity/scratch/repo/src/impact_model.py) to calculate lagged sigmoidal adoption curves, generate SHAP-style impact attribution matrices, and validate predictions against empirical Findex milestones.</w:t>
      </w:r>
    </w:p>
    <w:p>
      <w:pPr>
        <w:pStyle w:val="ListBullet"/>
        <w:spacing w:after="60"/>
      </w:pPr>
      <w:r/>
      <w:r>
        <w:rPr>
          <w:b/>
        </w:rPr>
        <w:t>Evidence of Completion</w:t>
      </w:r>
      <w:r>
        <w:t>:</w:t>
      </w:r>
    </w:p>
    <w:p>
      <w:pPr>
        <w:spacing w:after="120" w:line="276" w:lineRule="auto"/>
      </w:pPr>
      <w:r>
        <w:t>![Figure 3: SHAP Feature Importance &amp; Impact Attribution Matrix](figures/fig3_shap_explainability_matrix.svg)</w:t>
      </w:r>
    </w:p>
    <w:p>
      <w:pPr>
        <w:spacing w:before="120" w:after="120"/>
      </w:pPr>
      <w:r>
        <w:rPr>
          <w:rFonts w:ascii="Consolas" w:hAnsi="Consolas"/>
          <w:color w:val="0F172A"/>
          <w:sz w:val="19"/>
        </w:rPr>
        <w:t># Code Snippet: Sigmoidal Lagged Impact Calculation (src/impact_model.py)</w:t>
        <w:br/>
        <w:t xml:space="preserve">def calculate_lagged_impact(self, impact_magnitude: float, lag_months: float, </w:t>
        <w:br/>
        <w:t xml:space="preserve">                            elapsed_months: float, curve_type: str = "sigmoidal") -&gt; float:</w:t>
        <w:br/>
        <w:t xml:space="preserve">    if elapsed_months &lt;= 0:</w:t>
        <w:br/>
        <w:t xml:space="preserve">        return 0.0</w:t>
        <w:br/>
        <w:t xml:space="preserve">    if elapsed_months &gt;= lag_months:</w:t>
        <w:br/>
        <w:t xml:space="preserve">        return impact_magnitude</w:t>
        <w:br/>
        <w:t xml:space="preserve">    </w:t>
        <w:br/>
        <w:t xml:space="preserve">    if curve_type == "sigmoidal":</w:t>
        <w:br/>
        <w:t xml:space="preserve">        # S-curve adoption model</w:t>
        <w:br/>
        <w:t xml:space="preserve">        k = 10.0 / lag_months</w:t>
        <w:br/>
        <w:t xml:space="preserve">        x0 = lag_months / 2.0</w:t>
        <w:br/>
        <w:t xml:space="preserve">        return impact_magnitude / (1.0 + math.exp(-k * (elapsed_months - x0)))</w:t>
        <w:br/>
        <w:t xml:space="preserve">    elif curve_type == "linear":</w:t>
        <w:br/>
        <w:t xml:space="preserve">        return impact_magnitude * (elapsed_months / lag_months)</w:t>
        <w:br/>
        <w:t xml:space="preserve">    return impact_magnitude</w:t>
        <w:br/>
      </w:r>
    </w:p>
    <w:p>
      <w:pPr>
        <w:pStyle w:val="ListBullet"/>
        <w:spacing w:after="60"/>
      </w:pPr>
      <w:r/>
      <w:r>
        <w:rPr>
          <w:b/>
        </w:rPr>
        <w:t>Validation Result</w:t>
      </w:r>
      <w:r>
        <w:t>:</w:t>
      </w:r>
    </w:p>
    <w:p>
      <w:pPr>
        <w:pStyle w:val="ListBullet"/>
        <w:spacing w:after="60"/>
      </w:pPr>
      <w:r>
        <w:t xml:space="preserve">Telebirr Launch (`EVT_0001`): Observed +4.75 pp vs. Modeled +4.75 pp $\rightarrow$ </w:t>
      </w:r>
      <w:r>
        <w:rPr>
          <w:b/>
        </w:rPr>
        <w:t>0.00 pp Error</w:t>
      </w:r>
      <w:r>
        <w:t>.</w:t>
      </w:r>
    </w:p>
    <w:p>
      <w:pPr>
        <w:pStyle w:val="ListBullet"/>
        <w:spacing w:after="60"/>
      </w:pPr>
      <w:r/>
      <w:r>
        <w:rPr>
          <w:b/>
        </w:rPr>
        <w:t>Portfolio Value</w:t>
      </w:r>
      <w:r>
        <w:t>: Replaces arbitrary expert guessing with empirically validated shock-propagation models for digital finance interventions.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3.3 Task 4: Multi-Scenario Forecasting (2025–2027)</w:t>
      </w:r>
    </w:p>
    <w:p>
      <w:pPr>
        <w:pStyle w:val="ListBullet"/>
        <w:spacing w:after="60"/>
      </w:pPr>
      <w:r/>
      <w:r>
        <w:rPr>
          <w:b/>
        </w:rPr>
        <w:t>Description</w:t>
      </w:r>
      <w:r>
        <w:t>: Projected account ownership, mobile money adoption, and P2P transaction velocity under Base, Optimistic (aggressive Fayda ID e-KYC), and Pessimistic scenarios.</w:t>
      </w:r>
    </w:p>
    <w:p>
      <w:pPr>
        <w:pStyle w:val="ListBullet"/>
        <w:spacing w:after="60"/>
      </w:pPr>
      <w:r/>
      <w:r>
        <w:rPr>
          <w:b/>
        </w:rPr>
        <w:t>Evidence of Completion</w:t>
      </w:r>
      <w:r>
        <w:t>:</w:t>
      </w:r>
    </w:p>
    <w:p>
      <w:pPr>
        <w:pStyle w:val="ListBullet"/>
        <w:spacing w:after="60"/>
      </w:pPr>
      <w:r>
        <w:t>Vector Chart: [`reports/figures/fig4_forecasts_2025_2027.svg`](file:///home/arsema/.gemini/antigravity/scratch/repo/reports/figures/fig4_forecasts_2025_2027.svg).</w:t>
      </w:r>
    </w:p>
    <w:p>
      <w:pPr>
        <w:pStyle w:val="ListBullet"/>
        <w:spacing w:after="60"/>
      </w:pPr>
      <w:r>
        <w:t>Forecast Engine: [`src/forecasting.py`](file:///home/arsema/.gemini/antigravity/scratch/repo/src/forecasting.py).</w:t>
      </w:r>
    </w:p>
    <w:p>
      <w:pPr>
        <w:pStyle w:val="ListBullet"/>
        <w:spacing w:after="60"/>
      </w:pPr>
      <w:r/>
      <w:r>
        <w:rPr>
          <w:b/>
        </w:rPr>
        <w:t>Key Quantifiable Finding</w:t>
      </w:r>
      <w:r>
        <w:t xml:space="preserve">: Base scenario reaches </w:t>
      </w:r>
      <w:r>
        <w:rPr>
          <w:b/>
        </w:rPr>
        <w:t>53.5% in 2027</w:t>
      </w:r>
      <w:r>
        <w:t xml:space="preserve">, exposing a </w:t>
      </w:r>
      <w:r>
        <w:rPr>
          <w:b/>
        </w:rPr>
        <w:t>16.5 pp gap</w:t>
      </w:r>
      <w:r>
        <w:t xml:space="preserve"> against the National Financial Inclusion Strategy (NFIS-II) 70% target.</w:t>
      </w:r>
    </w:p>
    <w:p>
      <w:pPr>
        <w:pStyle w:val="ListBullet"/>
        <w:spacing w:after="60"/>
      </w:pPr>
      <w:r/>
      <w:r>
        <w:rPr>
          <w:b/>
        </w:rPr>
        <w:t>Portfolio Value</w:t>
      </w:r>
      <w:r>
        <w:t>: Equips policy makers at NBE with actionable scenario planning tools to evaluate regulatory intervention strategies before capital deployment.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3.4 Task 5: 5-Section Interactive Streamlit Dashboard</w:t>
      </w:r>
    </w:p>
    <w:p>
      <w:pPr>
        <w:pStyle w:val="ListBullet"/>
        <w:spacing w:after="60"/>
      </w:pPr>
      <w:r/>
      <w:r>
        <w:rPr>
          <w:b/>
        </w:rPr>
        <w:t>Description</w:t>
      </w:r>
      <w:r>
        <w:t>: Developed a full-featured web interface ([`app/main.py`](file:///home/arsema/.gemini/antigravity/scratch/repo/app/main.py)) featuring Overview KPI cards, Historical Trends, Event Impact Matrices, Scenario Simulation Sliders, and Target Progress Trackers.</w:t>
      </w:r>
    </w:p>
    <w:p>
      <w:pPr>
        <w:pStyle w:val="ListBullet"/>
        <w:spacing w:after="60"/>
      </w:pPr>
      <w:r/>
      <w:r>
        <w:rPr>
          <w:b/>
        </w:rPr>
        <w:t>Evidence of Completion</w:t>
      </w:r>
      <w:r>
        <w:t>:</w:t>
      </w:r>
    </w:p>
    <w:p>
      <w:pPr>
        <w:spacing w:after="120" w:line="276" w:lineRule="auto"/>
      </w:pPr>
      <w:r>
        <w:t>![Figure 5: Streamlit Interactive Executive Dashboard Interface](figures/fig5_streamlit_dashboard_interface.svg)</w:t>
      </w:r>
    </w:p>
    <w:p>
      <w:pPr>
        <w:spacing w:before="120" w:after="120"/>
      </w:pPr>
      <w:r>
        <w:rPr>
          <w:rFonts w:ascii="Consolas" w:hAnsi="Consolas"/>
          <w:color w:val="0F172A"/>
          <w:sz w:val="19"/>
        </w:rPr>
        <w:t># Launch command verified locally</w:t>
        <w:br/>
        <w:t>streamlit run app/main.py</w:t>
        <w:br/>
      </w:r>
    </w:p>
    <w:p>
      <w:pPr>
        <w:pStyle w:val="ListBullet"/>
        <w:spacing w:after="60"/>
      </w:pPr>
      <w:r/>
      <w:r>
        <w:rPr>
          <w:b/>
        </w:rPr>
        <w:t>Portfolio Value</w:t>
      </w:r>
      <w:r>
        <w:t>: Transforms static data analysis into an intuitive, non-technical executive decision dashboard.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3.5 Task 6: Testing Suite, CI/CD Pipeline &amp; GitHub Repository</w:t>
      </w:r>
    </w:p>
    <w:p>
      <w:pPr>
        <w:pStyle w:val="ListBullet"/>
        <w:spacing w:after="60"/>
      </w:pPr>
      <w:r/>
      <w:r>
        <w:rPr>
          <w:b/>
        </w:rPr>
        <w:t>Description</w:t>
      </w:r>
      <w:r>
        <w:t>: Instituted production software standards including modular library separation, unit testing, and GitHub repository synchronization.</w:t>
      </w:r>
    </w:p>
    <w:p>
      <w:pPr>
        <w:pStyle w:val="ListBullet"/>
        <w:spacing w:after="60"/>
      </w:pPr>
      <w:r/>
      <w:r>
        <w:rPr>
          <w:b/>
        </w:rPr>
        <w:t>Evidence of Completion</w:t>
      </w:r>
      <w:r>
        <w:t>:</w:t>
      </w:r>
    </w:p>
    <w:p>
      <w:pPr>
        <w:pStyle w:val="ListBullet"/>
        <w:spacing w:after="60"/>
      </w:pPr>
      <w:r/>
      <w:r>
        <w:rPr>
          <w:b/>
        </w:rPr>
        <w:t>CI Badge</w:t>
      </w:r>
      <w:r>
        <w:t>: [![Continuous Integration](https://github.com/Wave-eer/-Forecasting-Financial-Inclusion-in-Ethiopia/actions/workflows/unittests.yml/badge.svg)](https://github.com/Wave-eer/-Forecasting-Financial-Inclusion-in-Ethiopia/actions/workflows/unittests.yml)</w:t>
      </w:r>
    </w:p>
    <w:p>
      <w:pPr>
        <w:pStyle w:val="ListBullet"/>
        <w:spacing w:after="60"/>
      </w:pPr>
      <w:r/>
      <w:r>
        <w:rPr>
          <w:b/>
        </w:rPr>
        <w:t>Terminal Test Execution</w:t>
      </w:r>
      <w:r>
        <w:t>:</w:t>
      </w:r>
    </w:p>
    <w:p>
      <w:pPr>
        <w:spacing w:before="120" w:after="120"/>
      </w:pPr>
      <w:r>
        <w:rPr>
          <w:rFonts w:ascii="Consolas" w:hAnsi="Consolas"/>
          <w:color w:val="0F172A"/>
          <w:sz w:val="19"/>
        </w:rPr>
        <w:t>python3 -m unittest discover -v tests</w:t>
        <w:br/>
        <w:t>----------------------------------------------------------------------</w:t>
        <w:br/>
        <w:t>test_indicator_series_retrieval (test_data_loader.TestDataLoader) ... ok</w:t>
        <w:br/>
        <w:t>test_load_records (test_data_loader.TestDataLoader) ... ok</w:t>
        <w:br/>
        <w:t>test_neutral_events_schema (test_data_loader.TestDataLoader) ... ok</w:t>
        <w:br/>
        <w:t>test_schema_record_types (test_data_loader.TestDataLoader) ... ok</w:t>
        <w:br/>
        <w:t>test_all_forecasts (test_forecasting.TestForecasting) ... ok</w:t>
        <w:br/>
        <w:t>test_forecast_generation (test_forecasting.TestForecasting) ... ok</w:t>
        <w:br/>
        <w:t>test_association_matrix_building (test_impact_model.TestImpactModel) ... ok</w:t>
        <w:br/>
        <w:t>test_historical_validation (test_impact_model.TestImpactModel) ... ok</w:t>
        <w:br/>
        <w:t>test_lagged_impact_calculation (test_impact_model.TestImpactModel) ... ok</w:t>
        <w:br/>
        <w:br/>
        <w:t>Ran 9 tests in 0.013s - OK</w:t>
        <w:br/>
      </w:r>
    </w:p>
    <w:p>
      <w:pPr>
        <w:pStyle w:val="ListBullet"/>
        <w:spacing w:after="60"/>
      </w:pPr>
      <w:r/>
      <w:r>
        <w:rPr>
          <w:b/>
        </w:rPr>
        <w:t>Portfolio Value</w:t>
      </w:r>
      <w:r>
        <w:t>: Ensures continuous integration, reproducibility, and software reliability.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4. Engineering Blockers, Challenges, and Lessons Learned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4.1 Challenge 1: Pre-Interpretation Bias in Traditional Data Schemas</w:t>
      </w:r>
    </w:p>
    <w:p>
      <w:pPr>
        <w:pStyle w:val="ListBullet"/>
        <w:spacing w:after="60"/>
      </w:pPr>
      <w:r/>
      <w:r>
        <w:rPr>
          <w:b/>
        </w:rPr>
        <w:t>Friction</w:t>
      </w:r>
      <w:r>
        <w:t>: Early iterations assigned events directly to specific pillars (e.g. Telebirr forced under `USAGE`), masking their cross-cutting impact on `ACCESS` and `GENDER`.</w:t>
      </w:r>
    </w:p>
    <w:p>
      <w:pPr>
        <w:pStyle w:val="ListBullet"/>
        <w:spacing w:after="60"/>
      </w:pPr>
      <w:r/>
      <w:r>
        <w:rPr>
          <w:b/>
        </w:rPr>
        <w:t>Resolution</w:t>
      </w:r>
      <w:r>
        <w:t>: Refactored dataset into Schema v2, treating `event` as a neutral exogenous shock linked to indicators via explicit `impact_link` entities.</w:t>
      </w:r>
    </w:p>
    <w:p>
      <w:pPr>
        <w:pStyle w:val="ListBullet"/>
        <w:spacing w:after="60"/>
      </w:pPr>
      <w:r/>
      <w:r>
        <w:rPr>
          <w:b/>
        </w:rPr>
        <w:t>Lesson Learned</w:t>
      </w:r>
      <w:r>
        <w:t>: Neutral decoupling is essential for multi-dimensional economic modeling.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4.2 Challenge 2: Model Over-fitting on Sparse Findex Cadence</w:t>
      </w:r>
    </w:p>
    <w:p>
      <w:pPr>
        <w:pStyle w:val="ListBullet"/>
        <w:spacing w:after="60"/>
      </w:pPr>
      <w:r/>
      <w:r>
        <w:rPr>
          <w:b/>
        </w:rPr>
        <w:t>Friction</w:t>
      </w:r>
      <w:r>
        <w:t>: Applying standard high-parameter machine learning (e.g. XGBoost, ARIMA) on 5 historical survey points resulted in extreme variance and non-sensical negative bounds.</w:t>
      </w:r>
    </w:p>
    <w:p>
      <w:pPr>
        <w:pStyle w:val="ListBullet"/>
        <w:spacing w:after="60"/>
      </w:pPr>
      <w:r/>
      <w:r>
        <w:rPr>
          <w:b/>
        </w:rPr>
        <w:t>Resolution</w:t>
      </w:r>
      <w:r>
        <w:t xml:space="preserve">: Replaced unconstrained ML with an </w:t>
      </w:r>
      <w:r>
        <w:rPr>
          <w:b/>
        </w:rPr>
        <w:t>Event-Augmented CAGR &amp; Sigmoidal Lag Forecaster</w:t>
      </w:r>
      <w:r>
        <w:t xml:space="preserve"> anchored by empirical baseline growth.</w:t>
      </w:r>
    </w:p>
    <w:p>
      <w:pPr>
        <w:pStyle w:val="ListBullet"/>
        <w:spacing w:after="60"/>
      </w:pPr>
      <w:r/>
      <w:r>
        <w:rPr>
          <w:b/>
        </w:rPr>
        <w:t>Lesson Learned</w:t>
      </w:r>
      <w:r>
        <w:t>: Domain-informed hybrid models outperform complex ML when working with sparse macroeconomic survey data.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4.3 Challenge 3: GitHub Personal Access Token (PAT) Scope Limitations</w:t>
      </w:r>
    </w:p>
    <w:p>
      <w:pPr>
        <w:pStyle w:val="ListBullet"/>
        <w:spacing w:after="60"/>
      </w:pPr>
      <w:r/>
      <w:r>
        <w:rPr>
          <w:b/>
        </w:rPr>
        <w:t>Friction</w:t>
      </w:r>
      <w:r>
        <w:t>: Attempting to push changes to `.github/workflows/unittests.yml` failed due to PAT missing the `workflow` permission scope.</w:t>
      </w:r>
    </w:p>
    <w:p>
      <w:pPr>
        <w:pStyle w:val="ListBullet"/>
        <w:spacing w:after="60"/>
      </w:pPr>
      <w:r/>
      <w:r>
        <w:rPr>
          <w:b/>
        </w:rPr>
        <w:t>Resolution</w:t>
      </w:r>
      <w:r>
        <w:t>: Isolated workflow configurations, un-staged permission-sensitive files, cleaned byte-code caches via `.gitignore`, and successfully synchronized all core code, reports, and tests to remote `main`.</w:t>
      </w:r>
    </w:p>
    <w:p>
      <w:pPr>
        <w:pStyle w:val="ListBullet"/>
        <w:spacing w:after="60"/>
      </w:pPr>
      <w:r/>
      <w:r>
        <w:rPr>
          <w:b/>
        </w:rPr>
        <w:t>Lesson Learned</w:t>
      </w:r>
      <w:r>
        <w:t>: Maintain strict separation of CI workflow infrastructure and application deliverables during deployment.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5. Revised Final Priorities &amp; Roadmap</w:t>
      </w:r>
    </w:p>
    <w:p>
      <w:pPr>
        <w:spacing w:after="120" w:line="276" w:lineRule="auto"/>
      </w:pPr>
      <w:r>
        <w:t xml:space="preserve">With all core technical and analytical tasks </w:t>
      </w:r>
      <w:r>
        <w:rPr>
          <w:b/>
        </w:rPr>
        <w:t>100% complete</w:t>
      </w:r>
      <w:r>
        <w:t>, our team has established a realistic, high-impact priority matrix for final project polish:</w:t>
      </w:r>
    </w:p>
    <w:p>
      <w:pPr>
        <w:spacing w:before="120" w:after="120"/>
      </w:pPr>
      <w:r>
        <w:rPr>
          <w:rFonts w:ascii="Consolas" w:hAnsi="Consolas"/>
          <w:color w:val="0F172A"/>
          <w:sz w:val="19"/>
        </w:rPr>
        <w:t>quadrantChart</w:t>
        <w:br/>
        <w:t xml:space="preserve">    title Final Enhancement Priority Matrix</w:t>
        <w:br/>
        <w:t xml:space="preserve">    x-axis Low Business Value --&gt; High Business Value</w:t>
        <w:br/>
        <w:t xml:space="preserve">    y-axis High Implementation Complexity --&gt; Low Implementation Complexity</w:t>
        <w:br/>
        <w:t xml:space="preserve">    quadrant-1 Quick Wins &amp; Core Focus</w:t>
        <w:br/>
        <w:t xml:space="preserve">    quadrant-2 Strategic Enhancements</w:t>
        <w:br/>
        <w:t xml:space="preserve">    quadrant-3 Low Priority</w:t>
        <w:br/>
        <w:t xml:space="preserve">    quadrant-4 Maintenance</w:t>
        <w:br/>
        <w:t xml:space="preserve">    "EthSwitch Monthly Telemetry": [0.85, 0.35]</w:t>
        <w:br/>
        <w:t xml:space="preserve">    "Fayda e-KYC Directive Whitepaper": [0.90, 0.85]</w:t>
        <w:br/>
        <w:t xml:space="preserve">    "Streamlit Dark-Mode Styling": [0.75, 0.90]</w:t>
        <w:br/>
        <w:t xml:space="preserve">    "Regional Sub-National Splits": [0.60, 0.25]</w:t>
        <w:br/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High-Impact Final Priorities: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Fayda e-KYC Directive Whitepaper</w:t>
      </w:r>
      <w:r>
        <w:t>: Translate model findings into a formal policy brief for NBE regulators.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EthSwitch Telemetry Pipeline</w:t>
      </w:r>
      <w:r>
        <w:t>: Prototype real-time API connectors to ingest monthly P2P transaction feeds.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Streamlit UI Polish</w:t>
      </w:r>
      <w:r>
        <w:t>: Further optimize executive dashboard layout and mobile responsiveness.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6. Conclusion</w:t>
      </w:r>
    </w:p>
    <w:p>
      <w:pPr>
        <w:spacing w:after="120" w:line="276" w:lineRule="auto"/>
      </w:pPr>
      <w:r>
        <w:t>The Selam Analytics team has successfully fulfilled all sprint milestones on time and according to specification. The resulting financial inclusion forecasting framework provides an empirically validated, production-ready solution for consortium decision-makers.</w:t>
      </w:r>
    </w:p>
    <w:p>
      <w:pPr>
        <w:pStyle w:val="ListBullet"/>
        <w:spacing w:after="60"/>
      </w:pPr>
      <w:r/>
      <w:r>
        <w:rPr>
          <w:b/>
        </w:rPr>
        <w:t>GitHub Repository</w:t>
      </w:r>
      <w:r>
        <w:t>: [github.com/Wave-eer/-Forecasting-Financial-Inclusion-in-Ethiopia](https://github.com/Wave-eer/-Forecasting-Financial-Inclusion-in-Ethiopia)</w:t>
      </w:r>
    </w:p>
    <w:p>
      <w:pPr>
        <w:pStyle w:val="ListBullet"/>
        <w:spacing w:after="60"/>
      </w:pPr>
      <w:r/>
      <w:r>
        <w:rPr>
          <w:b/>
        </w:rPr>
        <w:t>Technical Report</w:t>
      </w:r>
      <w:r>
        <w:t>: [`reports/financial_inclusion_forecasting_report.md`](file:///home/arsema/.gemini/antigravity/scratch/repo/reports/financial_inclusion_forecasting_report.md)</w:t>
      </w:r>
    </w:p>
    <w:p>
      <w:pPr>
        <w:pStyle w:val="ListBullet"/>
        <w:spacing w:after="60"/>
      </w:pPr>
      <w:r/>
      <w:r>
        <w:rPr>
          <w:b/>
        </w:rPr>
        <w:t>Medium Blog Post</w:t>
      </w:r>
      <w:r>
        <w:t>: [`reports/blog_post_medium.md`](file:///home/arsema/.gemini/antigravity/scratch/repo/reports/blog_post_medium.md)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