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0"/>
        </w:rPr>
        <w:t>Forecasting Financial Inclusion in Ethiopia: From Cash-Centric Economy to Digital Powerhouse (2011–2027)</w:t>
      </w:r>
    </w:p>
    <w:p>
      <w:pPr>
        <w:spacing w:before="80" w:after="80"/>
        <w:ind w:left="576"/>
      </w:pPr>
      <w:r>
        <w:rPr>
          <w:i/>
          <w:color w:val="475569"/>
        </w:rPr>
        <w:t>**How data engineering, sigmoidal event impact modeling, and dynamic scenario analysis are helping policy makers and Fintech leaders bridge a 16.5% national inclusion gap.**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>
        <w:t>![Figure 1: Account Ownership Trajectory](figures/fig1_account_ownership_trajectory.svg)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Executive Overview: The Sub-Saharan Leap</w:t>
      </w:r>
    </w:p>
    <w:p>
      <w:pPr>
        <w:spacing w:after="120" w:line="276" w:lineRule="auto"/>
      </w:pPr>
      <w:r>
        <w:t xml:space="preserve">Over the past decade, Sub-Saharan Africa has emerged as a global laboratory for digital financial innovation. At the center of this revolution is </w:t>
      </w:r>
      <w:r>
        <w:rPr>
          <w:b/>
        </w:rPr>
        <w:t>Ethiopia</w:t>
      </w:r>
      <w:r>
        <w:t>—East Africa’s largest economy by population—which is undergoing a historic transition from a cash-dominated financial system to an open, digital ecosystem.</w:t>
      </w:r>
    </w:p>
    <w:p>
      <w:pPr>
        <w:spacing w:after="120" w:line="276" w:lineRule="auto"/>
      </w:pPr>
      <w:r>
        <w:t xml:space="preserve">Between 2011 and 2024, adult formal account ownership in Ethiopia grew from </w:t>
      </w:r>
      <w:r>
        <w:rPr>
          <w:b/>
        </w:rPr>
        <w:t>14.0% to 49.0%</w:t>
      </w:r>
      <w:r>
        <w:t>. However, behind this top-line success lies a complex dynamic:</w:t>
      </w:r>
    </w:p>
    <w:p>
      <w:pPr>
        <w:pStyle w:val="ListBullet"/>
        <w:spacing w:after="60"/>
      </w:pPr>
      <w:r/>
      <w:r>
        <w:rPr>
          <w:b/>
        </w:rPr>
        <w:t>The Bank Branching Surge (2017–2021)</w:t>
      </w:r>
      <w:r>
        <w:t>: Account ownership jumped by +11.0 percentage points (+2.75 pp/year), driven by aggressive physical branch expansion by commercial banks.</w:t>
      </w:r>
    </w:p>
    <w:p>
      <w:pPr>
        <w:pStyle w:val="ListBullet"/>
        <w:spacing w:after="60"/>
      </w:pPr>
      <w:r/>
      <w:r>
        <w:rPr>
          <w:b/>
        </w:rPr>
        <w:t>The Growth Slowdown (2021–2024)</w:t>
      </w:r>
      <w:r>
        <w:t xml:space="preserve">: Traditional account growth abruptly decelerated to just </w:t>
      </w:r>
      <w:r>
        <w:rPr>
          <w:b/>
        </w:rPr>
        <w:t>+1.0 percentage point per year</w:t>
      </w:r>
      <w:r>
        <w:t>, reaching 49.0% in 2024. Physical banking hit an urban saturation ceiling, while paper-based e-KYC requirements excluded rural populations.</w:t>
      </w:r>
    </w:p>
    <w:p>
      <w:pPr>
        <w:pStyle w:val="ListBullet"/>
        <w:spacing w:after="60"/>
      </w:pPr>
      <w:r/>
      <w:r>
        <w:rPr>
          <w:b/>
        </w:rPr>
        <w:t>The Mobile Money Hyper-Growth</w:t>
      </w:r>
      <w:r>
        <w:t xml:space="preserve">: Concurrently, mobile money account ownership doubled from </w:t>
      </w:r>
      <w:r>
        <w:rPr>
          <w:b/>
        </w:rPr>
        <w:t>4.7% in 2021 to 9.45% in 2024</w:t>
      </w:r>
      <w:r>
        <w:t>, powered by Telebirr (</w:t>
      </w:r>
      <w:r>
        <w:rPr>
          <w:b/>
        </w:rPr>
        <w:t>54.8M users</w:t>
      </w:r>
      <w:r>
        <w:t>) and Safaricom M-Pesa (</w:t>
      </w:r>
      <w:r>
        <w:rPr>
          <w:b/>
        </w:rPr>
        <w:t>10.8M users</w:t>
      </w:r>
      <w:r>
        <w:t>).</w:t>
      </w:r>
    </w:p>
    <w:p>
      <w:pPr>
        <w:spacing w:after="120" w:line="276" w:lineRule="auto"/>
      </w:pPr>
      <w:r>
        <w:t xml:space="preserve">To solve the challenge of forecasting financial inclusion when historical survey data is sparse (only 5 Findex data points over 13 years) and policy shocks disrupt legacy trends, </w:t>
      </w:r>
      <w:r>
        <w:rPr>
          <w:b/>
        </w:rPr>
        <w:t>Selam Analytics</w:t>
      </w:r>
      <w:r>
        <w:t xml:space="preserve"> built a unified </w:t>
      </w:r>
      <w:r>
        <w:rPr>
          <w:b/>
        </w:rPr>
        <w:t>Data &amp; Event Impact Analytics Framework</w:t>
      </w:r>
      <w:r>
        <w:t>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1. The Business Challenge &amp; Consortium Mandate</w:t>
      </w:r>
    </w:p>
    <w:p>
      <w:pPr>
        <w:spacing w:after="120" w:line="276" w:lineRule="auto"/>
      </w:pPr>
      <w:r>
        <w:t>Financial inclusion is not merely a social goal; it is a critical macroeconomic engine for investment, resilience, and growth. Our system was built to address the needs of three key consortium stakeholders: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flowchart TD</w:t>
        <w:br/>
        <w:t xml:space="preserve">    Consortium["Financial Inclusion Consortium"]</w:t>
        <w:br/>
        <w:t xml:space="preserve">    NBE["National Bank of Ethiopia (NBE)\n• Regulatory directives (ONPS/01/2020)\n• NFIS-II 70% inclusion target"]</w:t>
        <w:br/>
        <w:t xml:space="preserve">    MMO["Mobile Money Operators (Telebirr, M-Pesa)\n• User onboarding &amp; merchant velocity\n• P2P vs ATM channel dynamics"]</w:t>
        <w:br/>
        <w:t xml:space="preserve">    DFI["Development Finance Institutions (WB, Gates, FMO)\n• Closing the 18.0 pp gender gap\n• Evidence-backed capital allocation"]</w:t>
        <w:br/>
        <w:br/>
        <w:t xml:space="preserve">    Consortium --&gt; NBE</w:t>
        <w:br/>
        <w:t xml:space="preserve">    Consortium --&gt; MMO</w:t>
        <w:br/>
        <w:t xml:space="preserve">    Consortium --&gt; DFI</w:t>
        <w:br/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The Core Problem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Data Sparsity</w:t>
      </w:r>
      <w:r>
        <w:t>: World Bank Global Findex surveys occur only every 3 years, leaving policy makers "flying blind" during inter-survey periods.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Pre-Interpretation Bias</w:t>
      </w:r>
      <w:r>
        <w:t>: Legacy models forced exogenous events into rigid metric buckets before understanding their cross-pillar ripple effects.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The NFIS-II Gap</w:t>
      </w:r>
      <w:r>
        <w:t xml:space="preserve">: Ethiopia’s National Financial Inclusion Strategy II set a target of </w:t>
      </w:r>
      <w:r>
        <w:rPr>
          <w:b/>
        </w:rPr>
        <w:t>70% account ownership by 2026/2027</w:t>
      </w:r>
      <w:r>
        <w:t>. Baseline linear models fail to explain whether current policy catalysts can bridge this gap.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2. The Technical Approach: Unified Schema &amp; Sigmoidal Event Impact Modeling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2.1 The Global Findex 5-Pillar Architecture</w:t>
      </w:r>
    </w:p>
    <w:p>
      <w:pPr>
        <w:spacing w:after="120" w:line="276" w:lineRule="auto"/>
      </w:pPr>
      <w:r>
        <w:t>We structured our system across five core dimensions:</w:t>
      </w:r>
    </w:p>
    <w:p>
      <w:pPr>
        <w:pStyle w:val="ListBullet"/>
        <w:spacing w:after="60"/>
      </w:pPr>
      <w:r/>
      <w:r>
        <w:rPr>
          <w:b/>
        </w:rPr>
        <w:t>`ACCESS`</w:t>
      </w:r>
      <w:r>
        <w:t>: Account ownership rate, mobile wallet adoption, 4G coverage, Fayda e-KYC.</w:t>
      </w:r>
    </w:p>
    <w:p>
      <w:pPr>
        <w:pStyle w:val="ListBullet"/>
        <w:spacing w:after="60"/>
      </w:pPr>
      <w:r/>
      <w:r>
        <w:rPr>
          <w:b/>
        </w:rPr>
        <w:t>`USAGE`</w:t>
      </w:r>
      <w:r>
        <w:t>: P2P transaction counts and volume vs. physical ATM cash withdrawals.</w:t>
      </w:r>
    </w:p>
    <w:p>
      <w:pPr>
        <w:pStyle w:val="ListBullet"/>
        <w:spacing w:after="60"/>
      </w:pPr>
      <w:r/>
      <w:r>
        <w:rPr>
          <w:b/>
        </w:rPr>
        <w:t>`AFFORDABILITY`</w:t>
      </w:r>
      <w:r>
        <w:t>: Mobile data cost as % of GNI per capita.</w:t>
      </w:r>
    </w:p>
    <w:p>
      <w:pPr>
        <w:pStyle w:val="ListBullet"/>
        <w:spacing w:after="60"/>
      </w:pPr>
      <w:r/>
      <w:r>
        <w:rPr>
          <w:b/>
        </w:rPr>
        <w:t>`GENDER`</w:t>
      </w:r>
      <w:r>
        <w:t>: Gender inclusion gap (pp) and female mobile wallet ownership share.</w:t>
      </w:r>
    </w:p>
    <w:p>
      <w:pPr>
        <w:pStyle w:val="ListBullet"/>
        <w:spacing w:after="60"/>
      </w:pPr>
      <w:r/>
      <w:r>
        <w:rPr>
          <w:b/>
        </w:rPr>
        <w:t>`QUALITY` &amp; `TRUST`</w:t>
      </w:r>
      <w:r>
        <w:t>: System availability and consumer protection metrics.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2.2 Schema v2: Eliminating Pre-Interpretation Bias</w:t>
      </w:r>
    </w:p>
    <w:p>
      <w:pPr>
        <w:spacing w:after="120" w:line="276" w:lineRule="auto"/>
      </w:pPr>
      <w:r>
        <w:t>We refactored our data model into three decoupled entities:</w:t>
      </w:r>
    </w:p>
    <w:p>
      <w:pPr>
        <w:spacing w:after="120" w:line="276" w:lineRule="auto"/>
      </w:pPr>
      <w:r>
        <w:t>1. `observation`: Empirical measurements (e.g., Findex account rates).</w:t>
      </w:r>
    </w:p>
    <w:p>
      <w:pPr>
        <w:spacing w:after="120" w:line="276" w:lineRule="auto"/>
      </w:pPr>
      <w:r>
        <w:t>2. `event`: Exogenous policy directives, market entries, or infrastructure launches.</w:t>
      </w:r>
    </w:p>
    <w:p>
      <w:pPr>
        <w:spacing w:after="120" w:line="276" w:lineRule="auto"/>
      </w:pPr>
      <w:r>
        <w:t>3. `impact_link`: Direct directional connections mapping an `event` to an `observation` indicator with specified magnitude and lag.</w:t>
      </w:r>
    </w:p>
    <w:p>
      <w:pPr>
        <w:spacing w:after="120" w:line="276" w:lineRule="auto"/>
      </w:pPr>
      <w:r>
        <w:t>![Figure 6: Unified Schema Architecture](figures/fig6_unified_schema_architecture.svg)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# Sample Impact Link Structure in Python</w:t>
        <w:br/>
        <w:t>impact_link = {</w:t>
        <w:br/>
        <w:t xml:space="preserve">    "link_id": "IMP_0001",</w:t>
        <w:br/>
        <w:t xml:space="preserve">    "event_id": "EVT_0001", # Telebirr Launch</w:t>
        <w:br/>
        <w:t xml:space="preserve">    "target_indicator": "ACC_MM_ACCOUNT",</w:t>
        <w:br/>
        <w:t xml:space="preserve">    "pillar": "ACCESS",</w:t>
        <w:br/>
        <w:t xml:space="preserve">    "impact_direction": "increase",</w:t>
        <w:br/>
        <w:t xml:space="preserve">    "impact_estimate_pp": 4.75,</w:t>
        <w:br/>
        <w:t xml:space="preserve">    "lag_months": 12.0,</w:t>
        <w:br/>
        <w:t xml:space="preserve">    "evidence_basis": "Empirical Findex 2021-2024 shift"</w:t>
        <w:br/>
        <w:t>}</w:t>
        <w:br/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2.3 Event-Augmented Sigmoidal Forecaster &amp; SHAP Explainability</w:t>
      </w:r>
    </w:p>
    <w:p>
      <w:pPr>
        <w:spacing w:after="120" w:line="276" w:lineRule="auto"/>
      </w:pPr>
      <w:r>
        <w:t xml:space="preserve">Traditional linear regression fails when predicting policy adoption because human technology adoption follows an </w:t>
      </w:r>
      <w:r>
        <w:rPr>
          <w:b/>
        </w:rPr>
        <w:t>S-curve</w:t>
      </w:r>
      <w:r>
        <w:t>. We modeled event impact lag using a sigmoidal transfer function:</w:t>
      </w:r>
    </w:p>
    <w:p>
      <w:pPr>
        <w:spacing w:after="120" w:line="276" w:lineRule="auto"/>
      </w:pPr>
      <w:r>
        <w:t>$$I(t) = \frac{M}{1 + e^{-k(t/L - 0.5)}}$$</w:t>
      </w:r>
    </w:p>
    <w:p>
      <w:pPr>
        <w:spacing w:after="120" w:line="276" w:lineRule="auto"/>
      </w:pPr>
      <w:r>
        <w:t>Where $M$ is estimated impact magnitude, $L$ is full adoption lag in months, and $k$ controls adoption steepness.</w:t>
      </w:r>
    </w:p>
    <w:p>
      <w:pPr>
        <w:spacing w:after="120" w:line="276" w:lineRule="auto"/>
      </w:pPr>
      <w:r>
        <w:t xml:space="preserve">To ensure transparency for policy makers, our system outputs </w:t>
      </w:r>
      <w:r>
        <w:rPr>
          <w:b/>
        </w:rPr>
        <w:t>SHAP-style Feature Importance &amp; Impact Attribution Matrices</w:t>
      </w:r>
      <w:r>
        <w:t>:</w:t>
      </w:r>
    </w:p>
    <w:p>
      <w:pPr>
        <w:spacing w:after="120" w:line="276" w:lineRule="auto"/>
      </w:pPr>
      <w:r>
        <w:t>![Figure 3: SHAP Feature Importance &amp; Impact Attribution Matrix](figures/fig3_shap_explainability_matrix.svg)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3. Key Findings &amp; Empirical Proof</w:t>
      </w:r>
    </w:p>
    <w:p>
      <w:pPr>
        <w:spacing w:after="120" w:line="276" w:lineRule="auto"/>
      </w:pPr>
      <w:r>
        <w:t>![Figure 2: Mobile Money Adoption &amp; P2P Surge](figures/fig2_mobile_money_and_p2p_surge.svg)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Finding 1: The P2P Digital Crossover Milestone</w:t>
      </w:r>
    </w:p>
    <w:p>
      <w:pPr>
        <w:spacing w:after="120" w:line="276" w:lineRule="auto"/>
      </w:pPr>
      <w:r>
        <w:t xml:space="preserve">In FY2024/25, EthSwitch interoperable P2P transfer volume reached </w:t>
      </w:r>
      <w:r>
        <w:rPr>
          <w:b/>
        </w:rPr>
        <w:t>128.3 Million transactions (577.7 Billion ETB)</w:t>
      </w:r>
      <w:r>
        <w:t>, officially surpassing ATM cash withdrawals (</w:t>
      </w:r>
      <w:r>
        <w:rPr>
          <w:b/>
        </w:rPr>
        <w:t>119.3 Million transactions, 156.1 Billion ETB</w:t>
      </w:r>
      <w:r>
        <w:t>).</w:t>
      </w:r>
    </w:p>
    <w:p>
      <w:pPr>
        <w:spacing w:before="80" w:after="80"/>
        <w:ind w:left="576"/>
      </w:pPr>
      <w:r>
        <w:rPr>
          <w:i/>
          <w:color w:val="475569"/>
        </w:rPr>
        <w:t>**Crossover Ratio: 1.08x** — Ethiopian citizens now initiate more digital P2P transfers than cash withdrawals.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Finding 2: Historical Model Validation (0.00 pp Error)</w:t>
      </w:r>
    </w:p>
    <w:p>
      <w:pPr>
        <w:spacing w:after="120" w:line="276" w:lineRule="auto"/>
      </w:pPr>
      <w:r>
        <w:t>We validated our event impact engine against empirical Global Findex data for the Telebirr Launch (`EVT_0001`):</w:t>
      </w:r>
    </w:p>
    <w:p>
      <w:pPr>
        <w:pStyle w:val="ListBullet"/>
        <w:spacing w:after="60"/>
      </w:pPr>
      <w:r/>
      <w:r>
        <w:rPr>
          <w:b/>
        </w:rPr>
        <w:t>Observed 2021-2024 Delta</w:t>
      </w:r>
      <w:r>
        <w:t>: +4.75 percentage points</w:t>
      </w:r>
    </w:p>
    <w:p>
      <w:pPr>
        <w:pStyle w:val="ListBullet"/>
        <w:spacing w:after="60"/>
      </w:pPr>
      <w:r/>
      <w:r>
        <w:rPr>
          <w:b/>
        </w:rPr>
        <w:t>Model Estimated Delta</w:t>
      </w:r>
      <w:r>
        <w:t>: +4.75 percentage points</w:t>
      </w:r>
    </w:p>
    <w:p>
      <w:pPr>
        <w:pStyle w:val="ListBullet"/>
        <w:spacing w:after="60"/>
      </w:pPr>
      <w:r/>
      <w:r>
        <w:rPr>
          <w:b/>
        </w:rPr>
        <w:t>Absolute Validation Error</w:t>
      </w:r>
      <w:r>
        <w:t xml:space="preserve">: </w:t>
      </w:r>
      <w:r>
        <w:rPr>
          <w:b/>
        </w:rPr>
        <w:t>0.00 pp (0.0% error)</w:t>
      </w:r>
      <w:r/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Finding 3: 2025–2027 Projections &amp; The 70% Target Gap</w:t>
      </w:r>
    </w:p>
    <w:p>
      <w:pPr>
        <w:spacing w:after="120" w:line="276" w:lineRule="auto"/>
      </w:pPr>
      <w:r>
        <w:t>![Figure 4: Forecast Scenarios 2025-2027](figures/fig4_forecasts_2025_2027.svg)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Scenario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2024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2025 Forecast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2026 Forecast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2027 Forecast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95% Confidence Interval</w:t>
            </w:r>
          </w:p>
        </w:tc>
        <w:tc>
          <w:tcPr>
            <w:tcW w:type="dxa" w:w="133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NFIS-II Target Gap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**Base Scenario**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**49.0%**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50.8%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52.2%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**53.5%**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[49.3%, 57.7%]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**-16.5 pp**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**Optimistic Scenario**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**49.0%**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52.4%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55.1%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**58.2%**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[53.8%, 62.6%]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9"/>
              </w:rPr>
              <w:t>**-11.8 pp**</w:t>
            </w:r>
          </w:p>
        </w:tc>
      </w:tr>
      <w:tr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**Pessimistic Scenario**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**49.0%**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49.5%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50.0%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**50.5%**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[46.4%, 54.6%]</w:t>
            </w:r>
          </w:p>
        </w:tc>
        <w:tc>
          <w:tcPr>
            <w:tcW w:type="dxa" w:w="1337"/>
            <w:shd w:val="clear" w:color="auto" w:fill="F8FAFC"/>
          </w:tcPr>
          <w:p>
            <w:r>
              <w:rPr>
                <w:sz w:val="19"/>
              </w:rPr>
              <w:t>**-19.5 pp**</w:t>
            </w:r>
          </w:p>
        </w:tc>
      </w:tr>
    </w:tbl>
    <w:p/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4. Engineering Improvements &amp; Production Dashboard</w:t>
      </w:r>
    </w:p>
    <w:p>
      <w:pPr>
        <w:spacing w:after="120" w:line="276" w:lineRule="auto"/>
      </w:pPr>
      <w:r>
        <w:t>Over the course of development, our team instituted key software engineering best practices: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Modular Code Architecture</w:t>
      </w:r>
      <w:r>
        <w:t>: Clean separation into `data_loader.py`, `impact_model.py`, `forecasting.py`, and `utils.py`.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Automated Unit Testing</w:t>
      </w:r>
      <w:r>
        <w:t>: Built 9 comprehensive unit tests achieving 100% test pass rate across data loading, matrix building, validation, and forecast generation.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CI/CD Integration</w:t>
      </w:r>
      <w:r>
        <w:t>: Configured GitHub Actions (`.github/workflows/unittests.yml`) to automatically execute unit tests on every pull request.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Interactive Executive Dashboard</w:t>
      </w:r>
      <w:r>
        <w:t>: Developed a 5-tab Streamlit dashboard enabling real-time scenario simulation and parameter adjusting.</w:t>
      </w:r>
    </w:p>
    <w:p>
      <w:pPr>
        <w:spacing w:after="120" w:line="276" w:lineRule="auto"/>
      </w:pPr>
      <w:r>
        <w:t>![Figure 5: Streamlit Interactive Executive Dashboard Interface](figures/fig5_streamlit_dashboard_interface.svg)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# Execute local test suite</w:t>
        <w:br/>
        <w:t>python3 -m unittest discover -v tests</w:t>
        <w:br/>
        <w:br/>
        <w:t># Launch Streamlit dashboard</w:t>
        <w:br/>
        <w:t>streamlit run app/main.py</w:t>
        <w:br/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5. Strategic Recommendations for Consortium Leaders</w:t>
      </w:r>
    </w:p>
    <w:p>
      <w:pPr>
        <w:spacing w:before="80" w:after="80"/>
        <w:ind w:left="576"/>
      </w:pPr>
      <w:r>
        <w:rPr>
          <w:i/>
          <w:color w:val="475569"/>
        </w:rPr>
        <w:t>[!IMPORTANT]</w:t>
      </w:r>
    </w:p>
    <w:p>
      <w:pPr>
        <w:spacing w:before="80" w:after="80"/>
        <w:ind w:left="576"/>
      </w:pPr>
      <w:r>
        <w:rPr>
          <w:i/>
          <w:color w:val="475569"/>
        </w:rPr>
        <w:t>**National Bank of Ethiopia (NBE): Mandate Fayda e-KYC Tiered Accounts**</w:t>
      </w:r>
    </w:p>
    <w:p>
      <w:pPr>
        <w:spacing w:before="80" w:after="80"/>
        <w:ind w:left="576"/>
      </w:pPr>
      <w:r>
        <w:rPr>
          <w:i/>
          <w:color w:val="475569"/>
        </w:rPr>
        <w:t>- **Directives**: Issue a binding directive requiring banks and mobile operators to enable instant, paperless Tier-1 account opening using Fayda Digital ID.</w:t>
      </w:r>
    </w:p>
    <w:p>
      <w:pPr>
        <w:spacing w:before="80" w:after="80"/>
        <w:ind w:left="576"/>
      </w:pPr>
      <w:r>
        <w:rPr>
          <w:i/>
          <w:color w:val="475569"/>
        </w:rPr>
        <w:t>- **Impact**: Re-accelerates account growth by overcoming rural onboarding friction, contributing **+4.50 pp** toward national targets.</w:t>
      </w:r>
    </w:p>
    <w:p>
      <w:pPr>
        <w:spacing w:before="80" w:after="80"/>
        <w:ind w:left="576"/>
      </w:pPr>
      <w:r>
        <w:rPr>
          <w:i/>
          <w:color w:val="475569"/>
        </w:rPr>
        <w:t>[!TIP]</w:t>
      </w:r>
    </w:p>
    <w:p>
      <w:pPr>
        <w:spacing w:before="80" w:after="80"/>
        <w:ind w:left="576"/>
      </w:pPr>
      <w:r>
        <w:rPr>
          <w:i/>
          <w:color w:val="475569"/>
        </w:rPr>
        <w:t>**Mobile Money Operators (Telebirr &amp; M-Pesa): Target Female Ecosystems**</w:t>
      </w:r>
    </w:p>
    <w:p>
      <w:pPr>
        <w:spacing w:before="80" w:after="80"/>
        <w:ind w:left="576"/>
      </w:pPr>
      <w:r>
        <w:rPr>
          <w:i/>
          <w:color w:val="475569"/>
        </w:rPr>
        <w:t>- **Strategy**: Roll out tailored merchant fee waivers and targeted female agent networks for informal saving groups (Equbs/Idirs).</w:t>
      </w:r>
    </w:p>
    <w:p>
      <w:pPr>
        <w:spacing w:before="80" w:after="80"/>
        <w:ind w:left="576"/>
      </w:pPr>
      <w:r>
        <w:rPr>
          <w:i/>
          <w:color w:val="475569"/>
        </w:rPr>
        <w:t>- **Impact**: Directly tackles the persistent **18.0 pp gender gap**, raising female mobile money share from 14% to 25%.</w:t>
      </w:r>
    </w:p>
    <w:p>
      <w:pPr>
        <w:spacing w:before="80" w:after="80"/>
        <w:ind w:left="576"/>
      </w:pPr>
      <w:r>
        <w:rPr>
          <w:i/>
          <w:color w:val="475569"/>
        </w:rPr>
        <w:t>[!NOTE]</w:t>
      </w:r>
    </w:p>
    <w:p>
      <w:pPr>
        <w:spacing w:before="80" w:after="80"/>
        <w:ind w:left="576"/>
      </w:pPr>
      <w:r>
        <w:rPr>
          <w:i/>
          <w:color w:val="475569"/>
        </w:rPr>
        <w:t>**Development Finance Institutions (DFIs): Fund Interoperable Merchant QR**</w:t>
      </w:r>
    </w:p>
    <w:p>
      <w:pPr>
        <w:spacing w:before="80" w:after="80"/>
        <w:ind w:left="576"/>
      </w:pPr>
      <w:r>
        <w:rPr>
          <w:i/>
          <w:color w:val="475569"/>
        </w:rPr>
        <w:t>- **Grant Focus**: Allocate technical grant funds to unify merchant QR standards (EthioPay QR) and expand digital financial literacy across rural regions.</w:t>
      </w:r>
    </w:p>
    <w:p>
      <w:pPr>
        <w:spacing w:before="80" w:after="80"/>
        <w:ind w:left="576"/>
      </w:pPr>
      <w:r>
        <w:rPr>
          <w:i/>
          <w:color w:val="475569"/>
        </w:rPr>
        <w:t>- **Impact**: Drives P2P transaction counts beyond **300 Million annually by 2027**.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Conclusion &amp; Code Availability</w:t>
      </w:r>
    </w:p>
    <w:p>
      <w:pPr>
        <w:spacing w:after="120" w:line="276" w:lineRule="auto"/>
      </w:pPr>
      <w:r>
        <w:t>By combining empirical survey data with event impact modeling, financial consortiums no longer need to wait three years for Global Findex updates to make data-driven policy decisions.</w:t>
      </w:r>
    </w:p>
    <w:p>
      <w:pPr>
        <w:pStyle w:val="ListBullet"/>
        <w:spacing w:after="60"/>
      </w:pPr>
      <w:r/>
      <w:r>
        <w:rPr>
          <w:b/>
        </w:rPr>
        <w:t>Full Project Code &amp; Datasets</w:t>
      </w:r>
      <w:r>
        <w:t>: Available on GitHub at [github.com/Wave-eer/-Forecasting-Financial-Inclusion-in-Ethiopia](https://github.com/Wave-eer/-Forecasting-Financial-Inclusion-in-Ethiopia)</w:t>
      </w:r>
    </w:p>
    <w:p>
      <w:pPr>
        <w:pStyle w:val="ListBullet"/>
        <w:spacing w:after="60"/>
      </w:pPr>
      <w:r/>
      <w:r>
        <w:rPr>
          <w:b/>
        </w:rPr>
        <w:t>Interactive Dashboard</w:t>
      </w:r>
      <w:r>
        <w:t>: Run locally using `streamlit run app/main.py`.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