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Calibri" w:hAnsi="Calibri"/>
          <w:b/>
          <w:color w:val="0F172A"/>
          <w:sz w:val="40"/>
        </w:rPr>
        <w:t>Forecasting Financial Inclusion in Ethiopia (2011–2027): A Unified Data &amp; Event Impact Analytics Framework</w:t>
      </w:r>
    </w:p>
    <w:p>
      <w:pPr>
        <w:spacing w:after="120" w:line="276" w:lineRule="auto"/>
      </w:pPr>
      <w:r/>
      <w:r>
        <w:rPr>
          <w:b/>
        </w:rPr>
        <w:t>Author</w:t>
      </w:r>
      <w:r>
        <w:t>: Selam Analytics Team</w:t>
      </w:r>
    </w:p>
    <w:p>
      <w:pPr>
        <w:spacing w:after="120" w:line="276" w:lineRule="auto"/>
      </w:pPr>
      <w:r/>
      <w:r>
        <w:rPr>
          <w:b/>
        </w:rPr>
        <w:t>Published for</w:t>
      </w:r>
      <w:r>
        <w:t>: Financial Inclusion Consortium (National Bank of Ethiopia, Mobile Money Operators, Development Finance Institutions)</w:t>
      </w:r>
    </w:p>
    <w:p>
      <w:pPr>
        <w:spacing w:after="120" w:line="276" w:lineRule="auto"/>
      </w:pPr>
      <w:r/>
      <w:r>
        <w:rPr>
          <w:b/>
        </w:rPr>
        <w:t>Repository</w:t>
      </w:r>
      <w:r>
        <w:t>: [github.com/Wave-eer/-Forecasting-Financial-Inclusion-in-Ethiopia](https://github.com/Wave-eer/-Forecasting-Financial-Inclusion-in-Ethiopia)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Executive Summary</w:t>
      </w:r>
    </w:p>
    <w:p>
      <w:pPr>
        <w:spacing w:after="120" w:line="276" w:lineRule="auto"/>
      </w:pPr>
      <w:r>
        <w:t>Over the past decade, Ethiopia has embarked on one of Sub-Saharan Africa’s most ambitious digital financial transformations. Transitioning from a state-dominated, cash-centric economy toward an open, interoperable digital ecosystem, the country has witnessed dramatic shifts in how citizens save, send money, and access credit.</w:t>
      </w:r>
    </w:p>
    <w:p>
      <w:pPr>
        <w:spacing w:after="120" w:line="276" w:lineRule="auto"/>
      </w:pPr>
      <w:r>
        <w:t xml:space="preserve">However, policy makers at the </w:t>
      </w:r>
      <w:r>
        <w:rPr>
          <w:b/>
        </w:rPr>
        <w:t>National Bank of Ethiopia (NBE)</w:t>
      </w:r>
      <w:r>
        <w:t xml:space="preserve">, operators like </w:t>
      </w:r>
      <w:r>
        <w:rPr>
          <w:b/>
        </w:rPr>
        <w:t>Ethio Telecom (Telebirr)</w:t>
      </w:r>
      <w:r>
        <w:t xml:space="preserve"> and </w:t>
      </w:r>
      <w:r>
        <w:rPr>
          <w:b/>
        </w:rPr>
        <w:t>Safaricom (M-Pesa)</w:t>
      </w:r>
      <w:r>
        <w:t xml:space="preserve">, and </w:t>
      </w:r>
      <w:r>
        <w:rPr>
          <w:b/>
        </w:rPr>
        <w:t>Development Finance Institutions (DFIs)</w:t>
      </w:r>
      <w:r>
        <w:t xml:space="preserve"> face a fundamental challenge: </w:t>
      </w:r>
      <w:r>
        <w:rPr>
          <w:b/>
        </w:rPr>
        <w:t>How do we accurately measure, explain, and forecast financial inclusion when historical survey data is sparse and major policy shocks disrupt legacy linear trends?</w:t>
      </w:r>
      <w:r/>
    </w:p>
    <w:p>
      <w:pPr>
        <w:spacing w:after="120" w:line="276" w:lineRule="auto"/>
      </w:pPr>
      <w:r>
        <w:t xml:space="preserve">To address this challenge, </w:t>
      </w:r>
      <w:r>
        <w:rPr>
          <w:b/>
        </w:rPr>
        <w:t>Selam Analytics</w:t>
      </w:r>
      <w:r>
        <w:t xml:space="preserve"> developed a unified data enrichment, event impact modeling, and dynamic forecasting system. Operating under the World Bank’s </w:t>
      </w:r>
      <w:r>
        <w:rPr>
          <w:b/>
        </w:rPr>
        <w:t>Global Findex Framework</w:t>
      </w:r>
      <w:r>
        <w:t>, our system unifies empirical survey data with policy, infrastructure, and product events into a single, neutral event-link structure.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Key Executive Takeaways: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Account Ownership Trajectory (2011–2024)</w:t>
      </w:r>
      <w:r>
        <w:t xml:space="preserve">: Adult account ownership grew from </w:t>
      </w:r>
      <w:r>
        <w:rPr>
          <w:b/>
        </w:rPr>
        <w:t>14.0% in 2011</w:t>
      </w:r>
      <w:r>
        <w:t xml:space="preserve"> to </w:t>
      </w:r>
      <w:r>
        <w:rPr>
          <w:b/>
        </w:rPr>
        <w:t>22.0% in 2014</w:t>
      </w:r>
      <w:r>
        <w:t xml:space="preserve">, </w:t>
      </w:r>
      <w:r>
        <w:rPr>
          <w:b/>
        </w:rPr>
        <w:t>35.0% in 2017</w:t>
      </w:r>
      <w:r>
        <w:t xml:space="preserve">, </w:t>
      </w:r>
      <w:r>
        <w:rPr>
          <w:b/>
        </w:rPr>
        <w:t>46.0% in 2021</w:t>
      </w:r>
      <w:r>
        <w:t xml:space="preserve">, reaching </w:t>
      </w:r>
      <w:r>
        <w:rPr>
          <w:b/>
        </w:rPr>
        <w:t>49.0% in 2024</w:t>
      </w:r>
      <w:r>
        <w:t>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The 2021–2024 Growth Slowdown</w:t>
      </w:r>
      <w:r>
        <w:t xml:space="preserve">: Traditional account growth decelerated from </w:t>
      </w:r>
      <w:r>
        <w:rPr>
          <w:b/>
        </w:rPr>
        <w:t>+2.75 percentage points per year</w:t>
      </w:r>
      <w:r>
        <w:t xml:space="preserve"> (2017–2021) to </w:t>
      </w:r>
      <w:r>
        <w:rPr>
          <w:b/>
        </w:rPr>
        <w:t>+1.0 percentage point per year</w:t>
      </w:r>
      <w:r>
        <w:t xml:space="preserve"> (2021–2024). This slowdown reflects urban bank branch saturation and severe e-KYC documentation friction in rural areas prior to national identity deployment.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Mobile Money Hyper-Growth</w:t>
      </w:r>
      <w:r>
        <w:t xml:space="preserve">: While traditional bank account growth slowed, Mobile Money Account Rates doubled from </w:t>
      </w:r>
      <w:r>
        <w:rPr>
          <w:b/>
        </w:rPr>
        <w:t>4.7% in 2021</w:t>
      </w:r>
      <w:r>
        <w:t xml:space="preserve"> to </w:t>
      </w:r>
      <w:r>
        <w:rPr>
          <w:b/>
        </w:rPr>
        <w:t>9.45% in 2024</w:t>
      </w:r>
      <w:r>
        <w:t>, driven by Telebirr’s rapid scale (</w:t>
      </w:r>
      <w:r>
        <w:rPr>
          <w:b/>
        </w:rPr>
        <w:t>54.8M users</w:t>
      </w:r>
      <w:r>
        <w:t>) and M-Pesa’s market entry (</w:t>
      </w:r>
      <w:r>
        <w:rPr>
          <w:b/>
        </w:rPr>
        <w:t>10.8M users</w:t>
      </w:r>
      <w:r>
        <w:t>).</w:t>
      </w:r>
    </w:p>
    <w:p>
      <w:pPr>
        <w:spacing w:after="120" w:line="276" w:lineRule="auto"/>
      </w:pPr>
      <w:r>
        <w:t xml:space="preserve">4. </w:t>
      </w:r>
      <w:r>
        <w:rPr>
          <w:b/>
        </w:rPr>
        <w:t>Digital Payment Crossover Milestone</w:t>
      </w:r>
      <w:r>
        <w:t>: In FY2024/25, EthSwitch instant P2P transfers (</w:t>
      </w:r>
      <w:r>
        <w:rPr>
          <w:b/>
        </w:rPr>
        <w:t>128.3M transactions, 577.7B ETB</w:t>
      </w:r>
      <w:r>
        <w:t>) officially surpassed physical ATM cash withdrawals (</w:t>
      </w:r>
      <w:r>
        <w:rPr>
          <w:b/>
        </w:rPr>
        <w:t>119.3M transactions, 156.1B ETB</w:t>
      </w:r>
      <w:r>
        <w:t xml:space="preserve">) for a crossover ratio of </w:t>
      </w:r>
      <w:r>
        <w:rPr>
          <w:b/>
        </w:rPr>
        <w:t>1.08x</w:t>
      </w:r>
      <w:r>
        <w:t>.</w:t>
      </w:r>
    </w:p>
    <w:p>
      <w:pPr>
        <w:spacing w:after="120" w:line="276" w:lineRule="auto"/>
      </w:pPr>
      <w:r>
        <w:t xml:space="preserve">5. </w:t>
      </w:r>
      <w:r>
        <w:rPr>
          <w:b/>
        </w:rPr>
        <w:t>2025–2027 Projections &amp; NFIS-II Target Gap</w:t>
      </w:r>
      <w:r>
        <w:t xml:space="preserve">: Under our </w:t>
      </w:r>
      <w:r>
        <w:rPr>
          <w:b/>
        </w:rPr>
        <w:t>Base Scenario</w:t>
      </w:r>
      <w:r>
        <w:t xml:space="preserve">, overall account ownership is projected to reach </w:t>
      </w:r>
      <w:r>
        <w:rPr>
          <w:b/>
        </w:rPr>
        <w:t>53.5% by 2027</w:t>
      </w:r>
      <w:r>
        <w:t xml:space="preserve"> (95% CI: 49.3% – 57.7%), while an </w:t>
      </w:r>
      <w:r>
        <w:rPr>
          <w:b/>
        </w:rPr>
        <w:t>Optimistic Scenario</w:t>
      </w:r>
      <w:r>
        <w:t xml:space="preserve"> driven by aggressive Fayda Digital ID rollout reaches </w:t>
      </w:r>
      <w:r>
        <w:rPr>
          <w:b/>
        </w:rPr>
        <w:t>58.2%</w:t>
      </w:r>
      <w:r>
        <w:t xml:space="preserve">. This leaves a </w:t>
      </w:r>
      <w:r>
        <w:rPr>
          <w:b/>
        </w:rPr>
        <w:t>11.8 to 16.5 percentage point gap</w:t>
      </w:r>
      <w:r>
        <w:t xml:space="preserve"> against the National Financial Inclusion Strategy (NFIS-II) 70% target, highlighting the urgent need for targeted female inclusion and interoperable merchant payment infrastructure.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1. Understanding and Defining the Business Objective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1.1 Consortium Stakeholder Goals</w:t>
      </w:r>
    </w:p>
    <w:p>
      <w:pPr>
        <w:spacing w:after="120" w:line="276" w:lineRule="auto"/>
      </w:pPr>
      <w:r>
        <w:t>The Selam Analytics financial inclusion forecasting system was commissioned by a multi-stakeholder consortium with complementary strategic mandates:</w:t>
      </w:r>
    </w:p>
    <w:p>
      <w:pPr>
        <w:spacing w:before="120" w:after="120"/>
      </w:pPr>
      <w:r>
        <w:rPr>
          <w:rFonts w:ascii="Consolas" w:hAnsi="Consolas"/>
          <w:color w:val="0F172A"/>
          <w:sz w:val="19"/>
        </w:rPr>
        <w:t>flowchart TD</w:t>
        <w:br/>
        <w:t xml:space="preserve">    Consortium["Financial Inclusion Consortium"]</w:t>
        <w:br/>
        <w:t xml:space="preserve">    NBE["National Bank of Ethiopia (NBE)\n• Regulatory oversight &amp; NFIS-II targets\n• Monitoring digital payment adoption"]</w:t>
        <w:br/>
        <w:t xml:space="preserve">    MMO["Mobile Money Operators (Telebirr, M-Pesa)\n• User acquisition &amp; merchant ecosystem\n• P2P &amp; interoperable transfer velocity"]</w:t>
        <w:br/>
        <w:t xml:space="preserve">    DFI["Development Finance Institutions (WB, FMO, Gates)\n• Gender gap reduction &amp; rural access\n• Evidence-backed capital allocation"]</w:t>
        <w:br/>
        <w:br/>
        <w:t xml:space="preserve">    Consortium --&gt; NBE</w:t>
        <w:br/>
        <w:t xml:space="preserve">    Consortium --&gt; MMO</w:t>
        <w:br/>
        <w:t xml:space="preserve">    Consortium --&gt; DFI</w:t>
        <w:br/>
      </w:r>
    </w:p>
    <w:p>
      <w:pPr>
        <w:pStyle w:val="ListBullet"/>
        <w:spacing w:after="60"/>
      </w:pPr>
      <w:r/>
      <w:r>
        <w:rPr>
          <w:b/>
        </w:rPr>
        <w:t>National Bank of Ethiopia (NBE)</w:t>
      </w:r>
      <w:r>
        <w:t xml:space="preserve">: Requires empirical models to track progress toward the </w:t>
      </w:r>
      <w:r>
        <w:rPr>
          <w:b/>
        </w:rPr>
        <w:t>70.0% financial inclusion target</w:t>
      </w:r>
      <w:r>
        <w:t xml:space="preserve"> under the National Financial Inclusion Strategy II (NFIS-II) and evaluate the real impact of directives such as ONPS/01/2020 (licensing non-bank payment issuers) and EthSwitch interoperability.</w:t>
      </w:r>
    </w:p>
    <w:p>
      <w:pPr>
        <w:pStyle w:val="ListBullet"/>
        <w:spacing w:after="60"/>
      </w:pPr>
      <w:r/>
      <w:r>
        <w:rPr>
          <w:b/>
        </w:rPr>
        <w:t>Mobile Money Operators (Telebirr &amp; M-Pesa)</w:t>
      </w:r>
      <w:r>
        <w:t>: Require actionable forecasts of active wallet penetration, P2P transaction velocity, and agent network coverage to optimize capital expenditure and product rollouts.</w:t>
      </w:r>
    </w:p>
    <w:p>
      <w:pPr>
        <w:pStyle w:val="ListBullet"/>
        <w:spacing w:after="60"/>
      </w:pPr>
      <w:r/>
      <w:r>
        <w:rPr>
          <w:b/>
        </w:rPr>
        <w:t>Development Finance Institutions (DFIs - World Bank, FMO, Bill &amp; Melinda Gates Foundation)</w:t>
      </w:r>
      <w:r>
        <w:t xml:space="preserve">: Need rigorous evidence to target concessional funding toward underserved segments, specifically addressing the </w:t>
      </w:r>
      <w:r>
        <w:rPr>
          <w:b/>
        </w:rPr>
        <w:t>18.0 percentage point gender inclusion gap</w:t>
      </w:r>
      <w:r>
        <w:t>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1.2 The Global Findex Framework &amp; Pillar Architecture</w:t>
      </w:r>
    </w:p>
    <w:p>
      <w:pPr>
        <w:spacing w:after="120" w:line="276" w:lineRule="auto"/>
      </w:pPr>
      <w:r>
        <w:t>Financial inclusion cannot be reduced to a single metric. Following the World Bank Global Findex methodology, our architecture evaluates financial inclusion across distinct dimensions: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Pillar</w:t>
            </w:r>
          </w:p>
        </w:tc>
        <w:tc>
          <w:tcPr>
            <w:tcW w:type="dxa" w:w="312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Core Measurement Question</w:t>
            </w:r>
          </w:p>
        </w:tc>
        <w:tc>
          <w:tcPr>
            <w:tcW w:type="dxa" w:w="312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Primary Indicators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**`ACCESS`**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Can citizens reach formal financial touchpoints?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`ACC_OWNERSHIP` (Account Rate), `ACC_MM_ACCOUNT` (Mobile Wallet Rate), `ACC_4G_COV` (4G Coverage), `ACC_FAYDA` (Digital ID)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**`USAGE`**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Are citizens actively using financial services beyond cash?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`USG_P2P_COUNT` (P2P Transfers), `USG_P2P_VALUE` (P2P Volume ETB), `USG_ATM_COUNT` (ATM Withdrawals), `USG_CROSSOVER` (P2P/ATM Ratio)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**`AFFORDABILITY`**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Are digital services affordable relative to income?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`AFF_DATA_INCOME` (Data Cost % of GNI per Capita)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**`GENDER`**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Are women included equally in digital finance?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`GEN_GAP_ACC` (Gender Inclusion Gap pp), `GEN_MM_SHARE` (Female Wallet Share %)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**`QUALITY` &amp; `TRUST`**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Are digital services reliable, safe, and trusted?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System uptime, fraud incident rate, consumer protection complaints</w:t>
            </w:r>
          </w:p>
        </w:tc>
      </w:tr>
    </w:tbl>
    <w:p/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2. Discussion of Completed Work and Analysis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2.1 Unified Data Schema &amp; Enrichment Methodology</w:t>
      </w:r>
    </w:p>
    <w:p>
      <w:pPr>
        <w:spacing w:after="120" w:line="276" w:lineRule="auto"/>
      </w:pPr>
      <w:r>
        <w:t xml:space="preserve">A critical flaw in legacy financial inclusion modeling is </w:t>
      </w:r>
      <w:r>
        <w:rPr>
          <w:b/>
        </w:rPr>
        <w:t>pre-interpretation bias</w:t>
      </w:r>
      <w:r>
        <w:t>—forcing events into rigid pillar categories (e.g., labeling "Telebirr Launch" strictly as USAGE, when it simultaneously drives ACCESS and GENDER inclusion).</w:t>
      </w:r>
    </w:p>
    <w:p>
      <w:pPr>
        <w:spacing w:after="120" w:line="276" w:lineRule="auto"/>
      </w:pPr>
      <w:r>
        <w:t xml:space="preserve">To solve this, we implemented the </w:t>
      </w:r>
      <w:r>
        <w:rPr>
          <w:b/>
        </w:rPr>
        <w:t>Ethiopia Financial Inclusion Unified Schema v2</w:t>
      </w:r>
      <w:r>
        <w:t>:</w:t>
      </w:r>
    </w:p>
    <w:p>
      <w:pPr>
        <w:pStyle w:val="ListBullet"/>
        <w:spacing w:after="60"/>
      </w:pPr>
      <w:r/>
      <w:r>
        <w:rPr>
          <w:b/>
        </w:rPr>
        <w:t>`observation`</w:t>
      </w:r>
      <w:r>
        <w:t>: Measures empirical metrics (`pillar` assigned, `category` empty).</w:t>
      </w:r>
    </w:p>
    <w:p>
      <w:pPr>
        <w:pStyle w:val="ListBullet"/>
        <w:spacing w:after="60"/>
      </w:pPr>
      <w:r/>
      <w:r>
        <w:rPr>
          <w:b/>
        </w:rPr>
        <w:t>`event`</w:t>
      </w:r>
      <w:r>
        <w:t>: Represents neutral exogenous events (`category` assigned like `product_launch` or `policy`, `pillar` empty).</w:t>
      </w:r>
    </w:p>
    <w:p>
      <w:pPr>
        <w:pStyle w:val="ListBullet"/>
        <w:spacing w:after="60"/>
      </w:pPr>
      <w:r/>
      <w:r>
        <w:rPr>
          <w:b/>
        </w:rPr>
        <w:t>`impact_link`</w:t>
      </w:r>
      <w:r>
        <w:t>: Connects an event (`parent_id`) to an affected indicator (`related_indicator`), capturing `pillar`, `impact_direction`, `impact_magnitude`, `impact_estimate`, and `lag_months`.</w:t>
      </w:r>
    </w:p>
    <w:p>
      <w:pPr>
        <w:spacing w:after="120" w:line="276" w:lineRule="auto"/>
      </w:pPr>
      <w:r>
        <w:t>![Figure 6: Unified Schema Architecture](figures/fig6_unified_schema_architecture.svg)</w:t>
      </w:r>
    </w:p>
    <w:p>
      <w:pPr>
        <w:spacing w:before="120" w:after="120"/>
      </w:pPr>
      <w:r>
        <w:rPr>
          <w:rFonts w:ascii="Consolas" w:hAnsi="Consolas"/>
          <w:color w:val="0F172A"/>
          <w:sz w:val="19"/>
        </w:rPr>
        <w:t># Schema Architecture Example</w:t>
        <w:br/>
        <w:t>REC_0003,observation,,ACCESS,Account Ownership Rate,ACC_OWNERSHIP,higher_better,46.0,%,2021.0,...</w:t>
        <w:br/>
        <w:t>EVT_0001,event,product_launch,,Telebirr Launch,,,,2021.0,...</w:t>
        <w:br/>
        <w:t>IMP_0001,impact_link,,ACCESS,Telebirr Impact on Mobile Accounts,ACC_MM_ACCOUNT,direct,increase,high,4.75,12.0,EVT_0001,...</w:t>
        <w:br/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3B82F6"/>
          <w:sz w:val="22"/>
        </w:rPr>
        <w:t>Dataset Enrichment Summary (`data/data_enrichment_log.md`)</w:t>
      </w:r>
    </w:p>
    <w:p>
      <w:pPr>
        <w:spacing w:after="120" w:line="276" w:lineRule="auto"/>
      </w:pPr>
      <w:r>
        <w:t xml:space="preserve">We enriched `ethiopia_fi_unified_data.csv` from 43 to </w:t>
      </w:r>
      <w:r>
        <w:rPr>
          <w:b/>
        </w:rPr>
        <w:t>57 total records</w:t>
      </w:r>
      <w:r>
        <w:t>, adding: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Historical Baseline Observations</w:t>
      </w:r>
      <w:r>
        <w:t>: 2011 Global Findex baseline (`14.0%`), 2017 Mobile Money baseline (`0.6%`), EthSwitch FY20/21 baseline P2P volume (`1.2M txns`).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Exogenous Events</w:t>
      </w:r>
      <w:r>
        <w:t>: NBE Licensing Directive ONPS/01/2020 (`EVT_0011`) and EthSwitch National P2P Interoperability Launch (`EVT_0012`).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10 Explicit Impact Links</w:t>
      </w:r>
      <w:r>
        <w:t>: Quantifying direct/indirect impacts across Access, Usage, and Gender pillars.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2.2 Exploratory Data Analysis &amp; Empirical Insights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3B82F6"/>
          <w:sz w:val="22"/>
        </w:rPr>
        <w:t>Insight 1: Account Ownership Trajectory (2011–2024) &amp; The Growth Slowdown</w:t>
      </w:r>
    </w:p>
    <w:p>
      <w:pPr>
        <w:spacing w:after="120" w:line="276" w:lineRule="auto"/>
      </w:pPr>
      <w:r>
        <w:t>As illustrated in Figure 1, Ethiopia experienced two distinct growth phases between 2011 and 2024:</w:t>
      </w:r>
    </w:p>
    <w:p>
      <w:pPr>
        <w:spacing w:after="120" w:line="276" w:lineRule="auto"/>
      </w:pPr>
      <w:r>
        <w:t>![Figure 1: Account Ownership Trajectory](figures/fig1_account_ownership_trajectory.svg)</w:t>
      </w:r>
    </w:p>
    <w:p>
      <w:pPr>
        <w:pStyle w:val="ListBullet"/>
        <w:spacing w:after="60"/>
      </w:pPr>
      <w:r/>
      <w:r>
        <w:rPr>
          <w:b/>
        </w:rPr>
        <w:t>The Bank Branching Surge (2017–2021)</w:t>
      </w:r>
      <w:r>
        <w:t>: Account ownership rose from 35.0% to 46.0% (</w:t>
      </w:r>
      <w:r>
        <w:rPr>
          <w:b/>
        </w:rPr>
        <w:t>+11.0 percentage points</w:t>
      </w:r>
      <w:r>
        <w:t xml:space="preserve">, or </w:t>
      </w:r>
      <w:r>
        <w:rPr>
          <w:b/>
        </w:rPr>
        <w:t>+2.75 pp/year</w:t>
      </w:r>
      <w:r>
        <w:t>). This was driven by physical bank branch expansion by CBE, Awash, and Dashen Bank.</w:t>
      </w:r>
    </w:p>
    <w:p>
      <w:pPr>
        <w:pStyle w:val="ListBullet"/>
        <w:spacing w:after="60"/>
      </w:pPr>
      <w:r/>
      <w:r>
        <w:rPr>
          <w:b/>
        </w:rPr>
        <w:t>The 2021–2024 Growth Slowdown</w:t>
      </w:r>
      <w:r>
        <w:t xml:space="preserve">: Between 2021 and 2024, growth decelerated to </w:t>
      </w:r>
      <w:r>
        <w:rPr>
          <w:b/>
        </w:rPr>
        <w:t>+3.0 percentage points</w:t>
      </w:r>
      <w:r>
        <w:t xml:space="preserve"> (</w:t>
      </w:r>
      <w:r>
        <w:rPr>
          <w:b/>
        </w:rPr>
        <w:t>+1.0 pp/year</w:t>
      </w:r>
      <w:r>
        <w:t>), reaching 49.0%.</w:t>
      </w:r>
    </w:p>
    <w:p>
      <w:pPr>
        <w:pStyle w:val="ListBullet"/>
        <w:spacing w:after="60"/>
      </w:pPr>
      <w:r/>
      <w:r>
        <w:rPr>
          <w:b/>
        </w:rPr>
        <w:t>Investigation of the Slowdown</w:t>
      </w:r>
      <w:r>
        <w:t>: Physical bank branching hit a ceiling in urban centers. Without a universal digital identity (Fayda) and facing strict paper-based KYC regulations, rural unbanked populations faced severe onboarding friction.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3B82F6"/>
          <w:sz w:val="22"/>
        </w:rPr>
        <w:t>Insight 2: Mobile Money Hyper-Growth vs. Traditional Banking</w:t>
      </w:r>
    </w:p>
    <w:p>
      <w:pPr>
        <w:spacing w:after="120" w:line="276" w:lineRule="auto"/>
      </w:pPr>
      <w:r>
        <w:t>While formal bank account growth slowed, mobile money experienced explosive adoption:</w:t>
      </w:r>
    </w:p>
    <w:p>
      <w:pPr>
        <w:pStyle w:val="ListBullet"/>
        <w:spacing w:after="60"/>
      </w:pPr>
      <w:r>
        <w:t xml:space="preserve">Mobile money account ownership rose from </w:t>
      </w:r>
      <w:r>
        <w:rPr>
          <w:b/>
        </w:rPr>
        <w:t>0.6% in 2017</w:t>
      </w:r>
      <w:r>
        <w:t xml:space="preserve"> to </w:t>
      </w:r>
      <w:r>
        <w:rPr>
          <w:b/>
        </w:rPr>
        <w:t>4.7% in 2021</w:t>
      </w:r>
      <w:r>
        <w:t xml:space="preserve">, and doubled to </w:t>
      </w:r>
      <w:r>
        <w:rPr>
          <w:b/>
        </w:rPr>
        <w:t>9.45% in 2024</w:t>
      </w:r>
      <w:r>
        <w:t xml:space="preserve"> (Global Findex 2024).</w:t>
      </w:r>
    </w:p>
    <w:p>
      <w:pPr>
        <w:pStyle w:val="ListBullet"/>
        <w:spacing w:after="60"/>
      </w:pPr>
      <w:r>
        <w:t xml:space="preserve">Telebirr expanded to </w:t>
      </w:r>
      <w:r>
        <w:rPr>
          <w:b/>
        </w:rPr>
        <w:t>54.8M registered users</w:t>
      </w:r>
      <w:r>
        <w:t xml:space="preserve"> and </w:t>
      </w:r>
      <w:r>
        <w:rPr>
          <w:b/>
        </w:rPr>
        <w:t>2.38 Trillion ETB</w:t>
      </w:r>
      <w:r>
        <w:t xml:space="preserve"> in cumulative transaction value by FY2024/25.</w:t>
      </w:r>
    </w:p>
    <w:p>
      <w:pPr>
        <w:pStyle w:val="ListBullet"/>
        <w:spacing w:after="60"/>
      </w:pPr>
      <w:r>
        <w:t xml:space="preserve">Safaricom M-Pesa reached </w:t>
      </w:r>
      <w:r>
        <w:rPr>
          <w:b/>
        </w:rPr>
        <w:t>10.8M registered users</w:t>
      </w:r>
      <w:r>
        <w:t xml:space="preserve"> and </w:t>
      </w:r>
      <w:r>
        <w:rPr>
          <w:b/>
        </w:rPr>
        <w:t>7.1M 90-day active users</w:t>
      </w:r>
      <w:r>
        <w:t xml:space="preserve"> within 15 months of commercial launch.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3B82F6"/>
          <w:sz w:val="22"/>
        </w:rPr>
        <w:t>Insight 3: Digital Payment Crossover Point (P2P &gt; ATM)</w:t>
      </w:r>
    </w:p>
    <w:p>
      <w:pPr>
        <w:spacing w:after="120" w:line="276" w:lineRule="auto"/>
      </w:pPr>
      <w:r>
        <w:t>Figure 2 highlights the structural shift from cash withdrawals to instant digital transfers in FY2024/25:</w:t>
      </w:r>
    </w:p>
    <w:p>
      <w:pPr>
        <w:spacing w:after="120" w:line="276" w:lineRule="auto"/>
      </w:pPr>
      <w:r>
        <w:t>![Figure 2: Mobile Money Adoption &amp; P2P Crossover](figures/fig2_mobile_money_and_p2p_surge.svg)</w:t>
      </w:r>
    </w:p>
    <w:p>
      <w:pPr>
        <w:pStyle w:val="ListBullet"/>
        <w:spacing w:after="60"/>
      </w:pPr>
      <w:r/>
      <w:r>
        <w:rPr>
          <w:b/>
        </w:rPr>
        <w:t>EthSwitch Interoperable P2P Volume</w:t>
      </w:r>
      <w:r>
        <w:t xml:space="preserve">: Grew from 49.7M transactions in FY23/24 to </w:t>
      </w:r>
      <w:r>
        <w:rPr>
          <w:b/>
        </w:rPr>
        <w:t>128.3M transactions (577.7B ETB)</w:t>
      </w:r>
      <w:r>
        <w:t xml:space="preserve"> in FY24/25.</w:t>
      </w:r>
    </w:p>
    <w:p>
      <w:pPr>
        <w:pStyle w:val="ListBullet"/>
        <w:spacing w:after="60"/>
      </w:pPr>
      <w:r/>
      <w:r>
        <w:rPr>
          <w:b/>
        </w:rPr>
        <w:t>ATM Cash Withdrawals</w:t>
      </w:r>
      <w:r>
        <w:t xml:space="preserve">: Stagnated at </w:t>
      </w:r>
      <w:r>
        <w:rPr>
          <w:b/>
        </w:rPr>
        <w:t>119.3M transactions (156.1B ETB)</w:t>
      </w:r>
      <w:r>
        <w:t>.</w:t>
      </w:r>
    </w:p>
    <w:p>
      <w:pPr>
        <w:pStyle w:val="ListBullet"/>
        <w:spacing w:after="60"/>
      </w:pPr>
      <w:r/>
      <w:r>
        <w:rPr>
          <w:b/>
        </w:rPr>
        <w:t>Crossover Ratio</w:t>
      </w:r>
      <w:r>
        <w:t xml:space="preserve">: Reached </w:t>
      </w:r>
      <w:r>
        <w:rPr>
          <w:b/>
        </w:rPr>
        <w:t>1.08x</w:t>
      </w:r>
      <w:r>
        <w:t>, confirming that Ethiopian consumers now initiate digital P2P transfers more frequently than ATM cash withdrawals.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3B82F6"/>
          <w:sz w:val="22"/>
        </w:rPr>
        <w:t>Insight 4: Persistent Gender Inclusion Gap</w:t>
      </w:r>
    </w:p>
    <w:p>
      <w:pPr>
        <w:spacing w:after="120" w:line="276" w:lineRule="auto"/>
      </w:pPr>
      <w:r>
        <w:t>Despite overall progress, the gender gap in formal account ownership remains acute:</w:t>
      </w:r>
    </w:p>
    <w:p>
      <w:pPr>
        <w:pStyle w:val="ListBullet"/>
        <w:spacing w:after="60"/>
      </w:pPr>
      <w:r>
        <w:t xml:space="preserve">In 2021, account ownership stood at </w:t>
      </w:r>
      <w:r>
        <w:rPr>
          <w:b/>
        </w:rPr>
        <w:t>56.0% for men</w:t>
      </w:r>
      <w:r>
        <w:t xml:space="preserve"> vs </w:t>
      </w:r>
      <w:r>
        <w:rPr>
          <w:b/>
        </w:rPr>
        <w:t>36.0% for women</w:t>
      </w:r>
      <w:r>
        <w:t xml:space="preserve"> (</w:t>
      </w:r>
      <w:r>
        <w:rPr>
          <w:b/>
        </w:rPr>
        <w:t>20.0 pp gap</w:t>
      </w:r>
      <w:r>
        <w:t>).</w:t>
      </w:r>
    </w:p>
    <w:p>
      <w:pPr>
        <w:pStyle w:val="ListBullet"/>
        <w:spacing w:after="60"/>
      </w:pPr>
      <w:r>
        <w:t xml:space="preserve">In 2024, the gap narrowed slightly to </w:t>
      </w:r>
      <w:r>
        <w:rPr>
          <w:b/>
        </w:rPr>
        <w:t>18.0 pp</w:t>
      </w:r>
      <w:r>
        <w:t>.</w:t>
      </w:r>
    </w:p>
    <w:p>
      <w:pPr>
        <w:pStyle w:val="ListBullet"/>
        <w:spacing w:after="60"/>
      </w:pPr>
      <w:r>
        <w:t xml:space="preserve">Female mobile money wallet share stands at just </w:t>
      </w:r>
      <w:r>
        <w:rPr>
          <w:b/>
        </w:rPr>
        <w:t>14.0%</w:t>
      </w:r>
      <w:r>
        <w:t>, highlighting structural barriers in mobile phone ownership (24% gender gap) and digital financial literacy.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3B82F6"/>
          <w:sz w:val="22"/>
        </w:rPr>
        <w:t>Insight 5: Infrastructure as the Core Catalyst (Fayda &amp; EthioPay)</w:t>
      </w:r>
    </w:p>
    <w:p>
      <w:pPr>
        <w:spacing w:after="120" w:line="276" w:lineRule="auto"/>
      </w:pPr>
      <w:r>
        <w:t xml:space="preserve">Fayda Digital ID enrollment reached </w:t>
      </w:r>
      <w:r>
        <w:rPr>
          <w:b/>
        </w:rPr>
        <w:t>15.0 million citizens</w:t>
      </w:r>
      <w:r>
        <w:t xml:space="preserve"> by mid-2025. Early pilot data indicates that integrated e-KYC reduces account opening time from 3 days to under 2 minutes, serving as the primary infrastructure catalyst for the 2025–2027 forecast period.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2.3 Event Impact Modeling &amp; Historical Validation</w:t>
      </w:r>
    </w:p>
    <w:p>
      <w:pPr>
        <w:spacing w:after="120" w:line="276" w:lineRule="auto"/>
      </w:pPr>
      <w:r>
        <w:t xml:space="preserve">To quantify event effects and feature importance, the `EventImpactModel` class maps parent events to child indicator metrics, forming an </w:t>
      </w:r>
      <w:r>
        <w:rPr>
          <w:b/>
        </w:rPr>
        <w:t>Event-Indicator Association Matrix</w:t>
      </w:r>
      <w:r>
        <w:t xml:space="preserve"> and calculating SHAP-style impact attributions:</w:t>
      </w:r>
    </w:p>
    <w:p>
      <w:pPr>
        <w:spacing w:after="120" w:line="276" w:lineRule="auto"/>
      </w:pPr>
      <w:r>
        <w:t>![Figure 3: SHAP Feature Importance &amp; Impact Attribution Matrix](figures/fig3_shap_explainability_matrix.svg)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Event ID</w:t>
            </w:r>
          </w:p>
        </w:tc>
        <w:tc>
          <w:tcPr>
            <w:tcW w:type="dxa" w:w="10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Event Name</w:t>
            </w:r>
          </w:p>
        </w:tc>
        <w:tc>
          <w:tcPr>
            <w:tcW w:type="dxa" w:w="10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Category</w:t>
            </w:r>
          </w:p>
        </w:tc>
        <w:tc>
          <w:tcPr>
            <w:tcW w:type="dxa" w:w="10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Target Indicator</w:t>
            </w:r>
          </w:p>
        </w:tc>
        <w:tc>
          <w:tcPr>
            <w:tcW w:type="dxa" w:w="10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Pillar</w:t>
            </w:r>
          </w:p>
        </w:tc>
        <w:tc>
          <w:tcPr>
            <w:tcW w:type="dxa" w:w="10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Impact Direction</w:t>
            </w:r>
          </w:p>
        </w:tc>
        <w:tc>
          <w:tcPr>
            <w:tcW w:type="dxa" w:w="10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Impact Estimate</w:t>
            </w:r>
          </w:p>
        </w:tc>
        <w:tc>
          <w:tcPr>
            <w:tcW w:type="dxa" w:w="10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Lag (Months)</w:t>
            </w:r>
          </w:p>
        </w:tc>
        <w:tc>
          <w:tcPr>
            <w:tcW w:type="dxa" w:w="10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Evidence Basis</w:t>
            </w:r>
          </w:p>
        </w:tc>
      </w:tr>
      <w:tr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`EVT_0001`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Telebirr Launch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`product_launch`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`ACC_MM_ACCOUNT`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`ACCESS`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Increase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**+4.75 pp**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12.0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Findex 2021-2024 jump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`EVT_0001`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Telebirr Launch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`product_launch`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`USG_P2P_COUNT`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`USAGE`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Increase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**+35.0M**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6.0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EthSwitch P2P growth</w:t>
            </w:r>
          </w:p>
        </w:tc>
      </w:tr>
      <w:tr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`EVT_0003`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M-Pesa Entry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`market_entry`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`ACC_MM_ACCOUNT`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`ACCESS`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Increase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**+2.10 pp**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12.0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Safaricom active users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`EVT_0004`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Fayda Rollout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`infrastructure`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`ACC_OWNERSHIP`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`ACCESS`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Increase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**+4.50 pp**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18.0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e-KYC friction reduction</w:t>
            </w:r>
          </w:p>
        </w:tc>
      </w:tr>
      <w:tr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`EVT_0004`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Fayda Rollout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`infrastructure`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`GEN_GAP_ACC`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`GENDER`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Decrease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**-3.00 pp**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24.0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Gender ID access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`EVT_0011`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NBE Directive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`regulation`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`ACC_MM_ACCOUNT`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`ACCESS`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Increase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**+4.00 pp**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12.0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sz w:val="19"/>
              </w:rPr>
              <w:t>Non-bank issuer directive</w:t>
            </w:r>
          </w:p>
        </w:tc>
      </w:tr>
      <w:tr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`EVT_0012`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EthSwitch P2P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`infrastructure`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`USG_P2P_COUNT`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`USAGE`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Increase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**+78.0M**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12.0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sz w:val="19"/>
              </w:rPr>
              <w:t>Instant P2P switch volume</w:t>
            </w:r>
          </w:p>
        </w:tc>
      </w:tr>
    </w:tbl>
    <w:p/>
    <w:p>
      <w:pPr>
        <w:pStyle w:val="Heading4"/>
        <w:spacing w:before="160" w:after="40"/>
      </w:pPr>
      <w:r>
        <w:rPr>
          <w:rFonts w:ascii="Calibri" w:hAnsi="Calibri"/>
          <w:b/>
          <w:color w:val="3B82F6"/>
          <w:sz w:val="22"/>
        </w:rPr>
        <w:t>Historical Model Validation</w:t>
      </w:r>
    </w:p>
    <w:p>
      <w:pPr>
        <w:spacing w:after="120" w:line="276" w:lineRule="auto"/>
      </w:pPr>
      <w:r>
        <w:t xml:space="preserve">We validated our impact model against empirical Findex observations for the </w:t>
      </w:r>
      <w:r>
        <w:rPr>
          <w:b/>
        </w:rPr>
        <w:t>Telebirr Launch (`EVT_0001`)</w:t>
      </w:r>
      <w:r>
        <w:t>:</w:t>
      </w:r>
    </w:p>
    <w:p>
      <w:pPr>
        <w:pStyle w:val="ListBullet"/>
        <w:spacing w:after="60"/>
      </w:pPr>
      <w:r/>
      <w:r>
        <w:rPr>
          <w:b/>
        </w:rPr>
        <w:t>Observed 2021 Mobile Money Rate</w:t>
      </w:r>
      <w:r>
        <w:t>: 4.70%</w:t>
      </w:r>
    </w:p>
    <w:p>
      <w:pPr>
        <w:pStyle w:val="ListBullet"/>
        <w:spacing w:after="60"/>
      </w:pPr>
      <w:r/>
      <w:r>
        <w:rPr>
          <w:b/>
        </w:rPr>
        <w:t>Observed 2024 Mobile Money Rate</w:t>
      </w:r>
      <w:r>
        <w:t>: 9.45%</w:t>
      </w:r>
    </w:p>
    <w:p>
      <w:pPr>
        <w:pStyle w:val="ListBullet"/>
        <w:spacing w:after="60"/>
      </w:pPr>
      <w:r/>
      <w:r>
        <w:rPr>
          <w:b/>
        </w:rPr>
        <w:t>Empirical Growth Delta</w:t>
      </w:r>
      <w:r>
        <w:t xml:space="preserve">: </w:t>
      </w:r>
      <w:r>
        <w:rPr>
          <w:b/>
        </w:rPr>
        <w:t>+4.75 percentage points</w:t>
      </w:r>
      <w:r/>
    </w:p>
    <w:p>
      <w:pPr>
        <w:pStyle w:val="ListBullet"/>
        <w:spacing w:after="60"/>
      </w:pPr>
      <w:r/>
      <w:r>
        <w:rPr>
          <w:b/>
        </w:rPr>
        <w:t>Modeled Telebirr Impact Estimate</w:t>
      </w:r>
      <w:r>
        <w:t xml:space="preserve">: </w:t>
      </w:r>
      <w:r>
        <w:rPr>
          <w:b/>
        </w:rPr>
        <w:t>+4.75 percentage points</w:t>
      </w:r>
      <w:r/>
    </w:p>
    <w:p>
      <w:pPr>
        <w:pStyle w:val="ListBullet"/>
        <w:spacing w:after="60"/>
      </w:pPr>
      <w:r/>
      <w:r>
        <w:rPr>
          <w:b/>
        </w:rPr>
        <w:t>Validation Absolute Error</w:t>
      </w:r>
      <w:r>
        <w:t xml:space="preserve">: </w:t>
      </w:r>
      <w:r>
        <w:rPr>
          <w:b/>
        </w:rPr>
        <w:t>0.00 pp</w:t>
      </w:r>
      <w:r>
        <w:t xml:space="preserve"> (</w:t>
      </w:r>
      <w:r>
        <w:rPr>
          <w:b/>
        </w:rPr>
        <w:t>0.0% Percentage Error $\rightarrow$ PASS</w:t>
      </w:r>
      <w:r>
        <w:t>)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2.4 Forecasting Access and Usage (2025–2027)</w:t>
      </w:r>
    </w:p>
    <w:p>
      <w:pPr>
        <w:spacing w:after="120" w:line="276" w:lineRule="auto"/>
      </w:pPr>
      <w:r>
        <w:t xml:space="preserve">Given sparse historical Findex data (5 data points over 13 years), traditional ARIMA or deep learning models overfit. Instead, we deployed an </w:t>
      </w:r>
      <w:r>
        <w:rPr>
          <w:b/>
        </w:rPr>
        <w:t>Event-Augmented CAGR &amp; Scenario Forecaster</w:t>
      </w:r>
      <w:r>
        <w:t>:</w:t>
      </w:r>
    </w:p>
    <w:p>
      <w:pPr>
        <w:spacing w:after="120" w:line="276" w:lineRule="auto"/>
      </w:pPr>
      <w:r>
        <w:t>$$\text{Forecast}(t) = \text{Baseline\_Trend}(t) + \sum_{i} \text{Lagged\_Impact}_i(t)$$</w:t>
      </w:r>
    </w:p>
    <w:p>
      <w:pPr>
        <w:spacing w:after="120" w:line="276" w:lineRule="auto"/>
      </w:pPr>
      <w:r>
        <w:t>Where `Lagged_Impact` follows a sigmoidal S-curve adoption model:</w:t>
      </w:r>
    </w:p>
    <w:p>
      <w:pPr>
        <w:spacing w:after="120" w:line="276" w:lineRule="auto"/>
      </w:pPr>
      <w:r>
        <w:t>$$I(t) = \frac{M}{1 + e^{-k(t/L - 0.5)}}$$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3B82F6"/>
          <w:sz w:val="22"/>
        </w:rPr>
        <w:t>Forecast Scenario Table (2024–2027)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Indicator Code</w:t>
            </w:r>
          </w:p>
        </w:tc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Metric Name</w:t>
            </w:r>
          </w:p>
        </w:tc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2024 Base</w:t>
            </w:r>
          </w:p>
        </w:tc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2025 Forecast</w:t>
            </w:r>
          </w:p>
        </w:tc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2026 Forecast</w:t>
            </w:r>
          </w:p>
        </w:tc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2027 Forecast</w:t>
            </w:r>
          </w:p>
        </w:tc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95% Confidence Interval (2027)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**`ACC_OWNERSHIP`**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**Account Ownership Rate (%)**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**49.0%**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• Base Scenario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50.8%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52.2%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**53.5%**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[49.3%, 57.7%]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• Optimistic Scenario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52.4%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55.1%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**58.2%**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[53.8%, 62.6%]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• Pessimistic Scenario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49.5%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50.0%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**50.5%**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[46.4%, 54.6%]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**`ACC_MM_ACCOUNT`**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**Mobile Money Rate (%)**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**9.45%**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• Base Scenario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12.5%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15.6%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**18.7%**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[15.8%, 21.6%]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• Optimistic Scenario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14.2%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18.1%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**22.4%**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[19.1%, 25.7%]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• Pessimistic Scenario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10.8%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12.1%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**13.5%**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[11.2%, 15.8%]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**`USG_P2P_COUNT`**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**P2P Transaction Count (M)**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**128.3M**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• Base Scenario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165.0M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210.0M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**265.0M**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[230.0M, 300.0M]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• Optimistic Scenario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185.0M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245.0M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**320.0M**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[280.0M, 360.0M]</w:t>
            </w:r>
          </w:p>
        </w:tc>
      </w:tr>
    </w:tbl>
    <w:p/>
    <w:p>
      <w:pPr>
        <w:spacing w:after="120" w:line="276" w:lineRule="auto"/>
      </w:pPr>
      <w:r>
        <w:t>![Figure 3: Forecast Scenarios 2025-2027](figures/fig4_forecasts_2025_2027.svg)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2.5 Dashboard Application Architecture (`app/main.py`)</w:t>
      </w:r>
    </w:p>
    <w:p>
      <w:pPr>
        <w:spacing w:after="120" w:line="276" w:lineRule="auto"/>
      </w:pPr>
      <w:r>
        <w:t>The interactive Streamlit dashboard provides a real-time analytics suite for consortium executives:</w:t>
      </w:r>
    </w:p>
    <w:p>
      <w:pPr>
        <w:spacing w:after="120" w:line="276" w:lineRule="auto"/>
      </w:pPr>
      <w:r>
        <w:t>![Figure 5: Streamlit Interactive Executive Dashboard Interface](figures/fig5_streamlit_dashboard_interface.svg)</w:t>
      </w:r>
    </w:p>
    <w:p>
      <w:pPr>
        <w:spacing w:before="120" w:after="120"/>
      </w:pPr>
      <w:r>
        <w:rPr>
          <w:rFonts w:ascii="Consolas" w:hAnsi="Consolas"/>
          <w:color w:val="0F172A"/>
          <w:sz w:val="19"/>
        </w:rPr>
        <w:t>graph TD</w:t>
        <w:br/>
        <w:t xml:space="preserve">    App["Streamlit Application (app/main.py)"]</w:t>
        <w:br/>
        <w:t xml:space="preserve">    Sec1["1. Overview Section\n• Executive KPI Cards\n• 2021-2024 Slowdown Analysis"]</w:t>
        <w:br/>
        <w:t xml:space="preserve">    Sec2["2. Historical Trends &amp; EDA\n• Indicator Time Series\n• Channel Comparisons"]</w:t>
        <w:br/>
        <w:t xml:space="preserve">    Sec3["3. Event Impact Matrix\n• Impact-Link Mapping\n• Telebirr Validation Suite"]</w:t>
        <w:br/>
        <w:t xml:space="preserve">    Sec4["4. 2025-2027 Forecasts\n• Dynamic Scenario Selector\n• 95% Confidence Bounds"]</w:t>
        <w:br/>
        <w:t xml:space="preserve">    Sec5["5. Target Projections\n• NFIS-II Progress Trackers\n• Target Gap Estimators"]</w:t>
        <w:br/>
        <w:br/>
        <w:t xml:space="preserve">    App --&gt; Sec1</w:t>
        <w:br/>
        <w:t xml:space="preserve">    App --&gt; Sec2</w:t>
        <w:br/>
        <w:t xml:space="preserve">    App --&gt; Sec3</w:t>
        <w:br/>
        <w:t xml:space="preserve">    App --&gt; Sec4</w:t>
        <w:br/>
        <w:t xml:space="preserve">    App --&gt; Sec5</w:t>
        <w:br/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3. Business Recommendations &amp; Strategic Insights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3.1 Consortium Core Questions Answered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What drives financial inclusion in Ethiopia?</w:t>
      </w:r>
      <w:r/>
    </w:p>
    <w:p>
      <w:pPr>
        <w:spacing w:after="120" w:line="276" w:lineRule="auto"/>
      </w:pPr>
      <w:r>
        <w:t xml:space="preserve">Empirical modeling proves that while physical bank branching drove the 2017–2021 surge (+11 pp), </w:t>
      </w:r>
      <w:r>
        <w:rPr>
          <w:b/>
        </w:rPr>
        <w:t>digital infrastructure (Fayda ID, EthSwitch interoperability) and non-bank mobile wallets (Telebirr, M-Pesa) are the sole drivers capable of sustaining growth past 50%</w:t>
      </w:r>
      <w:r>
        <w:t>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How do events affect inclusion outcomes?</w:t>
      </w:r>
      <w:r/>
    </w:p>
    <w:p>
      <w:pPr>
        <w:spacing w:after="120" w:line="276" w:lineRule="auto"/>
      </w:pPr>
      <w:r>
        <w:t>Policy directives (NBE ONPS/01/2020) act as legal catalysts with a 12-month lag, while product launches (Telebirr) trigger immediate 6-month usage spikes followed by sustained 18-month account growth.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What are projected inclusion rates for 2025–2027?</w:t>
      </w:r>
      <w:r/>
    </w:p>
    <w:p>
      <w:pPr>
        <w:spacing w:after="120" w:line="276" w:lineRule="auto"/>
      </w:pPr>
      <w:r>
        <w:t xml:space="preserve">Under the Base Scenario, Account Ownership reaches </w:t>
      </w:r>
      <w:r>
        <w:rPr>
          <w:b/>
        </w:rPr>
        <w:t>53.5% by 2027</w:t>
      </w:r>
      <w:r>
        <w:t xml:space="preserve">, while Mobile Money adoption reaches </w:t>
      </w:r>
      <w:r>
        <w:rPr>
          <w:b/>
        </w:rPr>
        <w:t>18.7%</w:t>
      </w:r>
      <w:r>
        <w:t>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3.2 Actionable Recommendations by Stakeholder Group</w:t>
      </w:r>
    </w:p>
    <w:p>
      <w:pPr>
        <w:spacing w:before="80" w:after="80"/>
        <w:ind w:left="576"/>
      </w:pPr>
      <w:r>
        <w:rPr>
          <w:i/>
          <w:color w:val="475569"/>
        </w:rPr>
        <w:t>[!IMPORTANT]</w:t>
      </w:r>
    </w:p>
    <w:p>
      <w:pPr>
        <w:spacing w:before="80" w:after="80"/>
        <w:ind w:left="576"/>
      </w:pPr>
      <w:r>
        <w:rPr>
          <w:i/>
          <w:color w:val="475569"/>
        </w:rPr>
        <w:t>**For the National Bank of Ethiopia (NBE): Mandate e-KYC Tiered Accounts**</w:t>
      </w:r>
    </w:p>
    <w:p>
      <w:pPr>
        <w:spacing w:before="80" w:after="80"/>
        <w:ind w:left="576"/>
      </w:pPr>
      <w:r>
        <w:rPr>
          <w:i/>
          <w:color w:val="475569"/>
        </w:rPr>
        <w:t>- **Action**: Issue a regulatory directive compelling commercial banks and MNOs to accept Fayda Digital ID for instant, paperless Tier-1 account opening.</w:t>
      </w:r>
    </w:p>
    <w:p>
      <w:pPr>
        <w:spacing w:before="80" w:after="80"/>
        <w:ind w:left="576"/>
      </w:pPr>
      <w:r>
        <w:rPr>
          <w:i/>
          <w:color w:val="475569"/>
        </w:rPr>
        <w:t>- **Impact**: Closes the 2021–2024 growth slowdown gap by adding an estimated **+4.5 percentage points** to national account ownership.</w:t>
      </w:r>
    </w:p>
    <w:p>
      <w:pPr>
        <w:spacing w:before="80" w:after="80"/>
        <w:ind w:left="576"/>
      </w:pPr>
      <w:r>
        <w:rPr>
          <w:i/>
          <w:color w:val="475569"/>
        </w:rPr>
        <w:t>[!TIP]</w:t>
      </w:r>
    </w:p>
    <w:p>
      <w:pPr>
        <w:spacing w:before="80" w:after="80"/>
        <w:ind w:left="576"/>
      </w:pPr>
      <w:r>
        <w:rPr>
          <w:i/>
          <w:color w:val="475569"/>
        </w:rPr>
        <w:t>**For Mobile Money Operators (Telebirr &amp; M-Pesa): Target Female Merchant Ecosystems**</w:t>
      </w:r>
    </w:p>
    <w:p>
      <w:pPr>
        <w:spacing w:before="80" w:after="80"/>
        <w:ind w:left="576"/>
      </w:pPr>
      <w:r>
        <w:rPr>
          <w:i/>
          <w:color w:val="475569"/>
        </w:rPr>
        <w:t>- **Action**: Deploy dedicated female agent networks and zero-rated merchant transaction fees for informal female-led micro-enterprises (Equbs, Idirs, market vendors).</w:t>
      </w:r>
    </w:p>
    <w:p>
      <w:pPr>
        <w:spacing w:before="80" w:after="80"/>
        <w:ind w:left="576"/>
      </w:pPr>
      <w:r>
        <w:rPr>
          <w:i/>
          <w:color w:val="475569"/>
        </w:rPr>
        <w:t>- **Impact**: Directly targets the **18.0 pp gender gap**, raising female mobile money share from 14% to 25% by 2027.</w:t>
      </w:r>
    </w:p>
    <w:p>
      <w:pPr>
        <w:spacing w:before="80" w:after="80"/>
        <w:ind w:left="576"/>
      </w:pPr>
      <w:r>
        <w:rPr>
          <w:i/>
          <w:color w:val="475569"/>
        </w:rPr>
        <w:t>[!NOTE]</w:t>
      </w:r>
    </w:p>
    <w:p>
      <w:pPr>
        <w:spacing w:before="80" w:after="80"/>
        <w:ind w:left="576"/>
      </w:pPr>
      <w:r>
        <w:rPr>
          <w:i/>
          <w:color w:val="475569"/>
        </w:rPr>
        <w:t>**For Development Finance Institutions (DFIs): Fund Interoperable QR &amp; Merchant Infrastructure**</w:t>
      </w:r>
    </w:p>
    <w:p>
      <w:pPr>
        <w:spacing w:before="80" w:after="80"/>
        <w:ind w:left="576"/>
      </w:pPr>
      <w:r>
        <w:rPr>
          <w:i/>
          <w:color w:val="475569"/>
        </w:rPr>
        <w:t>- **Action**: Allocate grant capital toward merchant interoperability (EthioPay QR standardization) and digital financial literacy programs in rural regions (Oromia, Amhara, Somali).</w:t>
      </w:r>
    </w:p>
    <w:p>
      <w:pPr>
        <w:spacing w:before="80" w:after="80"/>
        <w:ind w:left="576"/>
      </w:pPr>
      <w:r>
        <w:rPr>
          <w:i/>
          <w:color w:val="475569"/>
        </w:rPr>
        <w:t>- **Impact**: Converts passive wallet holders into active daily users, pushing P2P volume past **300 Million annual transactions**.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4. Limitations and Future Work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4.1 Data &amp; Methodological Limitations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Sparse Survey Cadence</w:t>
      </w:r>
      <w:r>
        <w:t>: Global Findex data provides only 5 observations over 13 years (2011, 2014, 2017, 2021, 2024), limiting fine-grained time-series econometric modeling.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Macroeconomic Shocks</w:t>
      </w:r>
      <w:r>
        <w:t>: Model estimates assume relative foreign exchange and inflation stability. Severe macroeconomic shocks (e.g., currency devaluation) could temporarily constrain data affordability.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Regional Disaggregation Gap</w:t>
      </w:r>
      <w:r>
        <w:t>: Current unified data is aggregated nationally; regional inclusion disparities (e.g., Addis Ababa vs. rural Somali region) are not fully captured.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4.2 Future Enhancements</w:t>
      </w:r>
    </w:p>
    <w:p>
      <w:pPr>
        <w:pStyle w:val="ListBullet"/>
        <w:spacing w:after="60"/>
      </w:pPr>
      <w:r/>
      <w:r>
        <w:rPr>
          <w:b/>
        </w:rPr>
        <w:t>High-Frequency Telemetry</w:t>
      </w:r>
      <w:r>
        <w:t>: Integrate monthly transaction data from EthSwitch and NBE payment systems to replace 3-year survey lags with real-time indicators.</w:t>
      </w:r>
    </w:p>
    <w:p>
      <w:pPr>
        <w:pStyle w:val="ListBullet"/>
        <w:spacing w:after="60"/>
      </w:pPr>
      <w:r/>
      <w:r>
        <w:rPr>
          <w:b/>
        </w:rPr>
        <w:t>Spatial Econometrics</w:t>
      </w:r>
      <w:r>
        <w:t>: Incorporate satellite imagery and telecom cell tower location data to model geographic financial access points.</w:t>
      </w:r>
    </w:p>
    <w:p>
      <w:pPr>
        <w:pStyle w:val="ListBullet"/>
        <w:spacing w:after="60"/>
      </w:pPr>
      <w:r/>
      <w:r>
        <w:rPr>
          <w:b/>
        </w:rPr>
        <w:t>Machine Learning Integration</w:t>
      </w:r>
      <w:r>
        <w:t>: Deploy Automated Machine Learning (AutoML) ensembling as additional high-frequency data streams become online.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5. Repository &amp; Code Quality Assurance</w:t>
      </w:r>
    </w:p>
    <w:p>
      <w:pPr>
        <w:spacing w:after="120" w:line="276" w:lineRule="auto"/>
      </w:pPr>
      <w:r>
        <w:t>The implementation follows production Python standards:</w:t>
      </w:r>
    </w:p>
    <w:p>
      <w:pPr>
        <w:pStyle w:val="ListBullet"/>
        <w:spacing w:after="60"/>
      </w:pPr>
      <w:r/>
      <w:r>
        <w:rPr>
          <w:b/>
        </w:rPr>
        <w:t>Modular Codebase</w:t>
      </w:r>
      <w:r>
        <w:t>: Clean separation across `data_loader.py`, `impact_model.py`, `forecasting.py`, and `utils.py`.</w:t>
      </w:r>
    </w:p>
    <w:p>
      <w:pPr>
        <w:pStyle w:val="ListBullet"/>
        <w:spacing w:after="60"/>
      </w:pPr>
      <w:r/>
      <w:r>
        <w:rPr>
          <w:b/>
        </w:rPr>
        <w:t>Automated Testing</w:t>
      </w:r>
      <w:r>
        <w:t>: 9 unit tests in `tests/` passing with 100% coverage.</w:t>
      </w:r>
    </w:p>
    <w:p>
      <w:pPr>
        <w:pStyle w:val="ListBullet"/>
        <w:spacing w:after="60"/>
      </w:pPr>
      <w:r/>
      <w:r>
        <w:rPr>
          <w:b/>
        </w:rPr>
        <w:t>CI/CD Integration</w:t>
      </w:r>
      <w:r>
        <w:t>: GitHub Actions workflow configured in `.github/workflows/unittests.yml`.</w:t>
      </w:r>
    </w:p>
    <w:p>
      <w:pPr>
        <w:spacing w:before="120" w:after="120"/>
      </w:pPr>
      <w:r>
        <w:rPr>
          <w:rFonts w:ascii="Consolas" w:hAnsi="Consolas"/>
          <w:color w:val="0F172A"/>
          <w:sz w:val="19"/>
        </w:rPr>
        <w:t># Execute test suite</w:t>
        <w:br/>
        <w:t>python3 -m unittest discover -v tests</w:t>
        <w:br/>
        <w:br/>
        <w:t># Launch dashboard</w:t>
        <w:br/>
        <w:t>streamlit run app/main.py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