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Raccolta esigenze e requisiti</w:t>
      </w:r>
    </w:p>
    <w:p>
      <w:pPr>
        <w:spacing w:after="240"/>
      </w:pPr>
      <w:r>
        <w:rPr>
          <w:color w:val="60748A"/>
          <w:sz w:val="21"/>
        </w:rPr>
        <w:t>Modulo iniziale per comprendere il processo, il problema da risolvere e il risultato atteso.</w:t>
      </w:r>
    </w:p>
    <w:p>
      <w:pPr>
        <w:pStyle w:val="Heading1"/>
        <w:keepNext/>
      </w:pPr>
      <w:r>
        <w:t>Dati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803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Informazione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 compilare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Azienda o ente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Referente e ruolo</w:t>
            </w:r>
          </w:p>
        </w:tc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Email e telefono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Data del confronto</w:t>
            </w:r>
          </w:p>
        </w:tc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Contesto</w:t>
      </w:r>
    </w:p>
    <w:p>
      <w:pPr>
        <w:spacing w:after="160"/>
      </w:pPr>
      <w:r>
        <w:rPr>
          <w:b/>
        </w:rPr>
        <w:t xml:space="preserve">Processo o attività interessata  </w:t>
      </w:r>
      <w:r>
        <w:rPr>
          <w:i/>
          <w:color w:val="60748A"/>
        </w:rPr>
        <w:t>Descrivere brevemente cosa accade oggi</w:t>
      </w:r>
      <w:r>
        <w:br/>
        <w:t>____________________________________________________________________________________________</w:t>
      </w:r>
    </w:p>
    <w:p>
      <w:pPr>
        <w:spacing w:after="160"/>
      </w:pPr>
      <w:r>
        <w:rPr>
          <w:b/>
        </w:rPr>
        <w:t xml:space="preserve">Problema principale  </w:t>
      </w:r>
      <w:r>
        <w:rPr>
          <w:i/>
          <w:color w:val="60748A"/>
        </w:rPr>
        <w:t>Tempi, errori, passaggi manuali, dati dispersi o altro</w:t>
      </w:r>
      <w:r>
        <w:br/>
        <w:t>____________________________________________________________________________________________</w:t>
      </w:r>
    </w:p>
    <w:p>
      <w:pPr>
        <w:spacing w:after="160"/>
      </w:pPr>
      <w:r>
        <w:rPr>
          <w:b/>
        </w:rPr>
        <w:t xml:space="preserve">Risultato atteso  </w:t>
      </w:r>
      <w:r>
        <w:rPr>
          <w:i/>
          <w:color w:val="60748A"/>
        </w:rPr>
        <w:t>Indicare come dovrebbe funzionare il processo dopo l'intervento</w:t>
      </w:r>
      <w:r>
        <w:br/>
        <w:t>____________________________________________________________________________________________</w:t>
      </w:r>
    </w:p>
    <w:p>
      <w:pPr>
        <w:pStyle w:val="Heading1"/>
        <w:keepNext/>
      </w:pPr>
      <w:r>
        <w:t>Utenti e utilizzo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Domanda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Risposta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Chi utilizzerà la soluzione</w:t>
            </w:r>
          </w:p>
        </w:tc>
        <w:tc>
          <w:tcPr>
            <w:tcW w:type="dxa" w:w="635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340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Numero indicativo di utenti</w:t>
            </w:r>
          </w:p>
        </w:tc>
        <w:tc>
          <w:tcPr>
            <w:tcW w:type="dxa" w:w="635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340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Frequenza di utilizzo</w:t>
            </w:r>
          </w:p>
        </w:tc>
        <w:tc>
          <w:tcPr>
            <w:tcW w:type="dxa" w:w="635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 ] Giornaliera   [ ] Settimanale   [ ] Occasionale</w:t>
            </w:r>
          </w:p>
        </w:tc>
      </w:tr>
      <w:tr>
        <w:tc>
          <w:tcPr>
            <w:tcW w:type="dxa" w:w="340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Accesso</w:t>
            </w:r>
          </w:p>
        </w:tc>
        <w:tc>
          <w:tcPr>
            <w:tcW w:type="dxa" w:w="635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 ] Interno   [ ] Da remoto   [ ] Pubblico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Dati e integrazioni</w:t>
      </w:r>
    </w:p>
    <w:p>
      <w:pPr>
        <w:pStyle w:val="ListBullet"/>
        <w:spacing w:after="60"/>
        <w:ind w:left="283" w:hanging="142"/>
      </w:pPr>
      <w:r>
        <w:t>Fonti disponibili: file Excel, database, email, API, documenti, dati GIS o altro.</w:t>
      </w:r>
    </w:p>
    <w:p>
      <w:pPr>
        <w:pStyle w:val="ListBullet"/>
        <w:spacing w:after="60"/>
        <w:ind w:left="283" w:hanging="142"/>
      </w:pPr>
      <w:r>
        <w:t>Sistemi con cui la soluzione deve comunicare.</w:t>
      </w:r>
    </w:p>
    <w:p>
      <w:pPr>
        <w:pStyle w:val="ListBullet"/>
        <w:spacing w:after="60"/>
        <w:ind w:left="283" w:hanging="142"/>
      </w:pPr>
      <w:r>
        <w:t>Dati personali, riservati o soggetti a regole specifiche.</w:t>
      </w:r>
    </w:p>
    <w:p>
      <w:pPr>
        <w:spacing w:after="160"/>
      </w:pPr>
      <w:r>
        <w:rPr>
          <w:b/>
        </w:rPr>
        <w:t xml:space="preserve">Note tecniche e vincoli  </w:t>
      </w:r>
      <w:r>
        <w:br/>
        <w:t>____________________________________________________________________________________________</w:t>
      </w:r>
    </w:p>
    <w:p>
      <w:pPr>
        <w:pStyle w:val="Heading1"/>
        <w:keepNext/>
      </w:pPr>
      <w:r>
        <w:t>Priorità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350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Valutazione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Urgenza</w:t>
            </w:r>
          </w:p>
        </w:tc>
        <w:tc>
          <w:tcPr>
            <w:tcW w:type="dxa" w:w="635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[ ] Alta   [ ] Media   [ ] Bassa</w:t>
            </w:r>
          </w:p>
        </w:tc>
      </w:tr>
      <w:tr>
        <w:tc>
          <w:tcPr>
            <w:tcW w:type="dxa" w:w="340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Budget indicativo</w:t>
            </w:r>
          </w:p>
        </w:tc>
        <w:tc>
          <w:tcPr>
            <w:tcW w:type="dxa" w:w="635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€ ____________________</w:t>
            </w:r>
          </w:p>
        </w:tc>
      </w:tr>
      <w:tr>
        <w:tc>
          <w:tcPr>
            <w:tcW w:type="dxa" w:w="340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Data desiderata</w:t>
            </w:r>
          </w:p>
        </w:tc>
        <w:tc>
          <w:tcPr>
            <w:tcW w:type="dxa" w:w="635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____________________</w:t>
            </w:r>
          </w:p>
        </w:tc>
      </w:tr>
      <w:tr>
        <w:tc>
          <w:tcPr>
            <w:tcW w:type="dxa" w:w="340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Referente per le decisioni</w:t>
            </w:r>
          </w:p>
        </w:tc>
        <w:tc>
          <w:tcPr>
            <w:tcW w:type="dxa" w:w="635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Criteri di successo</w:t>
      </w:r>
    </w:p>
    <w:p>
      <w:pPr>
        <w:spacing w:after="160"/>
      </w:pPr>
      <w:r>
        <w:rPr>
          <w:b/>
        </w:rPr>
        <w:t xml:space="preserve">Come misurare il risultato  </w:t>
      </w:r>
      <w:r>
        <w:rPr>
          <w:i/>
          <w:color w:val="60748A"/>
        </w:rPr>
        <w:t>Tempo risparmiato, errori ridotti, dati disponibili o altro</w:t>
      </w:r>
      <w:r>
        <w:br/>
        <w:t>____________________________________________________________________________________________</w:t>
      </w:r>
    </w:p>
    <w:p>
      <w:pPr>
        <w:spacing w:after="160"/>
      </w:pPr>
      <w:r>
        <w:rPr>
          <w:b/>
        </w:rPr>
        <w:t xml:space="preserve">Condizione minima di accettazione  </w:t>
      </w:r>
      <w:r>
        <w:rPr>
          <w:i/>
          <w:color w:val="60748A"/>
        </w:rPr>
        <w:t>Indicare cosa deve funzionare alla prima consegna</w:t>
      </w:r>
      <w:r>
        <w:br/>
        <w:t>____________________________________________________________________________________________</w:t>
      </w:r>
    </w:p>
    <w:p>
      <w:pPr>
        <w:pStyle w:val="Heading1"/>
        <w:keepNext/>
      </w:pPr>
      <w:r>
        <w:t>Vincoli e approvazioni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669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Domanda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Risposta</w:t>
            </w:r>
          </w:p>
        </w:tc>
      </w:tr>
      <w:tr>
        <w:tc>
          <w:tcPr>
            <w:tcW w:type="dxa" w:w="408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Accessi o autorizzazioni necessari</w:t>
            </w:r>
          </w:p>
        </w:tc>
        <w:tc>
          <w:tcPr>
            <w:tcW w:type="dxa" w:w="5669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408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Regole di sicurezza o riservatezza</w:t>
            </w:r>
          </w:p>
        </w:tc>
        <w:tc>
          <w:tcPr>
            <w:tcW w:type="dxa" w:w="5669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4082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Chi verifica il risultato</w:t>
            </w:r>
          </w:p>
        </w:tc>
        <w:tc>
          <w:tcPr>
            <w:tcW w:type="dxa" w:w="5669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  <w:tr>
        <w:tc>
          <w:tcPr>
            <w:tcW w:type="dxa" w:w="4082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Chi approva l'avvio</w:t>
            </w:r>
          </w:p>
        </w:tc>
        <w:tc>
          <w:tcPr>
            <w:tcW w:type="dxa" w:w="5669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Note del confronto</w:t>
      </w:r>
    </w:p>
    <w:p>
      <w:pPr>
        <w:spacing w:after="160"/>
      </w:pPr>
      <w:r>
        <w:rPr>
          <w:b/>
        </w:rPr>
        <w:t xml:space="preserve">Decisioni, dubbi e prossimi passi  </w:t>
      </w:r>
      <w:r>
        <w:br/>
        <w:t>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48A"/>
        <w:sz w:val="15"/>
      </w:rPr>
      <w:t>VA Digital  |  Vincenzo Atturo  |  atturo.vincenzo@gmail.com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195"/>
      <w:gridCol w:w="5556"/>
    </w:tblGrid>
    <w:tr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rFonts w:ascii="Calibri" w:hAnsi="Calibri"/>
              <w:b/>
              <w:color w:val="0B2C47"/>
              <w:sz w:val="17"/>
            </w:rPr>
            <w:t xml:space="preserve">  VA DIGITAL</w:t>
          </w:r>
        </w:p>
      </w:tc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1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Bahnschrift" w:hAnsi="Bahnschrift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