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Accordo sul trattamento dei dati personali</w:t>
      </w:r>
    </w:p>
    <w:p>
      <w:pPr>
        <w:spacing w:after="240"/>
      </w:pPr>
      <w:r>
        <w:rPr>
          <w:color w:val="60748A"/>
          <w:sz w:val="21"/>
        </w:rPr>
        <w:t>Modello di nomina e istruzioni al responsabile del trattamento ai sensi dell'articolo 28 del Regolamento UE 2016 679.</w:t>
      </w:r>
    </w:p>
    <w:p>
      <w:pPr>
        <w:pStyle w:val="Heading1"/>
        <w:keepNext/>
      </w:pPr>
      <w:r>
        <w:t>Dati dell'accordo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803"/>
      </w:tblGrid>
      <w:tr>
        <w:trPr>
          <w:tblHeader w:val="true"/>
        </w:trPr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Riferimento</w:t>
            </w:r>
          </w:p>
        </w:tc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Informazione da completare</w:t>
            </w:r>
          </w:p>
        </w:tc>
      </w:tr>
      <w:tr>
        <w:tc>
          <w:tcPr>
            <w:tcW w:type="dxa" w:w="2948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Contratto principale</w:t>
            </w:r>
          </w:p>
        </w:tc>
        <w:tc>
          <w:tcPr>
            <w:tcW w:type="dxa" w:w="6803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[Numero, data e progetto]</w:t>
            </w:r>
          </w:p>
        </w:tc>
      </w:tr>
      <w:tr>
        <w:tc>
          <w:tcPr>
            <w:tcW w:type="dxa" w:w="2948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Titolare del trattamento</w:t>
            </w:r>
          </w:p>
        </w:tc>
        <w:tc>
          <w:tcPr>
            <w:tcW w:type="dxa" w:w="6803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[Cliente, sede, dati fiscali e referente privacy]</w:t>
            </w:r>
          </w:p>
        </w:tc>
      </w:tr>
      <w:tr>
        <w:tc>
          <w:tcPr>
            <w:tcW w:type="dxa" w:w="2948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Responsabile del trattamento</w:t>
            </w:r>
          </w:p>
        </w:tc>
        <w:tc>
          <w:tcPr>
            <w:tcW w:type="dxa" w:w="6803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[Fornitore, sede, dati fiscali e referente privacy]</w:t>
            </w:r>
          </w:p>
        </w:tc>
      </w:tr>
      <w:tr>
        <w:tc>
          <w:tcPr>
            <w:tcW w:type="dxa" w:w="2948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Durata</w:t>
            </w:r>
          </w:p>
        </w:tc>
        <w:tc>
          <w:tcPr>
            <w:tcW w:type="dxa" w:w="6803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[Durata del servizio e periodo di restituzione o cancellazione]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Premesse e ruolo delle parti</w:t>
      </w:r>
    </w:p>
    <w:p>
      <w:r>
        <w:t>Il Titolare determina finalità e mezzi essenziali dei trattamenti descritti nel presente accordo. Il Responsabile tratta i dati personali esclusivamente per conto del Titolare, nei limiti del contratto principale e delle istruzioni documentate. Il presente accordo integra il contratto principale e prevale per gli aspetti relativi ai trattamenti affidati.</w:t>
      </w:r>
    </w:p>
    <w:p>
      <w:pPr>
        <w:pStyle w:val="Heading1"/>
        <w:keepNext/>
      </w:pPr>
      <w:r>
        <w:t>1 Oggetto, natura e finalità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030"/>
      </w:tblGrid>
      <w:tr>
        <w:trPr>
          <w:tblHeader w:val="true"/>
        </w:trPr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Descrizione da completare</w:t>
            </w:r>
          </w:p>
        </w:tc>
      </w:tr>
      <w:tr>
        <w:tc>
          <w:tcPr>
            <w:tcW w:type="dxa" w:w="2721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Servizi interessati</w:t>
            </w:r>
          </w:p>
        </w:tc>
        <w:tc>
          <w:tcPr>
            <w:tcW w:type="dxa" w:w="7030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[Sviluppo, hosting, assistenza, migrazione, analisi o altro]</w:t>
            </w:r>
          </w:p>
        </w:tc>
      </w:tr>
      <w:tr>
        <w:tc>
          <w:tcPr>
            <w:tcW w:type="dxa" w:w="2721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Operazioni</w:t>
            </w:r>
          </w:p>
        </w:tc>
        <w:tc>
          <w:tcPr>
            <w:tcW w:type="dxa" w:w="7030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[Raccolta, consultazione, organizzazione, modifica, esportazione, cancellazione o altro]</w:t>
            </w:r>
          </w:p>
        </w:tc>
      </w:tr>
      <w:tr>
        <w:tc>
          <w:tcPr>
            <w:tcW w:type="dxa" w:w="2721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Finalità</w:t>
            </w:r>
          </w:p>
        </w:tc>
        <w:tc>
          <w:tcPr>
            <w:tcW w:type="dxa" w:w="7030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[Finalità operative definite dal Titolare]</w:t>
            </w:r>
          </w:p>
        </w:tc>
      </w:tr>
      <w:tr>
        <w:tc>
          <w:tcPr>
            <w:tcW w:type="dxa" w:w="2721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Luoghi e sistemi</w:t>
            </w:r>
          </w:p>
        </w:tc>
        <w:tc>
          <w:tcPr>
            <w:tcW w:type="dxa" w:w="7030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[Infrastrutture, Paesi e servizi cloud utilizzati]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 Categorie di interessati e dati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030"/>
      </w:tblGrid>
      <w:tr>
        <w:trPr>
          <w:tblHeader w:val="true"/>
        </w:trPr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Voce</w:t>
            </w:r>
          </w:p>
        </w:tc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Selezionare e specificare</w:t>
            </w:r>
          </w:p>
        </w:tc>
      </w:tr>
      <w:tr>
        <w:tc>
          <w:tcPr>
            <w:tcW w:type="dxa" w:w="2721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Interessati</w:t>
            </w:r>
          </w:p>
        </w:tc>
        <w:tc>
          <w:tcPr>
            <w:tcW w:type="dxa" w:w="7030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[Clienti] [dipendenti] [fornitori] [utenti] [cittadini] [altro]</w:t>
            </w:r>
          </w:p>
        </w:tc>
      </w:tr>
      <w:tr>
        <w:tc>
          <w:tcPr>
            <w:tcW w:type="dxa" w:w="2721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Dati comuni</w:t>
            </w:r>
          </w:p>
        </w:tc>
        <w:tc>
          <w:tcPr>
            <w:tcW w:type="dxa" w:w="7030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[Identificativi] [contatti] [account] [dati professionali] [log] [altro]</w:t>
            </w:r>
          </w:p>
        </w:tc>
      </w:tr>
      <w:tr>
        <w:tc>
          <w:tcPr>
            <w:tcW w:type="dxa" w:w="2721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Categorie particolari</w:t>
            </w:r>
          </w:p>
        </w:tc>
        <w:tc>
          <w:tcPr>
            <w:tcW w:type="dxa" w:w="7030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[Non previste / descrivere dati ex articolo 9]</w:t>
            </w:r>
          </w:p>
        </w:tc>
      </w:tr>
      <w:tr>
        <w:tc>
          <w:tcPr>
            <w:tcW w:type="dxa" w:w="2721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Dati giudiziari</w:t>
            </w:r>
          </w:p>
        </w:tc>
        <w:tc>
          <w:tcPr>
            <w:tcW w:type="dxa" w:w="7030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[Non previsti / descrivere dati ex articolo 10]</w:t>
            </w:r>
          </w:p>
        </w:tc>
      </w:tr>
      <w:tr>
        <w:tc>
          <w:tcPr>
            <w:tcW w:type="dxa" w:w="2721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Volume e frequenza</w:t>
            </w:r>
          </w:p>
        </w:tc>
        <w:tc>
          <w:tcPr>
            <w:tcW w:type="dxa" w:w="7030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[Occasionale / continuativo, quantità indicativa]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 Istruzioni documentate</w:t>
      </w:r>
    </w:p>
    <w:p>
      <w:r>
        <w:t>Il Responsabile tratta i dati soltanto su istruzione documentata del Titolare, anche per eventuali trasferimenti verso Paesi terzi, salvo obblighi di legge applicabili. Se ritiene che un'istruzione violi la normativa, informa tempestivamente il Titolare e sospende l'attività interessata in attesa di chiarimenti, quando consentito.</w:t>
      </w:r>
    </w:p>
    <w:p>
      <w:pPr>
        <w:pStyle w:val="Heading1"/>
        <w:keepNext/>
      </w:pPr>
      <w:r>
        <w:t>4 Persone autorizzate e riservatezza</w:t>
      </w:r>
    </w:p>
    <w:p>
      <w:r>
        <w:t>Il Responsabile consente l'accesso ai dati soltanto a persone autorizzate, istruite e vincolate alla riservatezza, secondo il principio di necessità. Mantiene aggiornate autorizzazioni e revoche e assicura una formazione adeguata ai compiti svolti.</w:t>
      </w:r>
    </w:p>
    <w:p>
      <w:pPr>
        <w:pStyle w:val="Heading1"/>
        <w:keepNext/>
      </w:pPr>
      <w:r>
        <w:t>5 Misure tecniche e organizzative</w:t>
      </w:r>
    </w:p>
    <w:p>
      <w:r>
        <w:t>Il Responsabile applica misure adeguate al rischio e le riesamina nel tempo. Le misure effettivamente concordate sono descritte nell'Allegato A e possono comprendere controllo degli accessi, autenticazione forte, cifratura, backup, registrazione degli eventi, aggiornamenti, segregazione degli ambienti, procedure di ripristino e gestione degli incidenti.</w:t>
      </w:r>
    </w:p>
    <w:p>
      <w:pPr>
        <w:pStyle w:val="Heading1"/>
        <w:keepNext/>
      </w:pPr>
      <w:r>
        <w:t>6 Sub responsabili</w:t>
      </w:r>
    </w:p>
    <w:p>
      <w:r>
        <w:t>Scegliere una modalità: [autorizzazione specifica preventiva] oppure [autorizzazione generale con obbligo di preavviso di almeno numero giorni]. Il Responsabile comunica identità, servizio, localizzazione e trattamento affidato. Impone al sub responsabile obblighi equivalenti e resta responsabile verso il Titolare dell'adempimento degli obblighi affidati.</w:t>
      </w:r>
    </w:p>
    <w:p>
      <w:pPr>
        <w:pStyle w:val="Heading1"/>
        <w:keepNext/>
      </w:pPr>
      <w:r>
        <w:t>7 Assistenza al Titolare</w:t>
      </w:r>
    </w:p>
    <w:p>
      <w:r>
        <w:t>Tenendo conto della natura del trattamento e delle informazioni disponibili, il Responsabile assiste il Titolare nel riscontro ai diritti degli interessati, nella sicurezza, nella notifica delle violazioni, nelle valutazioni d'impatto e nelle consultazioni preventive. Le modalità operative e gli eventuali costi ulteriori sono definiti nel contratto principale.</w:t>
      </w:r>
    </w:p>
    <w:p>
      <w:pPr>
        <w:pStyle w:val="Heading1"/>
        <w:keepNext/>
      </w:pPr>
      <w:r>
        <w:t>8 Violazioni dei dati personali</w:t>
      </w:r>
    </w:p>
    <w:p>
      <w:r>
        <w:t>Il Responsabile informa il Titolare senza ingiustificato ritardo e, ove possibile, entro [numero] ore dalla conoscenza di una violazione. Comunica almeno natura dell'evento, dati e interessati coinvolti, possibili conseguenze, misure adottate e referente. Conserva le evidenze e collabora agli aggiornamenti, senza effettuare notifiche esterne salvo istruzione o obbligo di legge.</w:t>
      </w:r>
    </w:p>
    <w:p>
      <w:pPr>
        <w:pStyle w:val="Heading1"/>
        <w:keepNext/>
      </w:pPr>
      <w:r>
        <w:t>9 Restituzione e cancellazione</w:t>
      </w:r>
    </w:p>
    <w:p>
      <w:r>
        <w:t>Alla cessazione dei servizi il Responsabile, su scelta del Titolare, restituisce o cancella dati e copie entro [numero] giorni, salvo obblighi di conservazione. La restituzione avviene nel formato [formato]. Le copie di sicurezza sono eliminate secondo il ciclo tecnico dichiarato e restano protette fino alla cancellazione.</w:t>
      </w:r>
    </w:p>
    <w:p>
      <w:pPr>
        <w:pStyle w:val="Heading1"/>
        <w:keepNext/>
      </w:pPr>
      <w:r>
        <w:t>10 Informazioni, verifiche e audit</w:t>
      </w:r>
    </w:p>
    <w:p>
      <w:r>
        <w:t>Il Responsabile mette a disposizione le informazioni necessarie a dimostrare il rispetto del presente accordo e consente verifiche ragionevoli del Titolare o di un soggetto indipendente incaricato. Salvo urgenze o richieste delle autorità, l'audit è richiesto con [15] giorni di preavviso, durante l'orario di lavoro e tutelando sicurezza e riservatezza di terzi.</w:t>
      </w:r>
    </w:p>
    <w:p>
      <w:pPr>
        <w:pStyle w:val="Heading1"/>
        <w:keepNext/>
      </w:pPr>
      <w:r>
        <w:t>11 Trasferimenti internazionali</w:t>
      </w:r>
    </w:p>
    <w:p>
      <w:r>
        <w:t>Il Responsabile non trasferisce dati fuori dallo Spazio economico europeo senza istruzione documentata e senza una base conforme alla normativa applicabile. Nell'Allegato B sono indicati Paesi, fornitori, garanzie e misure supplementari eventualmente adottate.</w:t>
      </w:r>
    </w:p>
    <w:p>
      <w:pPr>
        <w:pStyle w:val="Heading1"/>
        <w:keepNext/>
      </w:pPr>
      <w:r>
        <w:t>12 Responsabilità e disposizioni finali</w:t>
      </w:r>
    </w:p>
    <w:p>
      <w:r>
        <w:t>Le responsabilità economiche tra le Parti seguono il contratto principale nei limiti consentiti dalla normativa sulla protezione dei dati. Modifiche, contatti e istruzioni rilevanti devono risultare per iscritto. Per quanto non disciplinato si applicano il Regolamento UE 2016 679, la normativa nazionale e le clausole del contratto principale compatibili con questo accordo.</w:t>
      </w:r>
    </w:p>
    <w:p>
      <w:pPr>
        <w:pStyle w:val="Heading1"/>
        <w:keepNext/>
      </w:pPr>
      <w:r>
        <w:t>Allegato A Misure di sicurezza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6463"/>
      </w:tblGrid>
      <w:tr>
        <w:trPr>
          <w:tblHeader w:val="true"/>
        </w:trPr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Misura applicata o riferimento</w:t>
            </w:r>
          </w:p>
        </w:tc>
      </w:tr>
      <w:tr>
        <w:tc>
          <w:tcPr>
            <w:tcW w:type="dxa" w:w="3288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Accessi e autenticazione</w:t>
            </w:r>
          </w:p>
        </w:tc>
        <w:tc>
          <w:tcPr>
            <w:tcW w:type="dxa" w:w="6463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[Ruoli, MFA, revoca, password]</w:t>
            </w:r>
          </w:p>
        </w:tc>
      </w:tr>
      <w:tr>
        <w:tc>
          <w:tcPr>
            <w:tcW w:type="dxa" w:w="3288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Protezione dati e trasmissioni</w:t>
            </w:r>
          </w:p>
        </w:tc>
        <w:tc>
          <w:tcPr>
            <w:tcW w:type="dxa" w:w="6463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[Cifratura, protocolli, dispositivi]</w:t>
            </w:r>
          </w:p>
        </w:tc>
      </w:tr>
      <w:tr>
        <w:tc>
          <w:tcPr>
            <w:tcW w:type="dxa" w:w="3288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Disponibilità e ripristino</w:t>
            </w:r>
          </w:p>
        </w:tc>
        <w:tc>
          <w:tcPr>
            <w:tcW w:type="dxa" w:w="6463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[Backup, frequenza, test, RTO e RPO]</w:t>
            </w:r>
          </w:p>
        </w:tc>
      </w:tr>
      <w:tr>
        <w:tc>
          <w:tcPr>
            <w:tcW w:type="dxa" w:w="3288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Aggiornamenti e vulnerabilità</w:t>
            </w:r>
          </w:p>
        </w:tc>
        <w:tc>
          <w:tcPr>
            <w:tcW w:type="dxa" w:w="6463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[Patch, scansioni, dipendenze]</w:t>
            </w:r>
          </w:p>
        </w:tc>
      </w:tr>
      <w:tr>
        <w:tc>
          <w:tcPr>
            <w:tcW w:type="dxa" w:w="3288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Log e monitoraggio</w:t>
            </w:r>
          </w:p>
        </w:tc>
        <w:tc>
          <w:tcPr>
            <w:tcW w:type="dxa" w:w="6463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[Eventi registrati e conservazione]</w:t>
            </w:r>
          </w:p>
        </w:tc>
      </w:tr>
      <w:tr>
        <w:tc>
          <w:tcPr>
            <w:tcW w:type="dxa" w:w="3288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Incidenti e continuità</w:t>
            </w:r>
          </w:p>
        </w:tc>
        <w:tc>
          <w:tcPr>
            <w:tcW w:type="dxa" w:w="6463"/>
            <w:shd w:fill="F4F7FA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[Contatti, procedura e test]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Allegato B Sub responsabili e trasferimenti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3458"/>
        <w:gridCol w:w="1587"/>
        <w:gridCol w:w="2494"/>
      </w:tblGrid>
      <w:tr>
        <w:trPr>
          <w:tblHeader w:val="true"/>
        </w:trPr>
        <w:tc>
          <w:tcPr>
            <w:tcW w:type="dxa" w:w="2438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Fornitore</w:t>
            </w:r>
          </w:p>
        </w:tc>
        <w:tc>
          <w:tcPr>
            <w:tcW w:type="dxa" w:w="2438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Servizio e dati</w:t>
            </w:r>
          </w:p>
        </w:tc>
        <w:tc>
          <w:tcPr>
            <w:tcW w:type="dxa" w:w="2438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Paese</w:t>
            </w:r>
          </w:p>
        </w:tc>
        <w:tc>
          <w:tcPr>
            <w:tcW w:type="dxa" w:w="2438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Garanzia o base</w:t>
            </w:r>
          </w:p>
        </w:tc>
      </w:tr>
      <w:tr>
        <w:tc>
          <w:tcPr>
            <w:tcW w:type="dxa" w:w="2211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[Nome]</w:t>
            </w:r>
          </w:p>
        </w:tc>
        <w:tc>
          <w:tcPr>
            <w:tcW w:type="dxa" w:w="3458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[Servizio e categorie]</w:t>
            </w:r>
          </w:p>
        </w:tc>
        <w:tc>
          <w:tcPr>
            <w:tcW w:type="dxa" w:w="1587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[Paese]</w:t>
            </w:r>
          </w:p>
        </w:tc>
        <w:tc>
          <w:tcPr>
            <w:tcW w:type="dxa" w:w="2494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6"/>
              </w:rPr>
              <w:t>[SEE, decisione, SCC o altra base]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Sottoscrizione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Per il Titolare</w:t>
            </w:r>
          </w:p>
        </w:tc>
        <w:tc>
          <w:tcPr>
            <w:tcW w:type="dxa" w:w="4876"/>
            <w:shd w:fill="0B2C47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Per il Responsabile</w:t>
            </w:r>
          </w:p>
        </w:tc>
      </w:tr>
      <w:tr>
        <w:tc>
          <w:tcPr>
            <w:tcW w:type="dxa" w:w="4876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Nome e ruolo: [dati]</w:t>
              <w:br/>
              <w:t>Data: [data]</w:t>
              <w:br/>
              <w:t>Firma: ____________________</w:t>
            </w:r>
          </w:p>
        </w:tc>
        <w:tc>
          <w:tcPr>
            <w:tcW w:type="dxa" w:w="4876"/>
            <w:shd w:fill="FFFFFF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7"/>
              </w:rPr>
              <w:t>Nome e ruolo: [dati]</w:t>
              <w:br/>
              <w:t>Data: [data]</w:t>
              <w:br/>
              <w:t>Firma: ____________________</w:t>
            </w:r>
          </w:p>
        </w:tc>
      </w:tr>
    </w:tbl>
    <w:p>
      <w:pPr>
        <w:spacing w:after="0"/>
      </w:pPr>
    </w:p>
    <w:p>
      <w:r>
        <w:t>Nota d'uso: compilare il modello in base ai trattamenti reali e verificare ruoli, misure, fornitori e trasferimenti con un professionista privacy. Non utilizzare l'accordo quando VA Digital opera come titolare autonomo e non tratta dati per conto del cliente.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60748A"/>
        <w:sz w:val="15"/>
      </w:rPr>
      <w:t>VA Digital  |  Vincenzo Atturo  |  atturo.vincenzo@gmail.com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195"/>
      <w:gridCol w:w="5556"/>
    </w:tblGrid>
    <w:tr>
      <w:tc>
        <w:tcPr>
          <w:tcW w:type="dxa" w:w="4876"/>
          <w:tcBorders>
            <w:top w:val="single" w:sz="8" w:color="168FF0"/>
            <w:left w:val="single" w:sz="8" w:color="168FF0"/>
            <w:bottom w:val="single" w:sz="8" w:color="168FF0"/>
            <w:right w:val="single" w:sz="8" w:color="168FF0"/>
            <w:insideH w:val="single" w:sz="8" w:color="168FF0"/>
            <w:insideV w:val="single" w:sz="8" w:color="168FF0"/>
          </w:tcBorders>
          <w:tcMar>
            <w:top w:w="0" w:type="dxa"/>
            <w:start w:w="180" w:type="dxa"/>
            <w:bottom w:w="80" w:type="dxa"/>
            <w:end w:w="180" w:type="dxa"/>
          </w:tcMar>
        </w:tcPr>
        <w:p>
          <w:pPr>
            <w:spacing w:after="0"/>
          </w:pPr>
          <w:r>
            <w:rPr>
              <w:rFonts w:ascii="Bahnschrift" w:hAnsi="Bahnschrift"/>
              <w:b/>
              <w:color w:val="168FF0"/>
              <w:sz w:val="34"/>
            </w:rPr>
            <w:t>VA</w:t>
          </w:r>
          <w:r>
            <w:rPr>
              <w:rFonts w:ascii="Calibri" w:hAnsi="Calibri"/>
              <w:b/>
              <w:color w:val="0B2C47"/>
              <w:sz w:val="17"/>
            </w:rPr>
            <w:t xml:space="preserve">  VA DIGITAL</w:t>
          </w:r>
        </w:p>
      </w:tc>
      <w:tc>
        <w:tcPr>
          <w:tcW w:type="dxa" w:w="4876"/>
          <w:tcBorders>
            <w:top w:val="single" w:sz="8" w:color="168FF0"/>
            <w:left w:val="single" w:sz="8" w:color="168FF0"/>
            <w:bottom w:val="single" w:sz="8" w:color="168FF0"/>
            <w:right w:val="single" w:sz="8" w:color="168FF0"/>
            <w:insideH w:val="single" w:sz="8" w:color="168FF0"/>
            <w:insideV w:val="single" w:sz="8" w:color="168FF0"/>
          </w:tcBorders>
          <w:tcMar>
            <w:top w:w="0" w:type="dxa"/>
            <w:start w:w="180" w:type="dxa"/>
            <w:bottom w:w="80" w:type="dxa"/>
            <w:end w:w="180" w:type="dxa"/>
          </w:tcMar>
        </w:tcPr>
        <w:p>
          <w:pPr>
            <w:spacing w:after="0"/>
            <w:jc w:val="right"/>
          </w:pPr>
          <w:r>
            <w:rPr>
              <w:rFonts w:ascii="Calibri" w:hAnsi="Calibri"/>
              <w:color w:val="60748A"/>
              <w:sz w:val="16"/>
            </w:rPr>
            <w:t>va-digital.it  |  +39 334 991 6514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4" w:line="254" w:lineRule="auto"/>
    </w:pPr>
    <w:rPr>
      <w:rFonts w:ascii="Calibri" w:hAnsi="Calibri"/>
      <w:color w:val="1118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Bahnschrift" w:hAnsi="Bahnschrift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Bahnschrift" w:hAnsi="Bahnschrift"/>
      <w:b w:val="0"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Bahnschrift" w:hAnsi="Bahnschrift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