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cours du programme</w:t>
      </w:r>
    </w:p>
    <w:p>
      <w:pPr>
        <w:pStyle w:val="style_align_right"/>
      </w:pPr>
      <w:r>
        <w:rPr/>
        <w:t xml:space="preserve">Techniques de la documentation (393.A0)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Catalogage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393-DE0-LG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2-2-1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1.333330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/>
    <w:p>
      <w:r>
        <w:br w:type="page"/>
      </w: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r>
        <w:br w:type="page"/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/>
    <w:p>
      <w:r>
        <w:br w:type="pag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2015-12-11T15:54:15+01:00</dcterms:created>
  <dcterms:modified xsi:type="dcterms:W3CDTF">2015-12-11T15:54:15+01:00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