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Collège Lionel-Groulx</w:t>
      </w:r>
    </w:p>
    <w:p>
      <w:pPr>
        <w:pStyle w:val="style_align_right"/>
      </w:pPr>
      <w:r>
        <w:rPr/>
        <w:t xml:space="preserve"/>
      </w:r>
    </w:p>
    <w:p>
      <w:pPr>
        <w:pStyle w:val="style_align_right"/>
      </w:pPr>
      <w:r>
        <w:rPr/>
        <w:t xml:space="preserve">Cours de la formation générale (111.GE)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</w:rPr>
        <w:t xml:space="preserve">Plan-cadre en élaboration</w:t>
      </w:r>
    </w:p>
    <w:p>
      <w:pPr/>
      <w:r>
        <w:rPr/>
        <w:t xml:space="preserve"/>
      </w:r>
    </w:p>
    <w:tbl>
      <w:tblGrid>
        <w:gridCol w:w="3333.3333333333" w:type="dxa"/>
        <w:gridCol w:w="3333.3333333333" w:type="dxa"/>
        <w:gridCol w:w="3333.3333333333" w:type="dxa"/>
      </w:tblGrid>
      <w:tblPr>
        <w:tblStyle w:val="style_table"/>
      </w:tblPr>
      <w:tr>
        <w:trPr>
          <w:trHeight w:hRule="atLeast"/>
        </w:trPr>
        <w:tc>
          <w:tcPr>
            <w:tcW w:w="3333.3333333333" w:type="dxa"/>
            <w:vAlign w:val="center"/>
            <w:gridSpan w:val="3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Identification du cours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Discipline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Titre du cours : Philosophie et rationalité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Numéro du cours : 340-101-MQ</w:t>
            </w:r>
          </w:p>
        </w:tc>
      </w:tr>
      <w:tr>
        <w:trPr>
          <w:trHeight w:hRule="atLeast"/>
        </w:trPr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Pondération : 3-1-3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Nombre d'unité(s) : 1</w:t>
            </w:r>
          </w:p>
        </w:tc>
        <w:tc>
          <w:tcPr>
            <w:tcW w:w="3333.3333333333" w:type="dxa"/>
          </w:tcPr>
          <w:p>
            <w:pPr>
              <w:jc w:val="center"/>
            </w:pPr>
            <w:r>
              <w:rPr/>
              <w:t xml:space="preserve">test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Présentation du cours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 d'intégration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Évaluation des apprentissages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Énoncé des compétences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tbl>
      <w:tblGrid>
        <w:gridCol w:w="10000" w:type="dxa"/>
      </w:tblGrid>
      <w:tblPr>
        <w:tblStyle w:val="style_table"/>
      </w:tblPr>
      <w:tr>
        <w:trPr>
          <w:trHeight w:hRule="atLeast"/>
        </w:trPr>
        <w:tc>
          <w:tcPr>
            <w:tcW w:w="10000" w:type="dxa"/>
          </w:tcPr>
          <w:p>
            <w:pPr>
              <w:jc w:val="center"/>
            </w:pPr>
            <w:r>
              <w:rPr>
                <w:sz w:val="28"/>
                <w:szCs w:val="28"/>
                <w:b/>
              </w:rPr>
              <w:t xml:space="preserve">Objectifs d'apprentissage</w:t>
            </w:r>
          </w:p>
        </w:tc>
      </w:tr>
      <w:tr>
        <w:trPr>
          <w:trHeight w:hRule="atLeast"/>
        </w:trPr>
        <w:tc>
          <w:tcPr>
            <w:tcW w:w="10000" w:type="dxa"/>
          </w:tcPr>
          <w:p/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style_align_right">
    <w:name w:val="style_align_right"/>
    <w:basedOn w:val="Normal"/>
    <w:pPr>
      <w:jc w:val="right"/>
    </w:pPr>
  </w:style>
  <w:style w:type="paragraph" w:customStyle="1" w:styleId="style_align_center">
    <w:name w:val="style_align_center"/>
    <w:basedOn w:val="Normal"/>
    <w:pPr>
      <w:jc w:val="center"/>
    </w:pPr>
  </w:style>
  <w:style w:type="table" w:customStyle="1" w:styleId="style_table">
    <w:name w:val="style_table"/>
    <w:uiPriority w:val="99"/>
    <w:tblPr>
      <w:jc w:val="center"/>
      <w:tblW w:w="5000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2015-12-14T18:27:20+01:00</dcterms:created>
  <dcterms:modified xsi:type="dcterms:W3CDTF">2015-12-14T18:27:20+01:00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