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/>
          <w:b/>
          <w:color w:val="12304E"/>
          <w:sz w:val="40"/>
        </w:rPr>
        <w:t>智航灵枢：面向复杂任务的多模态具身智能无人机系统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35847E"/>
          <w:sz w:val="22"/>
        </w:rPr>
        <w:t>参赛作品简介</w:t>
      </w:r>
    </w:p>
    <w:p>
      <w:pPr>
        <w:spacing w:line="396" w:lineRule="auto" w:after="360"/>
        <w:ind w:firstLine="420"/>
        <w:jc w:val="both"/>
      </w:pPr>
      <w:r>
        <w:rPr>
          <w:rFonts w:ascii="宋体" w:hAnsi="宋体" w:eastAsia="宋体"/>
          <w:b w:val="0"/>
          <w:sz w:val="24"/>
        </w:rPr>
        <w:t>传统无人机地面站操作门槛高，直接使用大模型则存在幻觉、越权和结果难验证等风险。智航灵枢构建多模态具身智能无人机系统：LLM融合飞控遥测、RGB-D、点云、YOLO与VLM证据，将开放指令转化为受约束、可确认的任务流程；确定性网关校验参数并触发高风险确认，ROS 2/PX4执行飞行，遥测验证物理终态。系统已实现跨端交互、航点飞行、避障重规划、拍照分析和任务报告。80条任务四组对比中，混合Agent严格通过率57.5%，约为纯规则的2.7倍；在AirSim/PX4仿真中，固定任务10次闭环成功率100%。项目面向巡检、搜救、园区安防与科研教学。</w:t>
      </w:r>
    </w:p>
    <w:p>
      <w:pPr>
        <w:spacing w:before="160"/>
        <w:jc w:val="right"/>
        <w:shd w:fill="EAF3F2"/>
      </w:pPr>
      <w:r>
        <w:rPr>
          <w:rFonts w:ascii="微软雅黑" w:hAnsi="微软雅黑" w:eastAsia="微软雅黑"/>
          <w:b w:val="0"/>
          <w:color w:val="355A5C"/>
          <w:sz w:val="18"/>
        </w:rPr>
        <w:t>正文 273 字｜不含标题</w:t>
      </w:r>
    </w:p>
    <w:sectPr w:rsidR="00FC693F" w:rsidRPr="0006063C" w:rsidSect="00034616">
      <w:foot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E767E"/>
        <w:sz w:val="16"/>
      </w:rPr>
      <w:t>第八届中国研究生人工智能创新大赛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