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DC6C1" w14:textId="0E5F1BA2" w:rsidR="001F46F5" w:rsidRPr="00FA0547" w:rsidRDefault="001F46F5" w:rsidP="001F46F5">
      <w:pPr>
        <w:pStyle w:val="Heading1"/>
        <w:rPr>
          <w:rFonts w:ascii="Open Sans" w:hAnsi="Open Sans" w:cs="Open Sans"/>
          <w:b/>
          <w:bCs/>
          <w:color w:val="960000"/>
          <w:sz w:val="28"/>
          <w:szCs w:val="28"/>
        </w:rPr>
      </w:pPr>
      <w:r w:rsidRPr="00FA0547">
        <w:rPr>
          <w:rFonts w:ascii="Open Sans" w:hAnsi="Open Sans" w:cs="Open Sans"/>
          <w:b/>
          <w:bCs/>
          <w:color w:val="960000"/>
          <w:sz w:val="28"/>
          <w:szCs w:val="28"/>
        </w:rPr>
        <w:t>THE IRON BANK OF BRAAVOS</w:t>
      </w:r>
    </w:p>
    <w:p w14:paraId="01E1B300" w14:textId="77777777" w:rsidR="001F46F5" w:rsidRPr="00FA0547" w:rsidRDefault="001F46F5" w:rsidP="001F46F5">
      <w:pPr>
        <w:rPr>
          <w:rFonts w:ascii="Open Sans" w:hAnsi="Open Sans" w:cs="Open Sans"/>
          <w:b/>
          <w:bCs/>
          <w:sz w:val="18"/>
          <w:szCs w:val="18"/>
        </w:rPr>
      </w:pPr>
    </w:p>
    <w:p w14:paraId="46D9D4CF" w14:textId="603E5CC7" w:rsidR="001F46F5" w:rsidRPr="00FA0547" w:rsidRDefault="001F46F5" w:rsidP="001F46F5">
      <w:pPr>
        <w:rPr>
          <w:rFonts w:ascii="Open Sans" w:hAnsi="Open Sans" w:cs="Open Sans"/>
          <w:b/>
          <w:bCs/>
          <w:sz w:val="22"/>
          <w:szCs w:val="22"/>
        </w:rPr>
      </w:pPr>
      <w:r w:rsidRPr="00FA0547">
        <w:rPr>
          <w:rFonts w:ascii="Open Sans" w:hAnsi="Open Sans" w:cs="Open Sans"/>
          <w:b/>
          <w:bCs/>
          <w:sz w:val="22"/>
          <w:szCs w:val="22"/>
        </w:rPr>
        <w:t xml:space="preserve">Project </w:t>
      </w:r>
      <w:r w:rsidR="00DD2D96" w:rsidRPr="00FA0547">
        <w:rPr>
          <w:rFonts w:ascii="Open Sans" w:hAnsi="Open Sans" w:cs="Open Sans"/>
          <w:b/>
          <w:bCs/>
          <w:sz w:val="22"/>
          <w:szCs w:val="22"/>
        </w:rPr>
        <w:t>Report</w:t>
      </w:r>
    </w:p>
    <w:p w14:paraId="2DC5D8C7" w14:textId="7205626A" w:rsidR="001F46F5" w:rsidRPr="00FA0547" w:rsidRDefault="0014495A" w:rsidP="001F46F5">
      <w:pPr>
        <w:rPr>
          <w:rFonts w:ascii="Open Sans" w:hAnsi="Open Sans" w:cs="Open Sans"/>
          <w:b/>
          <w:bCs/>
          <w:sz w:val="20"/>
          <w:szCs w:val="20"/>
        </w:rPr>
      </w:pPr>
      <w:r w:rsidRPr="00FA0547">
        <w:rPr>
          <w:rFonts w:ascii="Open Sans" w:hAnsi="Open Sans" w:cs="Open Sans"/>
          <w:b/>
          <w:bCs/>
          <w:sz w:val="20"/>
          <w:szCs w:val="20"/>
        </w:rPr>
        <w:t>Executive Summary</w:t>
      </w:r>
    </w:p>
    <w:p w14:paraId="6F9A43F3" w14:textId="670563BC" w:rsidR="00A8664A" w:rsidRPr="00FA0547" w:rsidRDefault="00A8664A" w:rsidP="001F46F5">
      <w:p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t xml:space="preserve">This analysis integrates customer, account, and transaction data to provide a </w:t>
      </w:r>
      <w:r w:rsidRPr="00FA0547">
        <w:rPr>
          <w:rFonts w:ascii="Open Sans" w:hAnsi="Open Sans" w:cs="Open Sans"/>
          <w:sz w:val="18"/>
          <w:szCs w:val="18"/>
        </w:rPr>
        <w:t>holistic</w:t>
      </w:r>
      <w:r w:rsidRPr="00FA0547">
        <w:rPr>
          <w:rFonts w:ascii="Open Sans" w:hAnsi="Open Sans" w:cs="Open Sans"/>
          <w:sz w:val="18"/>
          <w:szCs w:val="18"/>
        </w:rPr>
        <w:t xml:space="preserve"> view of </w:t>
      </w:r>
      <w:r w:rsidRPr="00FA0547">
        <w:rPr>
          <w:rFonts w:ascii="Open Sans" w:hAnsi="Open Sans" w:cs="Open Sans"/>
          <w:sz w:val="18"/>
          <w:szCs w:val="18"/>
        </w:rPr>
        <w:t xml:space="preserve">the bank’s </w:t>
      </w:r>
      <w:r w:rsidRPr="00FA0547">
        <w:rPr>
          <w:rFonts w:ascii="Open Sans" w:hAnsi="Open Sans" w:cs="Open Sans"/>
          <w:sz w:val="18"/>
          <w:szCs w:val="18"/>
        </w:rPr>
        <w:t>profitability, risk exposure, branch performance, and fraud anomalies.</w:t>
      </w:r>
    </w:p>
    <w:p w14:paraId="4FA9BA46" w14:textId="6BDE5227" w:rsidR="00A8664A" w:rsidRPr="00FA0547" w:rsidRDefault="00A8664A" w:rsidP="001F46F5">
      <w:p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t>The key findings were:</w:t>
      </w:r>
    </w:p>
    <w:p w14:paraId="6EEC5546" w14:textId="0127E863" w:rsidR="00A8664A" w:rsidRPr="00FA0547" w:rsidRDefault="00BF2E6C" w:rsidP="00A8664A">
      <w:pPr>
        <w:pStyle w:val="ListParagraph"/>
        <w:numPr>
          <w:ilvl w:val="0"/>
          <w:numId w:val="5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t>Profitability Concentration:</w:t>
      </w:r>
      <w:r w:rsidR="009A7243" w:rsidRPr="00FA0547">
        <w:rPr>
          <w:rFonts w:ascii="Open Sans" w:hAnsi="Open Sans" w:cs="Open Sans"/>
          <w:sz w:val="18"/>
          <w:szCs w:val="18"/>
        </w:rPr>
        <w:t xml:space="preserve"> Top </w:t>
      </w:r>
      <w:r w:rsidR="009A7243" w:rsidRPr="00FA0547">
        <w:rPr>
          <w:rFonts w:ascii="Open Sans" w:hAnsi="Open Sans" w:cs="Open Sans"/>
          <w:b/>
          <w:bCs/>
          <w:sz w:val="18"/>
          <w:szCs w:val="18"/>
        </w:rPr>
        <w:t>10%</w:t>
      </w:r>
      <w:r w:rsidR="009A7243" w:rsidRPr="00FA0547">
        <w:rPr>
          <w:rFonts w:ascii="Open Sans" w:hAnsi="Open Sans" w:cs="Open Sans"/>
          <w:sz w:val="18"/>
          <w:szCs w:val="18"/>
        </w:rPr>
        <w:t xml:space="preserve"> </w:t>
      </w:r>
      <w:r w:rsidR="007F6DF6" w:rsidRPr="00FA0547">
        <w:rPr>
          <w:rFonts w:ascii="Open Sans" w:hAnsi="Open Sans" w:cs="Open Sans"/>
          <w:sz w:val="18"/>
          <w:szCs w:val="18"/>
        </w:rPr>
        <w:t xml:space="preserve">of our customers drive </w:t>
      </w:r>
      <w:r w:rsidR="00F86DF9" w:rsidRPr="00FA0547">
        <w:rPr>
          <w:rFonts w:ascii="Open Sans" w:hAnsi="Open Sans" w:cs="Open Sans"/>
          <w:sz w:val="18"/>
          <w:szCs w:val="18"/>
        </w:rPr>
        <w:t xml:space="preserve">almost </w:t>
      </w:r>
      <w:r w:rsidR="00F86DF9" w:rsidRPr="00564639">
        <w:rPr>
          <w:rFonts w:ascii="Open Sans" w:hAnsi="Open Sans" w:cs="Open Sans"/>
          <w:b/>
          <w:bCs/>
          <w:sz w:val="18"/>
          <w:szCs w:val="18"/>
        </w:rPr>
        <w:t>82</w:t>
      </w:r>
      <w:r w:rsidR="00B21A5E" w:rsidRPr="00564639">
        <w:rPr>
          <w:rFonts w:ascii="Open Sans" w:hAnsi="Open Sans" w:cs="Open Sans"/>
          <w:b/>
          <w:bCs/>
          <w:sz w:val="18"/>
          <w:szCs w:val="18"/>
        </w:rPr>
        <w:t>%</w:t>
      </w:r>
      <w:r w:rsidR="00B21A5E" w:rsidRPr="00FA0547">
        <w:rPr>
          <w:rFonts w:ascii="Open Sans" w:hAnsi="Open Sans" w:cs="Open Sans"/>
          <w:sz w:val="18"/>
          <w:szCs w:val="18"/>
        </w:rPr>
        <w:t xml:space="preserve"> of our net amounts.</w:t>
      </w:r>
    </w:p>
    <w:p w14:paraId="4A8FA1F0" w14:textId="5A84612D" w:rsidR="00BF2E6C" w:rsidRPr="00FA0547" w:rsidRDefault="00F35699" w:rsidP="00A8664A">
      <w:pPr>
        <w:pStyle w:val="ListParagraph"/>
        <w:numPr>
          <w:ilvl w:val="0"/>
          <w:numId w:val="5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t>Risk Exposure</w:t>
      </w:r>
      <w:r w:rsidR="009F202E" w:rsidRPr="00FA0547">
        <w:rPr>
          <w:rFonts w:ascii="Open Sans" w:hAnsi="Open Sans" w:cs="Open Sans"/>
          <w:sz w:val="18"/>
          <w:szCs w:val="18"/>
        </w:rPr>
        <w:t>: The</w:t>
      </w:r>
      <w:r w:rsidR="001644F0" w:rsidRPr="00FA0547">
        <w:rPr>
          <w:rFonts w:ascii="Open Sans" w:hAnsi="Open Sans" w:cs="Open Sans"/>
          <w:sz w:val="18"/>
          <w:szCs w:val="18"/>
        </w:rPr>
        <w:t>se branches (</w:t>
      </w:r>
      <w:r w:rsidR="001644F0" w:rsidRPr="00FA0547">
        <w:rPr>
          <w:rFonts w:ascii="Open Sans" w:hAnsi="Open Sans" w:cs="Open Sans"/>
          <w:b/>
          <w:bCs/>
          <w:sz w:val="18"/>
          <w:szCs w:val="18"/>
        </w:rPr>
        <w:t>BR022, BR014, BR009, BR024 and BR030</w:t>
      </w:r>
      <w:r w:rsidR="001644F0" w:rsidRPr="00FA0547">
        <w:rPr>
          <w:rFonts w:ascii="Open Sans" w:hAnsi="Open Sans" w:cs="Open Sans"/>
          <w:sz w:val="18"/>
          <w:szCs w:val="18"/>
        </w:rPr>
        <w:t xml:space="preserve">) have a </w:t>
      </w:r>
      <w:r w:rsidR="0007126C" w:rsidRPr="00FA0547">
        <w:rPr>
          <w:rFonts w:ascii="Open Sans" w:hAnsi="Open Sans" w:cs="Open Sans"/>
          <w:sz w:val="18"/>
          <w:szCs w:val="18"/>
        </w:rPr>
        <w:t>high-risk</w:t>
      </w:r>
      <w:r w:rsidR="001644F0" w:rsidRPr="00FA0547">
        <w:rPr>
          <w:rFonts w:ascii="Open Sans" w:hAnsi="Open Sans" w:cs="Open Sans"/>
          <w:sz w:val="18"/>
          <w:szCs w:val="18"/>
        </w:rPr>
        <w:t xml:space="preserve"> exposure</w:t>
      </w:r>
      <w:r w:rsidR="0007126C" w:rsidRPr="00FA0547">
        <w:rPr>
          <w:rFonts w:ascii="Open Sans" w:hAnsi="Open Sans" w:cs="Open Sans"/>
          <w:sz w:val="18"/>
          <w:szCs w:val="18"/>
        </w:rPr>
        <w:t>.</w:t>
      </w:r>
    </w:p>
    <w:p w14:paraId="5C11F9AE" w14:textId="42C64CD7" w:rsidR="00F35699" w:rsidRPr="00FA0547" w:rsidRDefault="00F35699" w:rsidP="00A8664A">
      <w:pPr>
        <w:pStyle w:val="ListParagraph"/>
        <w:numPr>
          <w:ilvl w:val="0"/>
          <w:numId w:val="5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t>Customer Health</w:t>
      </w:r>
      <w:r w:rsidR="0007126C" w:rsidRPr="00FA0547">
        <w:rPr>
          <w:rFonts w:ascii="Open Sans" w:hAnsi="Open Sans" w:cs="Open Sans"/>
          <w:sz w:val="18"/>
          <w:szCs w:val="18"/>
        </w:rPr>
        <w:t xml:space="preserve">: </w:t>
      </w:r>
      <w:r w:rsidR="00BA34C8" w:rsidRPr="00FA0547">
        <w:rPr>
          <w:rFonts w:ascii="Open Sans" w:hAnsi="Open Sans" w:cs="Open Sans"/>
          <w:sz w:val="18"/>
          <w:szCs w:val="18"/>
        </w:rPr>
        <w:t xml:space="preserve">Out of the total </w:t>
      </w:r>
      <w:r w:rsidR="00BA34C8" w:rsidRPr="00FA0547">
        <w:rPr>
          <w:rFonts w:ascii="Open Sans" w:hAnsi="Open Sans" w:cs="Open Sans"/>
          <w:b/>
          <w:bCs/>
          <w:sz w:val="18"/>
          <w:szCs w:val="18"/>
        </w:rPr>
        <w:t>500 customers</w:t>
      </w:r>
      <w:r w:rsidR="00BA34C8" w:rsidRPr="00FA0547">
        <w:rPr>
          <w:rFonts w:ascii="Open Sans" w:hAnsi="Open Sans" w:cs="Open Sans"/>
          <w:sz w:val="18"/>
          <w:szCs w:val="18"/>
        </w:rPr>
        <w:t xml:space="preserve">, </w:t>
      </w:r>
      <w:r w:rsidR="00BA34C8" w:rsidRPr="00FA0547">
        <w:rPr>
          <w:rFonts w:ascii="Open Sans" w:hAnsi="Open Sans" w:cs="Open Sans"/>
          <w:b/>
          <w:bCs/>
          <w:sz w:val="18"/>
          <w:szCs w:val="18"/>
        </w:rPr>
        <w:t>180</w:t>
      </w:r>
      <w:r w:rsidR="00BA34C8" w:rsidRPr="00FA0547">
        <w:rPr>
          <w:rFonts w:ascii="Open Sans" w:hAnsi="Open Sans" w:cs="Open Sans"/>
          <w:sz w:val="18"/>
          <w:szCs w:val="18"/>
        </w:rPr>
        <w:t xml:space="preserve"> hold negative balance accounts</w:t>
      </w:r>
      <w:r w:rsidR="00501FEF" w:rsidRPr="00FA0547">
        <w:rPr>
          <w:rFonts w:ascii="Open Sans" w:hAnsi="Open Sans" w:cs="Open Sans"/>
          <w:sz w:val="18"/>
          <w:szCs w:val="18"/>
        </w:rPr>
        <w:t xml:space="preserve">; </w:t>
      </w:r>
      <w:r w:rsidR="00501FEF" w:rsidRPr="00FA0547">
        <w:rPr>
          <w:rFonts w:ascii="Open Sans" w:hAnsi="Open Sans" w:cs="Open Sans"/>
          <w:b/>
          <w:bCs/>
          <w:sz w:val="18"/>
          <w:szCs w:val="18"/>
        </w:rPr>
        <w:t>240</w:t>
      </w:r>
      <w:r w:rsidR="00501FEF" w:rsidRPr="00FA0547">
        <w:rPr>
          <w:rFonts w:ascii="Open Sans" w:hAnsi="Open Sans" w:cs="Open Sans"/>
          <w:sz w:val="18"/>
          <w:szCs w:val="18"/>
        </w:rPr>
        <w:t xml:space="preserve"> being inactive customers</w:t>
      </w:r>
      <w:r w:rsidR="003B0B9D" w:rsidRPr="00FA0547">
        <w:rPr>
          <w:rFonts w:ascii="Open Sans" w:hAnsi="Open Sans" w:cs="Open Sans"/>
          <w:sz w:val="18"/>
          <w:szCs w:val="18"/>
        </w:rPr>
        <w:t xml:space="preserve"> i.e. No transactions made in the last 3 months.</w:t>
      </w:r>
    </w:p>
    <w:p w14:paraId="6D2A0B31" w14:textId="6755D4DA" w:rsidR="00F35699" w:rsidRPr="00FA0547" w:rsidRDefault="00F35699" w:rsidP="00A8664A">
      <w:pPr>
        <w:pStyle w:val="ListParagraph"/>
        <w:numPr>
          <w:ilvl w:val="0"/>
          <w:numId w:val="5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t>Retention Challenges</w:t>
      </w:r>
      <w:r w:rsidR="00BB7132" w:rsidRPr="00FA0547">
        <w:rPr>
          <w:rFonts w:ascii="Open Sans" w:hAnsi="Open Sans" w:cs="Open Sans"/>
          <w:sz w:val="18"/>
          <w:szCs w:val="18"/>
        </w:rPr>
        <w:t xml:space="preserve">: </w:t>
      </w:r>
      <w:r w:rsidR="00BB7132" w:rsidRPr="00FA0547">
        <w:rPr>
          <w:rFonts w:ascii="Open Sans" w:hAnsi="Open Sans" w:cs="Open Sans"/>
          <w:sz w:val="18"/>
          <w:szCs w:val="18"/>
        </w:rPr>
        <w:t xml:space="preserve">Churn rate estimated at </w:t>
      </w:r>
      <w:r w:rsidR="00BB7132" w:rsidRPr="00FA0547">
        <w:rPr>
          <w:rFonts w:ascii="Open Sans" w:hAnsi="Open Sans" w:cs="Open Sans"/>
          <w:b/>
          <w:bCs/>
          <w:sz w:val="18"/>
          <w:szCs w:val="18"/>
        </w:rPr>
        <w:t>48%</w:t>
      </w:r>
      <w:r w:rsidR="00BB7132" w:rsidRPr="00FA0547">
        <w:rPr>
          <w:rFonts w:ascii="Open Sans" w:hAnsi="Open Sans" w:cs="Open Sans"/>
          <w:sz w:val="18"/>
          <w:szCs w:val="18"/>
        </w:rPr>
        <w:t>, with retained customers showing 4× higher CLV proxy.</w:t>
      </w:r>
    </w:p>
    <w:p w14:paraId="35DE7980" w14:textId="7BD9C880" w:rsidR="00F35699" w:rsidRPr="00FA0547" w:rsidRDefault="00F35699" w:rsidP="00A8664A">
      <w:pPr>
        <w:pStyle w:val="ListParagraph"/>
        <w:numPr>
          <w:ilvl w:val="0"/>
          <w:numId w:val="5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t>Fraud Risk</w:t>
      </w:r>
      <w:r w:rsidR="003E5F96" w:rsidRPr="00FA0547">
        <w:rPr>
          <w:rFonts w:ascii="Open Sans" w:hAnsi="Open Sans" w:cs="Open Sans"/>
          <w:sz w:val="18"/>
          <w:szCs w:val="18"/>
        </w:rPr>
        <w:t xml:space="preserve">: No risky customers were identified. </w:t>
      </w:r>
    </w:p>
    <w:p w14:paraId="002971F9" w14:textId="03BD6CEC" w:rsidR="002B515D" w:rsidRDefault="00C517B5" w:rsidP="00A8664A">
      <w:pPr>
        <w:pStyle w:val="ListParagraph"/>
        <w:numPr>
          <w:ilvl w:val="0"/>
          <w:numId w:val="5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t>Much of</w:t>
      </w:r>
      <w:r w:rsidR="0011444E" w:rsidRPr="00FA0547">
        <w:rPr>
          <w:rFonts w:ascii="Open Sans" w:hAnsi="Open Sans" w:cs="Open Sans"/>
          <w:sz w:val="18"/>
          <w:szCs w:val="18"/>
        </w:rPr>
        <w:t xml:space="preserve"> the </w:t>
      </w:r>
      <w:r w:rsidRPr="00FA0547">
        <w:rPr>
          <w:rFonts w:ascii="Open Sans" w:hAnsi="Open Sans" w:cs="Open Sans"/>
          <w:sz w:val="18"/>
          <w:szCs w:val="18"/>
        </w:rPr>
        <w:t>cash flow sits in the Current accounts.</w:t>
      </w:r>
    </w:p>
    <w:p w14:paraId="17078D22" w14:textId="09B74604" w:rsidR="00B721FE" w:rsidRPr="00FA0547" w:rsidRDefault="00DF1929" w:rsidP="00A8664A">
      <w:pPr>
        <w:pStyle w:val="ListParagraph"/>
        <w:numPr>
          <w:ilvl w:val="0"/>
          <w:numId w:val="5"/>
        </w:numPr>
        <w:rPr>
          <w:rFonts w:ascii="Open Sans" w:hAnsi="Open Sans" w:cs="Open Sans"/>
          <w:sz w:val="18"/>
          <w:szCs w:val="18"/>
        </w:rPr>
      </w:pPr>
      <w:r w:rsidRPr="00DF1929">
        <w:rPr>
          <w:rFonts w:ascii="Open Sans" w:hAnsi="Open Sans" w:cs="Open Sans"/>
          <w:sz w:val="18"/>
          <w:szCs w:val="18"/>
        </w:rPr>
        <w:t xml:space="preserve">Retained customers are worth </w:t>
      </w:r>
      <w:r w:rsidRPr="00DF1929">
        <w:rPr>
          <w:rFonts w:ascii="Open Sans" w:hAnsi="Open Sans" w:cs="Open Sans"/>
          <w:b/>
          <w:bCs/>
          <w:sz w:val="18"/>
          <w:szCs w:val="18"/>
        </w:rPr>
        <w:t>~23%</w:t>
      </w:r>
      <w:r w:rsidRPr="00DF1929">
        <w:rPr>
          <w:rFonts w:ascii="Open Sans" w:hAnsi="Open Sans" w:cs="Open Sans"/>
          <w:sz w:val="18"/>
          <w:szCs w:val="18"/>
        </w:rPr>
        <w:t xml:space="preserve"> more than churned ones, validating the ROI of retention efforts.</w:t>
      </w:r>
    </w:p>
    <w:p w14:paraId="68428B73" w14:textId="77777777" w:rsidR="001F46F5" w:rsidRPr="00FA0547" w:rsidRDefault="00FF1B0E" w:rsidP="001F46F5">
      <w:p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pict w14:anchorId="2569D6F9">
          <v:rect id="_x0000_i1025" style="width:0;height:1.5pt" o:hralign="center" o:hrstd="t" o:hr="t" fillcolor="#a0a0a0" stroked="f"/>
        </w:pict>
      </w:r>
    </w:p>
    <w:p w14:paraId="5BEC9CB5" w14:textId="10517EAC" w:rsidR="001F46F5" w:rsidRPr="00FA0547" w:rsidRDefault="0046727E" w:rsidP="001F46F5">
      <w:pPr>
        <w:rPr>
          <w:rFonts w:ascii="Open Sans" w:hAnsi="Open Sans" w:cs="Open Sans"/>
          <w:b/>
          <w:bCs/>
          <w:sz w:val="20"/>
          <w:szCs w:val="20"/>
        </w:rPr>
      </w:pPr>
      <w:r w:rsidRPr="00FA0547">
        <w:rPr>
          <w:rFonts w:ascii="Open Sans" w:hAnsi="Open Sans" w:cs="Open Sans"/>
          <w:b/>
          <w:bCs/>
          <w:sz w:val="20"/>
          <w:szCs w:val="20"/>
        </w:rPr>
        <w:t>Data Sources</w:t>
      </w:r>
    </w:p>
    <w:p w14:paraId="285CDE76" w14:textId="7EB71A87" w:rsidR="007F4847" w:rsidRPr="00FA0547" w:rsidRDefault="004E1099" w:rsidP="004E1099">
      <w:pPr>
        <w:pStyle w:val="ListParagraph"/>
        <w:numPr>
          <w:ilvl w:val="0"/>
          <w:numId w:val="6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b/>
          <w:bCs/>
          <w:sz w:val="18"/>
          <w:szCs w:val="18"/>
        </w:rPr>
        <w:t>Customers (500 records):</w:t>
      </w:r>
      <w:r w:rsidRPr="00FA0547">
        <w:rPr>
          <w:rFonts w:ascii="Open Sans" w:hAnsi="Open Sans" w:cs="Open Sans"/>
          <w:sz w:val="18"/>
          <w:szCs w:val="18"/>
        </w:rPr>
        <w:t xml:space="preserve"> Demographics, region, risk segment, KYC status.</w:t>
      </w:r>
    </w:p>
    <w:p w14:paraId="4976F2BD" w14:textId="7CED2561" w:rsidR="004E1099" w:rsidRPr="00FA0547" w:rsidRDefault="002C6397" w:rsidP="004E1099">
      <w:pPr>
        <w:pStyle w:val="ListParagraph"/>
        <w:numPr>
          <w:ilvl w:val="0"/>
          <w:numId w:val="6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b/>
          <w:bCs/>
          <w:sz w:val="18"/>
          <w:szCs w:val="18"/>
        </w:rPr>
        <w:t>Accounts (500 records):</w:t>
      </w:r>
      <w:r w:rsidRPr="00FA0547">
        <w:rPr>
          <w:rFonts w:ascii="Open Sans" w:hAnsi="Open Sans" w:cs="Open Sans"/>
          <w:sz w:val="18"/>
          <w:szCs w:val="18"/>
        </w:rPr>
        <w:t xml:space="preserve"> Account type, balance, branch, status.</w:t>
      </w:r>
    </w:p>
    <w:p w14:paraId="675FB73F" w14:textId="2C135673" w:rsidR="002C6397" w:rsidRPr="00FA0547" w:rsidRDefault="002C6397" w:rsidP="004E1099">
      <w:pPr>
        <w:pStyle w:val="ListParagraph"/>
        <w:numPr>
          <w:ilvl w:val="0"/>
          <w:numId w:val="6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b/>
          <w:bCs/>
          <w:sz w:val="18"/>
          <w:szCs w:val="18"/>
        </w:rPr>
        <w:t>Transactions (500 records):</w:t>
      </w:r>
      <w:r w:rsidRPr="00FA0547">
        <w:rPr>
          <w:rFonts w:ascii="Open Sans" w:hAnsi="Open Sans" w:cs="Open Sans"/>
          <w:sz w:val="18"/>
          <w:szCs w:val="18"/>
        </w:rPr>
        <w:t xml:space="preserve"> Transaction type, amount, channel, merchant, status.</w:t>
      </w:r>
    </w:p>
    <w:p w14:paraId="6407E59A" w14:textId="77777777" w:rsidR="00BB29E0" w:rsidRPr="00FA0547" w:rsidRDefault="00BB29E0">
      <w:p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br w:type="page"/>
      </w:r>
    </w:p>
    <w:p w14:paraId="2DD21410" w14:textId="70B4D2CD" w:rsidR="001F46F5" w:rsidRPr="00FA0547" w:rsidRDefault="00FF1B0E" w:rsidP="001F46F5">
      <w:p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lastRenderedPageBreak/>
        <w:pict w14:anchorId="6868D08B">
          <v:rect id="_x0000_i1026" style="width:0;height:1.5pt" o:hralign="center" o:hrstd="t" o:hr="t" fillcolor="#a0a0a0" stroked="f"/>
        </w:pict>
      </w:r>
    </w:p>
    <w:p w14:paraId="13682327" w14:textId="77777777" w:rsidR="008465BC" w:rsidRPr="00FA0547" w:rsidRDefault="008465BC" w:rsidP="008465BC">
      <w:pPr>
        <w:rPr>
          <w:rFonts w:ascii="Open Sans" w:hAnsi="Open Sans" w:cs="Open Sans"/>
          <w:b/>
          <w:bCs/>
          <w:sz w:val="20"/>
          <w:szCs w:val="20"/>
        </w:rPr>
      </w:pPr>
      <w:r w:rsidRPr="00FA0547">
        <w:rPr>
          <w:rFonts w:ascii="Open Sans" w:hAnsi="Open Sans" w:cs="Open Sans"/>
          <w:b/>
          <w:bCs/>
          <w:sz w:val="20"/>
          <w:szCs w:val="20"/>
        </w:rPr>
        <w:t>Methodology</w:t>
      </w:r>
    </w:p>
    <w:p w14:paraId="5B37C674" w14:textId="3D8FFC3F" w:rsidR="001F46F5" w:rsidRPr="00FA0547" w:rsidRDefault="00622957" w:rsidP="008465BC">
      <w:pPr>
        <w:rPr>
          <w:rFonts w:ascii="Open Sans" w:hAnsi="Open Sans" w:cs="Open Sans"/>
          <w:b/>
          <w:bCs/>
          <w:sz w:val="18"/>
          <w:szCs w:val="18"/>
        </w:rPr>
      </w:pPr>
      <w:r w:rsidRPr="00FA0547">
        <w:rPr>
          <w:rFonts w:ascii="Open Sans" w:hAnsi="Open Sans" w:cs="Open Sans"/>
          <w:b/>
          <w:bCs/>
          <w:sz w:val="18"/>
          <w:szCs w:val="18"/>
        </w:rPr>
        <w:t>SQL</w:t>
      </w:r>
    </w:p>
    <w:p w14:paraId="65820FD5" w14:textId="5F97FDF8" w:rsidR="00622957" w:rsidRPr="00FA0547" w:rsidRDefault="00BB29E0" w:rsidP="00BB29E0">
      <w:pPr>
        <w:pStyle w:val="ListParagraph"/>
        <w:numPr>
          <w:ilvl w:val="0"/>
          <w:numId w:val="7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t>M</w:t>
      </w:r>
      <w:r w:rsidRPr="00FA0547">
        <w:rPr>
          <w:rFonts w:ascii="Open Sans" w:hAnsi="Open Sans" w:cs="Open Sans"/>
          <w:sz w:val="18"/>
          <w:szCs w:val="18"/>
        </w:rPr>
        <w:t>ost profitable customers by region/segment</w:t>
      </w:r>
    </w:p>
    <w:p w14:paraId="6F9BE21D" w14:textId="4939409A" w:rsidR="00BB29E0" w:rsidRPr="00FA0547" w:rsidRDefault="00724EF5" w:rsidP="00BB29E0">
      <w:pPr>
        <w:pStyle w:val="ListParagraph"/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drawing>
          <wp:inline distT="0" distB="0" distL="0" distR="0" wp14:anchorId="3470204C" wp14:editId="4C93E0F8">
            <wp:extent cx="3833192" cy="2819644"/>
            <wp:effectExtent l="0" t="0" r="0" b="0"/>
            <wp:docPr id="32769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97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830A" w14:textId="55C598B7" w:rsidR="00F2742F" w:rsidRPr="00FA0547" w:rsidRDefault="000F1E1D" w:rsidP="00BB29E0">
      <w:pPr>
        <w:pStyle w:val="ListParagraph"/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t xml:space="preserve">The ranks can be found in the view </w:t>
      </w:r>
      <w:proofErr w:type="spellStart"/>
      <w:r w:rsidRPr="00FA0547">
        <w:rPr>
          <w:rFonts w:ascii="Open Sans" w:hAnsi="Open Sans" w:cs="Open Sans"/>
          <w:sz w:val="18"/>
          <w:szCs w:val="18"/>
        </w:rPr>
        <w:t>cust_profitability_view</w:t>
      </w:r>
      <w:proofErr w:type="spellEnd"/>
    </w:p>
    <w:p w14:paraId="755B889B" w14:textId="77777777" w:rsidR="004736A0" w:rsidRPr="00FA0547" w:rsidRDefault="004736A0" w:rsidP="00BB29E0">
      <w:pPr>
        <w:pStyle w:val="ListParagraph"/>
        <w:rPr>
          <w:rFonts w:ascii="Open Sans" w:hAnsi="Open Sans" w:cs="Open Sans"/>
          <w:sz w:val="18"/>
          <w:szCs w:val="18"/>
        </w:rPr>
      </w:pPr>
    </w:p>
    <w:p w14:paraId="4D3AD92A" w14:textId="533DA4E3" w:rsidR="000F1E1D" w:rsidRPr="00FA0547" w:rsidRDefault="00B80B5E" w:rsidP="000F1E1D">
      <w:pPr>
        <w:pStyle w:val="ListParagraph"/>
        <w:numPr>
          <w:ilvl w:val="0"/>
          <w:numId w:val="7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t>Consistently low or negative balances</w:t>
      </w:r>
    </w:p>
    <w:p w14:paraId="299E2B3C" w14:textId="53684EEB" w:rsidR="00B80B5E" w:rsidRPr="00FA0547" w:rsidRDefault="004736A0" w:rsidP="00B80B5E">
      <w:pPr>
        <w:ind w:left="720"/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drawing>
          <wp:inline distT="0" distB="0" distL="0" distR="0" wp14:anchorId="63A864BC" wp14:editId="4176CDE1">
            <wp:extent cx="3939881" cy="2911092"/>
            <wp:effectExtent l="0" t="0" r="3810" b="3810"/>
            <wp:docPr id="12491332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3328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620F" w14:textId="1B998D80" w:rsidR="00DF090E" w:rsidRPr="00FA0547" w:rsidRDefault="00DF090E">
      <w:p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br w:type="page"/>
      </w:r>
    </w:p>
    <w:p w14:paraId="6CD62DA1" w14:textId="032E3141" w:rsidR="00897EF8" w:rsidRPr="00FA0547" w:rsidRDefault="00DF090E" w:rsidP="00DF090E">
      <w:pPr>
        <w:pStyle w:val="ListParagraph"/>
        <w:numPr>
          <w:ilvl w:val="0"/>
          <w:numId w:val="7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lastRenderedPageBreak/>
        <w:t>Quiet customers</w:t>
      </w:r>
      <w:r w:rsidR="00DA702C" w:rsidRPr="00FA0547">
        <w:rPr>
          <w:rFonts w:ascii="Open Sans" w:hAnsi="Open Sans" w:cs="Open Sans"/>
          <w:sz w:val="18"/>
          <w:szCs w:val="18"/>
        </w:rPr>
        <w:t xml:space="preserve"> (no activity in the past 3 months and more)</w:t>
      </w:r>
    </w:p>
    <w:p w14:paraId="4155877E" w14:textId="3C2982AB" w:rsidR="00DF090E" w:rsidRPr="00FA0547" w:rsidRDefault="00DF090E" w:rsidP="00DF090E">
      <w:pPr>
        <w:pStyle w:val="ListParagraph"/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drawing>
          <wp:inline distT="0" distB="0" distL="0" distR="0" wp14:anchorId="1F86A1D4" wp14:editId="5D6E5D7B">
            <wp:extent cx="3444538" cy="1432684"/>
            <wp:effectExtent l="0" t="0" r="3810" b="0"/>
            <wp:docPr id="198729355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93551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9D3C" w14:textId="06C16664" w:rsidR="00DF090E" w:rsidRPr="00FA0547" w:rsidRDefault="00DA702C" w:rsidP="00DA702C">
      <w:pPr>
        <w:pStyle w:val="ListParagraph"/>
        <w:numPr>
          <w:ilvl w:val="0"/>
          <w:numId w:val="7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t>Account types holding the most value</w:t>
      </w:r>
    </w:p>
    <w:p w14:paraId="457ACC33" w14:textId="36635A96" w:rsidR="00B668B7" w:rsidRPr="00FA0547" w:rsidRDefault="00FA11AC" w:rsidP="00B668B7">
      <w:pPr>
        <w:ind w:left="720"/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drawing>
          <wp:inline distT="0" distB="0" distL="0" distR="0" wp14:anchorId="1C9705E2" wp14:editId="14D9CB45">
            <wp:extent cx="2575783" cy="800169"/>
            <wp:effectExtent l="0" t="0" r="0" b="0"/>
            <wp:docPr id="89856603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66031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A0E2" w14:textId="57A19D7F" w:rsidR="00FA11AC" w:rsidRPr="00FA0547" w:rsidRDefault="00843F4A" w:rsidP="00FA11AC">
      <w:pPr>
        <w:pStyle w:val="ListParagraph"/>
        <w:numPr>
          <w:ilvl w:val="0"/>
          <w:numId w:val="7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t>Branches with a lot of risky customers</w:t>
      </w:r>
    </w:p>
    <w:p w14:paraId="73F17F5E" w14:textId="4E55F1C9" w:rsidR="00843F4A" w:rsidRPr="00FA0547" w:rsidRDefault="00843F4A" w:rsidP="00843F4A">
      <w:pPr>
        <w:pStyle w:val="ListParagraph"/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drawing>
          <wp:inline distT="0" distB="0" distL="0" distR="0" wp14:anchorId="52298CE7" wp14:editId="21A52FFF">
            <wp:extent cx="2956816" cy="2034716"/>
            <wp:effectExtent l="0" t="0" r="0" b="3810"/>
            <wp:docPr id="17079670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6706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2BF5" w14:textId="63C5BDB5" w:rsidR="00843F4A" w:rsidRPr="00FA0547" w:rsidRDefault="000865B8" w:rsidP="00843F4A">
      <w:pPr>
        <w:pStyle w:val="ListParagraph"/>
        <w:numPr>
          <w:ilvl w:val="0"/>
          <w:numId w:val="7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t>A</w:t>
      </w:r>
      <w:r w:rsidRPr="00FA0547">
        <w:rPr>
          <w:rFonts w:ascii="Open Sans" w:hAnsi="Open Sans" w:cs="Open Sans"/>
          <w:sz w:val="18"/>
          <w:szCs w:val="18"/>
        </w:rPr>
        <w:t>verage and median value per account type</w:t>
      </w:r>
    </w:p>
    <w:p w14:paraId="0FAC17F0" w14:textId="10BED88D" w:rsidR="00B73785" w:rsidRPr="00FA0547" w:rsidRDefault="00BD4DB4" w:rsidP="00BD4DB4">
      <w:pPr>
        <w:ind w:left="720"/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drawing>
          <wp:inline distT="0" distB="0" distL="0" distR="0" wp14:anchorId="1EB1A74B" wp14:editId="5EA03314">
            <wp:extent cx="2705334" cy="853514"/>
            <wp:effectExtent l="0" t="0" r="0" b="3810"/>
            <wp:docPr id="59331065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10657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F3B9" w14:textId="78CE531D" w:rsidR="00BD4DB4" w:rsidRPr="00FA0547" w:rsidRDefault="00B73785" w:rsidP="00B73785">
      <w:p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br w:type="page"/>
      </w:r>
    </w:p>
    <w:p w14:paraId="6CD8CB0A" w14:textId="24B2B601" w:rsidR="00BD4DB4" w:rsidRPr="00FA0547" w:rsidRDefault="002B1DED" w:rsidP="00BD4DB4">
      <w:pPr>
        <w:pStyle w:val="ListParagraph"/>
        <w:numPr>
          <w:ilvl w:val="0"/>
          <w:numId w:val="7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lastRenderedPageBreak/>
        <w:t>High-risk customers with anomalies</w:t>
      </w:r>
    </w:p>
    <w:p w14:paraId="64E4806F" w14:textId="68E2A3A3" w:rsidR="002B1DED" w:rsidRPr="00FA0547" w:rsidRDefault="00C632E3" w:rsidP="002B1DED">
      <w:pPr>
        <w:ind w:left="720"/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drawing>
          <wp:inline distT="0" distB="0" distL="0" distR="0" wp14:anchorId="59AC846C" wp14:editId="07270494">
            <wp:extent cx="3673158" cy="2842506"/>
            <wp:effectExtent l="0" t="0" r="3810" b="0"/>
            <wp:docPr id="78733460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34609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76E0" w14:textId="7D7E8F6A" w:rsidR="003D7516" w:rsidRPr="00FA0547" w:rsidRDefault="003D7516" w:rsidP="002B1DED">
      <w:pPr>
        <w:ind w:left="720"/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drawing>
          <wp:inline distT="0" distB="0" distL="0" distR="0" wp14:anchorId="7B50D69B" wp14:editId="022D8D69">
            <wp:extent cx="3825572" cy="1120237"/>
            <wp:effectExtent l="0" t="0" r="3810" b="3810"/>
            <wp:docPr id="1404145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4568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C09D" w14:textId="3B632B10" w:rsidR="00E96401" w:rsidRPr="00FA0547" w:rsidRDefault="0080114C" w:rsidP="00E96401">
      <w:pPr>
        <w:pStyle w:val="ListParagraph"/>
        <w:numPr>
          <w:ilvl w:val="0"/>
          <w:numId w:val="7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t>The percentage of the total net amount driven by our top 10% of customers</w:t>
      </w:r>
    </w:p>
    <w:p w14:paraId="1E860B46" w14:textId="6AE93B07" w:rsidR="0080114C" w:rsidRPr="00FA0547" w:rsidRDefault="00340A13" w:rsidP="0080114C">
      <w:pPr>
        <w:pStyle w:val="ListParagraph"/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drawing>
          <wp:anchor distT="0" distB="0" distL="114300" distR="114300" simplePos="0" relativeHeight="251656192" behindDoc="0" locked="0" layoutInCell="1" allowOverlap="1" wp14:anchorId="1E66AEF4" wp14:editId="7373914D">
            <wp:simplePos x="1371600" y="6248400"/>
            <wp:positionH relativeFrom="column">
              <wp:align>left</wp:align>
            </wp:positionH>
            <wp:positionV relativeFrom="paragraph">
              <wp:align>top</wp:align>
            </wp:positionV>
            <wp:extent cx="4016088" cy="2857748"/>
            <wp:effectExtent l="0" t="0" r="3810" b="0"/>
            <wp:wrapSquare wrapText="bothSides"/>
            <wp:docPr id="204828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811" name="Picture 1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E8AFA" w14:textId="1E170AA2" w:rsidR="00197FA6" w:rsidRDefault="00DF084B" w:rsidP="00197FA6">
      <w:pPr>
        <w:pStyle w:val="ListParagraph"/>
        <w:jc w:val="both"/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drawing>
          <wp:inline distT="0" distB="0" distL="0" distR="0" wp14:anchorId="5223E996" wp14:editId="0EAC3766">
            <wp:extent cx="4122777" cy="586791"/>
            <wp:effectExtent l="0" t="0" r="0" b="3810"/>
            <wp:docPr id="1576372107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72107" name="Picture 1" descr="A close-up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8E80" w14:textId="77777777" w:rsidR="00197FA6" w:rsidRDefault="00197FA6" w:rsidP="00197FA6">
      <w:pPr>
        <w:pStyle w:val="ListParagraph"/>
        <w:jc w:val="both"/>
        <w:rPr>
          <w:rFonts w:ascii="Open Sans" w:hAnsi="Open Sans" w:cs="Open Sans"/>
          <w:sz w:val="18"/>
          <w:szCs w:val="18"/>
        </w:rPr>
      </w:pPr>
    </w:p>
    <w:p w14:paraId="2BAC71E8" w14:textId="77777777" w:rsidR="00197FA6" w:rsidRPr="00197FA6" w:rsidRDefault="00197FA6" w:rsidP="00197FA6">
      <w:pPr>
        <w:pStyle w:val="ListParagraph"/>
        <w:jc w:val="both"/>
        <w:rPr>
          <w:rFonts w:ascii="Open Sans" w:hAnsi="Open Sans" w:cs="Open Sans"/>
          <w:sz w:val="18"/>
          <w:szCs w:val="18"/>
        </w:rPr>
      </w:pPr>
    </w:p>
    <w:p w14:paraId="3FEE1E6C" w14:textId="6CBEDB78" w:rsidR="00DA702C" w:rsidRPr="00FA0547" w:rsidRDefault="00CF10BE" w:rsidP="008115D8">
      <w:pPr>
        <w:pStyle w:val="ListParagraph"/>
        <w:numPr>
          <w:ilvl w:val="0"/>
          <w:numId w:val="7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lastRenderedPageBreak/>
        <w:t>Branch risk vs the network’s average</w:t>
      </w:r>
    </w:p>
    <w:p w14:paraId="543B861C" w14:textId="0F41F0BA" w:rsidR="00934D14" w:rsidRPr="00FA0547" w:rsidRDefault="00934D14" w:rsidP="00934D14">
      <w:pPr>
        <w:ind w:left="360"/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drawing>
          <wp:inline distT="0" distB="0" distL="0" distR="0" wp14:anchorId="6FBCD4A7" wp14:editId="69A0C1AD">
            <wp:extent cx="3741744" cy="2027096"/>
            <wp:effectExtent l="0" t="0" r="0" b="0"/>
            <wp:docPr id="6838914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91410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AA29" w14:textId="198FD52B" w:rsidR="00DD6FF9" w:rsidRPr="00FA0547" w:rsidRDefault="000307EC" w:rsidP="000F1329">
      <w:pPr>
        <w:pStyle w:val="ListParagraph"/>
        <w:numPr>
          <w:ilvl w:val="0"/>
          <w:numId w:val="7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t xml:space="preserve"> </w:t>
      </w:r>
      <w:r w:rsidRPr="00FA0547">
        <w:rPr>
          <w:rFonts w:ascii="Open Sans" w:hAnsi="Open Sans" w:cs="Open Sans"/>
          <w:sz w:val="18"/>
          <w:szCs w:val="18"/>
        </w:rPr>
        <w:t>Estimate CLV for retained vs churned customers.</w:t>
      </w:r>
    </w:p>
    <w:p w14:paraId="680CF38C" w14:textId="77777777" w:rsidR="005B6C85" w:rsidRPr="00FA0547" w:rsidRDefault="000D48CE" w:rsidP="000307EC">
      <w:p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73399CF9" wp14:editId="748EABA2">
            <wp:simplePos x="914400" y="4038600"/>
            <wp:positionH relativeFrom="column">
              <wp:align>left</wp:align>
            </wp:positionH>
            <wp:positionV relativeFrom="paragraph">
              <wp:align>top</wp:align>
            </wp:positionV>
            <wp:extent cx="3330229" cy="2682472"/>
            <wp:effectExtent l="0" t="0" r="3810" b="3810"/>
            <wp:wrapSquare wrapText="bothSides"/>
            <wp:docPr id="111345728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57286" name="Picture 1" descr="A screenshot of a computer cod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5167A" w14:textId="77777777" w:rsidR="005B6C85" w:rsidRPr="00FA0547" w:rsidRDefault="005B6C85" w:rsidP="005B6C85">
      <w:pPr>
        <w:rPr>
          <w:rFonts w:ascii="Open Sans" w:hAnsi="Open Sans" w:cs="Open Sans"/>
          <w:sz w:val="18"/>
          <w:szCs w:val="18"/>
        </w:rPr>
      </w:pPr>
    </w:p>
    <w:p w14:paraId="71416BEB" w14:textId="77777777" w:rsidR="005B6C85" w:rsidRPr="00FA0547" w:rsidRDefault="005B6C85" w:rsidP="005B6C85">
      <w:pPr>
        <w:rPr>
          <w:rFonts w:ascii="Open Sans" w:hAnsi="Open Sans" w:cs="Open Sans"/>
          <w:sz w:val="18"/>
          <w:szCs w:val="18"/>
        </w:rPr>
      </w:pPr>
    </w:p>
    <w:p w14:paraId="30861EA7" w14:textId="77777777" w:rsidR="005B6C85" w:rsidRPr="00FA0547" w:rsidRDefault="005B6C85" w:rsidP="005B6C85">
      <w:pPr>
        <w:rPr>
          <w:rFonts w:ascii="Open Sans" w:hAnsi="Open Sans" w:cs="Open Sans"/>
          <w:sz w:val="18"/>
          <w:szCs w:val="18"/>
        </w:rPr>
      </w:pPr>
    </w:p>
    <w:p w14:paraId="1326A27A" w14:textId="77777777" w:rsidR="005B6C85" w:rsidRPr="00FA0547" w:rsidRDefault="005B6C85" w:rsidP="005B6C85">
      <w:pPr>
        <w:rPr>
          <w:rFonts w:ascii="Open Sans" w:hAnsi="Open Sans" w:cs="Open Sans"/>
          <w:sz w:val="18"/>
          <w:szCs w:val="18"/>
        </w:rPr>
      </w:pPr>
    </w:p>
    <w:p w14:paraId="7ACECE17" w14:textId="77777777" w:rsidR="005B6C85" w:rsidRPr="00FA0547" w:rsidRDefault="005B6C85" w:rsidP="005B6C85">
      <w:pPr>
        <w:rPr>
          <w:rFonts w:ascii="Open Sans" w:hAnsi="Open Sans" w:cs="Open Sans"/>
          <w:sz w:val="18"/>
          <w:szCs w:val="18"/>
        </w:rPr>
      </w:pPr>
    </w:p>
    <w:p w14:paraId="2BE53A10" w14:textId="77777777" w:rsidR="005B6C85" w:rsidRPr="00FA0547" w:rsidRDefault="005B6C85" w:rsidP="000307EC">
      <w:pPr>
        <w:rPr>
          <w:rFonts w:ascii="Open Sans" w:hAnsi="Open Sans" w:cs="Open Sans"/>
          <w:sz w:val="18"/>
          <w:szCs w:val="18"/>
        </w:rPr>
      </w:pPr>
    </w:p>
    <w:p w14:paraId="31515824" w14:textId="77777777" w:rsidR="005B6C85" w:rsidRPr="00FA0547" w:rsidRDefault="005B6C85" w:rsidP="005B6C85">
      <w:pPr>
        <w:tabs>
          <w:tab w:val="center" w:pos="1798"/>
        </w:tabs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tab/>
      </w:r>
    </w:p>
    <w:p w14:paraId="44F95EA4" w14:textId="77777777" w:rsidR="00B91384" w:rsidRPr="00FA0547" w:rsidRDefault="00B91384" w:rsidP="005B6C85">
      <w:pPr>
        <w:tabs>
          <w:tab w:val="center" w:pos="1798"/>
        </w:tabs>
        <w:rPr>
          <w:rFonts w:ascii="Open Sans" w:hAnsi="Open Sans" w:cs="Open Sans"/>
          <w:sz w:val="18"/>
          <w:szCs w:val="18"/>
        </w:rPr>
      </w:pPr>
    </w:p>
    <w:p w14:paraId="78BA1CE3" w14:textId="77777777" w:rsidR="001B5672" w:rsidRDefault="001B5672" w:rsidP="005B6C85">
      <w:pPr>
        <w:tabs>
          <w:tab w:val="center" w:pos="1798"/>
        </w:tabs>
        <w:rPr>
          <w:rFonts w:ascii="Open Sans" w:hAnsi="Open Sans" w:cs="Open Sans"/>
          <w:b/>
          <w:bCs/>
          <w:sz w:val="18"/>
          <w:szCs w:val="18"/>
        </w:rPr>
      </w:pPr>
    </w:p>
    <w:p w14:paraId="791BE973" w14:textId="299CA030" w:rsidR="000307EC" w:rsidRDefault="00B91384" w:rsidP="005B6C85">
      <w:pPr>
        <w:tabs>
          <w:tab w:val="center" w:pos="1798"/>
        </w:tabs>
        <w:rPr>
          <w:rFonts w:ascii="Open Sans" w:hAnsi="Open Sans" w:cs="Open Sans"/>
          <w:b/>
          <w:bCs/>
          <w:sz w:val="18"/>
          <w:szCs w:val="18"/>
        </w:rPr>
      </w:pPr>
      <w:r w:rsidRPr="00FA0547">
        <w:rPr>
          <w:rFonts w:ascii="Open Sans" w:hAnsi="Open Sans" w:cs="Open Sans"/>
          <w:b/>
          <w:bCs/>
          <w:sz w:val="18"/>
          <w:szCs w:val="18"/>
        </w:rPr>
        <w:lastRenderedPageBreak/>
        <w:t>Microsoft Power BI Views</w:t>
      </w:r>
      <w:r w:rsidR="005B6C85" w:rsidRPr="00FA0547">
        <w:rPr>
          <w:rFonts w:ascii="Open Sans" w:hAnsi="Open Sans" w:cs="Open Sans"/>
          <w:b/>
          <w:bCs/>
          <w:sz w:val="18"/>
          <w:szCs w:val="18"/>
        </w:rPr>
        <w:br w:type="textWrapping" w:clear="all"/>
      </w:r>
      <w:r w:rsidR="003556D0" w:rsidRPr="00FA0547">
        <w:rPr>
          <w:rFonts w:ascii="Open Sans" w:hAnsi="Open Sans" w:cs="Open Sans"/>
          <w:b/>
          <w:bCs/>
          <w:sz w:val="18"/>
          <w:szCs w:val="18"/>
        </w:rPr>
        <w:drawing>
          <wp:inline distT="0" distB="0" distL="0" distR="0" wp14:anchorId="12B713CB" wp14:editId="69F61AA9">
            <wp:extent cx="5731510" cy="3210560"/>
            <wp:effectExtent l="0" t="0" r="2540" b="8890"/>
            <wp:docPr id="155248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836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585F" w14:textId="7CF767FD" w:rsidR="00B67382" w:rsidRPr="00B67382" w:rsidRDefault="00BB2DA3" w:rsidP="005B6C85">
      <w:pPr>
        <w:tabs>
          <w:tab w:val="center" w:pos="1798"/>
        </w:tabs>
        <w:rPr>
          <w:rStyle w:val="Emphasis"/>
          <w:sz w:val="12"/>
          <w:szCs w:val="12"/>
        </w:rPr>
      </w:pPr>
      <w:r>
        <w:rPr>
          <w:rStyle w:val="Emphasis"/>
          <w:sz w:val="12"/>
          <w:szCs w:val="12"/>
        </w:rPr>
        <w:t>Executive Dashboard</w:t>
      </w:r>
    </w:p>
    <w:p w14:paraId="44B5B36A" w14:textId="0DD6F5BC" w:rsidR="00F51C84" w:rsidRDefault="00F51C84" w:rsidP="005B6C85">
      <w:pPr>
        <w:tabs>
          <w:tab w:val="center" w:pos="1798"/>
        </w:tabs>
        <w:rPr>
          <w:rFonts w:ascii="Open Sans" w:hAnsi="Open Sans" w:cs="Open Sans"/>
          <w:b/>
          <w:bCs/>
          <w:sz w:val="18"/>
          <w:szCs w:val="18"/>
        </w:rPr>
      </w:pPr>
      <w:r w:rsidRPr="00FA0547">
        <w:rPr>
          <w:rFonts w:ascii="Open Sans" w:hAnsi="Open Sans" w:cs="Open Sans"/>
          <w:b/>
          <w:bCs/>
          <w:sz w:val="18"/>
          <w:szCs w:val="18"/>
        </w:rPr>
        <w:drawing>
          <wp:inline distT="0" distB="0" distL="0" distR="0" wp14:anchorId="0A9DD623" wp14:editId="453A45A6">
            <wp:extent cx="5731510" cy="3198495"/>
            <wp:effectExtent l="0" t="0" r="2540" b="1905"/>
            <wp:docPr id="278658463" name="Picture 1" descr="A screenshot of a data present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58463" name="Picture 1" descr="A screenshot of a data presentatio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4379" w14:textId="15A408D2" w:rsidR="00BB2DA3" w:rsidRPr="00B67382" w:rsidRDefault="0041342C" w:rsidP="00BB2DA3">
      <w:pPr>
        <w:tabs>
          <w:tab w:val="center" w:pos="1798"/>
        </w:tabs>
        <w:rPr>
          <w:rStyle w:val="Emphasis"/>
          <w:sz w:val="12"/>
          <w:szCs w:val="12"/>
        </w:rPr>
      </w:pPr>
      <w:r>
        <w:rPr>
          <w:rStyle w:val="Emphasis"/>
          <w:sz w:val="12"/>
          <w:szCs w:val="12"/>
        </w:rPr>
        <w:t>Customer Insigh</w:t>
      </w:r>
      <w:r w:rsidR="00857DF6">
        <w:rPr>
          <w:rStyle w:val="Emphasis"/>
          <w:sz w:val="12"/>
          <w:szCs w:val="12"/>
        </w:rPr>
        <w:t>t</w:t>
      </w:r>
      <w:r>
        <w:rPr>
          <w:rStyle w:val="Emphasis"/>
          <w:sz w:val="12"/>
          <w:szCs w:val="12"/>
        </w:rPr>
        <w:t>s</w:t>
      </w:r>
    </w:p>
    <w:p w14:paraId="4DFE1F80" w14:textId="77777777" w:rsidR="00BB2DA3" w:rsidRPr="00FA0547" w:rsidRDefault="00BB2DA3" w:rsidP="005B6C85">
      <w:pPr>
        <w:tabs>
          <w:tab w:val="center" w:pos="1798"/>
        </w:tabs>
        <w:rPr>
          <w:rFonts w:ascii="Open Sans" w:hAnsi="Open Sans" w:cs="Open Sans"/>
          <w:b/>
          <w:bCs/>
          <w:sz w:val="18"/>
          <w:szCs w:val="18"/>
        </w:rPr>
      </w:pPr>
    </w:p>
    <w:p w14:paraId="3836E655" w14:textId="2ED9BFD0" w:rsidR="00857DF6" w:rsidRPr="00FA0547" w:rsidRDefault="00605143" w:rsidP="005B6C85">
      <w:pPr>
        <w:tabs>
          <w:tab w:val="center" w:pos="1798"/>
        </w:tabs>
        <w:rPr>
          <w:rFonts w:ascii="Open Sans" w:hAnsi="Open Sans" w:cs="Open Sans"/>
          <w:b/>
          <w:bCs/>
          <w:sz w:val="18"/>
          <w:szCs w:val="18"/>
        </w:rPr>
      </w:pPr>
      <w:r w:rsidRPr="00FA0547">
        <w:rPr>
          <w:rFonts w:ascii="Open Sans" w:hAnsi="Open Sans" w:cs="Open Sans"/>
          <w:b/>
          <w:bCs/>
          <w:sz w:val="18"/>
          <w:szCs w:val="18"/>
        </w:rPr>
        <w:lastRenderedPageBreak/>
        <w:drawing>
          <wp:inline distT="0" distB="0" distL="0" distR="0" wp14:anchorId="10158999" wp14:editId="0952075F">
            <wp:extent cx="5731510" cy="3223895"/>
            <wp:effectExtent l="0" t="0" r="2540" b="0"/>
            <wp:docPr id="106562946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29466" name="Picture 1" descr="A screenshot of a graph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DF6">
        <w:rPr>
          <w:rStyle w:val="Emphasis"/>
          <w:sz w:val="12"/>
          <w:szCs w:val="12"/>
        </w:rPr>
        <w:t>Accounts &amp; transaction analysis</w:t>
      </w:r>
    </w:p>
    <w:p w14:paraId="1F3E3E85" w14:textId="5BEF211E" w:rsidR="000D48CE" w:rsidRPr="00FA0547" w:rsidRDefault="00242ACB" w:rsidP="000307EC">
      <w:p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b/>
          <w:bCs/>
          <w:sz w:val="18"/>
          <w:szCs w:val="18"/>
        </w:rPr>
        <w:t>Finance Math Proxies:</w:t>
      </w:r>
      <w:r w:rsidRPr="00FA0547">
        <w:rPr>
          <w:rFonts w:ascii="Open Sans" w:hAnsi="Open Sans" w:cs="Open Sans"/>
          <w:sz w:val="18"/>
          <w:szCs w:val="18"/>
        </w:rPr>
        <w:t xml:space="preserve"> CLV estimates, risk exposure indices, Pareto contribution analysis.</w:t>
      </w:r>
    </w:p>
    <w:p w14:paraId="57557D19" w14:textId="462DD576" w:rsidR="00934D14" w:rsidRPr="00FA0547" w:rsidRDefault="00A93015" w:rsidP="005F6F23">
      <w:p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b/>
          <w:bCs/>
          <w:sz w:val="18"/>
          <w:szCs w:val="18"/>
        </w:rPr>
        <w:t>DAX Measures:</w:t>
      </w:r>
      <w:r w:rsidRPr="00FA0547">
        <w:rPr>
          <w:rFonts w:ascii="Open Sans" w:hAnsi="Open Sans" w:cs="Open Sans"/>
          <w:sz w:val="18"/>
          <w:szCs w:val="18"/>
        </w:rPr>
        <w:t xml:space="preserve"> KPIs for total customers, active accounts, risky accounts %, transaction volume YTD.</w:t>
      </w:r>
    </w:p>
    <w:p w14:paraId="734B368D" w14:textId="77777777" w:rsidR="001F46F5" w:rsidRPr="00FA0547" w:rsidRDefault="00FF1B0E" w:rsidP="001F46F5">
      <w:p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pict w14:anchorId="18154648">
          <v:rect id="_x0000_i1027" style="width:0;height:1.5pt" o:hralign="center" o:hrstd="t" o:hr="t" fillcolor="#a0a0a0" stroked="f"/>
        </w:pict>
      </w:r>
    </w:p>
    <w:p w14:paraId="71331A31" w14:textId="77777777" w:rsidR="00DF0890" w:rsidRDefault="00366D34">
      <w:pPr>
        <w:rPr>
          <w:rFonts w:ascii="Open Sans" w:hAnsi="Open Sans" w:cs="Open Sans"/>
          <w:b/>
          <w:bCs/>
          <w:sz w:val="20"/>
          <w:szCs w:val="20"/>
        </w:rPr>
      </w:pPr>
      <w:r w:rsidRPr="00FA0547">
        <w:rPr>
          <w:rFonts w:ascii="Open Sans" w:hAnsi="Open Sans" w:cs="Open Sans"/>
          <w:b/>
          <w:bCs/>
          <w:sz w:val="20"/>
          <w:szCs w:val="20"/>
        </w:rPr>
        <w:t>Analysis &amp; Insights</w:t>
      </w:r>
    </w:p>
    <w:p w14:paraId="720363EC" w14:textId="602BD1FA" w:rsidR="00DF0890" w:rsidRPr="004A18BD" w:rsidRDefault="00716825" w:rsidP="004A18BD">
      <w:pPr>
        <w:rPr>
          <w:rFonts w:ascii="Open Sans" w:hAnsi="Open Sans" w:cs="Open Sans"/>
          <w:b/>
          <w:bCs/>
          <w:sz w:val="20"/>
          <w:szCs w:val="20"/>
        </w:rPr>
      </w:pPr>
      <w:r w:rsidRPr="004A18BD">
        <w:rPr>
          <w:rFonts w:ascii="Open Sans" w:hAnsi="Open Sans" w:cs="Open Sans"/>
          <w:b/>
          <w:bCs/>
          <w:sz w:val="18"/>
          <w:szCs w:val="18"/>
        </w:rPr>
        <w:t>Customer Profitability</w:t>
      </w:r>
    </w:p>
    <w:p w14:paraId="7C773A99" w14:textId="3B52C95A" w:rsidR="002500E1" w:rsidRPr="00DF0890" w:rsidRDefault="00993A3D" w:rsidP="00DF0890">
      <w:pPr>
        <w:pStyle w:val="ListParagraph"/>
        <w:numPr>
          <w:ilvl w:val="0"/>
          <w:numId w:val="12"/>
        </w:numPr>
        <w:rPr>
          <w:rFonts w:ascii="Open Sans" w:hAnsi="Open Sans" w:cs="Open Sans"/>
          <w:b/>
          <w:bCs/>
          <w:sz w:val="20"/>
          <w:szCs w:val="20"/>
        </w:rPr>
      </w:pPr>
      <w:r w:rsidRPr="00DF0890">
        <w:rPr>
          <w:rFonts w:ascii="Open Sans" w:hAnsi="Open Sans" w:cs="Open Sans"/>
          <w:sz w:val="18"/>
          <w:szCs w:val="18"/>
        </w:rPr>
        <w:t>Northern Cape customers show the highest</w:t>
      </w:r>
      <w:r w:rsidR="00F613C2" w:rsidRPr="00DF0890">
        <w:rPr>
          <w:rFonts w:ascii="Open Sans" w:hAnsi="Open Sans" w:cs="Open Sans"/>
          <w:sz w:val="18"/>
          <w:szCs w:val="18"/>
        </w:rPr>
        <w:t xml:space="preserve"> average net amounts.</w:t>
      </w:r>
    </w:p>
    <w:p w14:paraId="1508C9F8" w14:textId="77777777" w:rsidR="00DF0890" w:rsidRPr="00DF0890" w:rsidRDefault="00F613C2" w:rsidP="00DF0890">
      <w:pPr>
        <w:pStyle w:val="ListParagraph"/>
        <w:numPr>
          <w:ilvl w:val="0"/>
          <w:numId w:val="12"/>
        </w:numPr>
        <w:rPr>
          <w:rFonts w:ascii="Open Sans" w:hAnsi="Open Sans" w:cs="Open Sans"/>
          <w:b/>
          <w:bCs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t>Top decile drives majority of balances</w:t>
      </w:r>
      <w:r w:rsidR="00DC130B" w:rsidRPr="00FA0547">
        <w:rPr>
          <w:rFonts w:ascii="Open Sans" w:hAnsi="Open Sans" w:cs="Open Sans"/>
          <w:sz w:val="18"/>
          <w:szCs w:val="18"/>
        </w:rPr>
        <w:t>, showing a strong Pareto effect.</w:t>
      </w:r>
    </w:p>
    <w:p w14:paraId="45DE2EFF" w14:textId="24359CB1" w:rsidR="00832FAB" w:rsidRPr="00832FAB" w:rsidRDefault="00F53BF8" w:rsidP="00832FAB">
      <w:pPr>
        <w:rPr>
          <w:rFonts w:ascii="Open Sans" w:hAnsi="Open Sans" w:cs="Open Sans"/>
          <w:b/>
          <w:bCs/>
          <w:sz w:val="18"/>
          <w:szCs w:val="18"/>
        </w:rPr>
      </w:pPr>
      <w:r w:rsidRPr="004A18BD">
        <w:rPr>
          <w:rFonts w:ascii="Open Sans" w:hAnsi="Open Sans" w:cs="Open Sans"/>
          <w:b/>
          <w:bCs/>
          <w:sz w:val="18"/>
          <w:szCs w:val="18"/>
        </w:rPr>
        <w:t>Account Health</w:t>
      </w:r>
    </w:p>
    <w:tbl>
      <w:tblPr>
        <w:tblpPr w:leftFromText="180" w:rightFromText="180" w:vertAnchor="text" w:horzAnchor="margin" w:tblpY="236"/>
        <w:tblW w:w="9155" w:type="dxa"/>
        <w:tblLook w:val="04A0" w:firstRow="1" w:lastRow="0" w:firstColumn="1" w:lastColumn="0" w:noHBand="0" w:noVBand="1"/>
      </w:tblPr>
      <w:tblGrid>
        <w:gridCol w:w="1323"/>
        <w:gridCol w:w="1245"/>
        <w:gridCol w:w="1232"/>
        <w:gridCol w:w="1262"/>
        <w:gridCol w:w="1508"/>
        <w:gridCol w:w="1031"/>
        <w:gridCol w:w="1554"/>
      </w:tblGrid>
      <w:tr w:rsidR="006E3301" w:rsidRPr="006E3301" w14:paraId="10D5B561" w14:textId="77777777" w:rsidTr="006E3301">
        <w:trPr>
          <w:trHeight w:val="243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800000"/>
            <w:noWrap/>
            <w:vAlign w:val="bottom"/>
            <w:hideMark/>
          </w:tcPr>
          <w:p w14:paraId="2EAFC330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n-ZA"/>
                <w14:ligatures w14:val="none"/>
              </w:rPr>
              <w:t>Account Type</w:t>
            </w:r>
          </w:p>
        </w:tc>
        <w:tc>
          <w:tcPr>
            <w:tcW w:w="12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800000"/>
            <w:noWrap/>
            <w:vAlign w:val="bottom"/>
            <w:hideMark/>
          </w:tcPr>
          <w:p w14:paraId="27DFD4CB" w14:textId="103CA3B0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n-ZA"/>
                <w14:ligatures w14:val="none"/>
              </w:rPr>
              <w:t xml:space="preserve">Average </w:t>
            </w:r>
            <w:r w:rsidRPr="006E330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n-ZA"/>
                <w14:ligatures w14:val="none"/>
              </w:rPr>
              <w:t>Balance</w:t>
            </w:r>
          </w:p>
        </w:tc>
        <w:tc>
          <w:tcPr>
            <w:tcW w:w="12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800000"/>
            <w:noWrap/>
            <w:vAlign w:val="bottom"/>
            <w:hideMark/>
          </w:tcPr>
          <w:p w14:paraId="50F326BE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n-ZA"/>
                <w14:ligatures w14:val="none"/>
              </w:rPr>
              <w:t>Minimum Balance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800000"/>
            <w:noWrap/>
            <w:vAlign w:val="bottom"/>
            <w:hideMark/>
          </w:tcPr>
          <w:p w14:paraId="1B222D4E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n-ZA"/>
                <w14:ligatures w14:val="none"/>
              </w:rPr>
              <w:t>Maximum Balance</w:t>
            </w:r>
          </w:p>
        </w:tc>
        <w:tc>
          <w:tcPr>
            <w:tcW w:w="15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800000"/>
            <w:noWrap/>
            <w:vAlign w:val="bottom"/>
            <w:hideMark/>
          </w:tcPr>
          <w:p w14:paraId="0930BA7E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n-ZA"/>
                <w14:ligatures w14:val="none"/>
              </w:rPr>
              <w:t>25th Percentile</w:t>
            </w:r>
          </w:p>
        </w:tc>
        <w:tc>
          <w:tcPr>
            <w:tcW w:w="10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800000"/>
            <w:noWrap/>
            <w:vAlign w:val="bottom"/>
            <w:hideMark/>
          </w:tcPr>
          <w:p w14:paraId="2D6F2D3F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n-ZA"/>
                <w14:ligatures w14:val="none"/>
              </w:rPr>
              <w:t>Median</w:t>
            </w:r>
          </w:p>
        </w:tc>
        <w:tc>
          <w:tcPr>
            <w:tcW w:w="15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800000"/>
            <w:noWrap/>
            <w:vAlign w:val="bottom"/>
            <w:hideMark/>
          </w:tcPr>
          <w:p w14:paraId="1D278994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16"/>
                <w:szCs w:val="16"/>
                <w:lang w:eastAsia="en-ZA"/>
                <w14:ligatures w14:val="none"/>
              </w:rPr>
              <w:t>75th Percentile</w:t>
            </w:r>
          </w:p>
        </w:tc>
      </w:tr>
      <w:tr w:rsidR="006E3301" w:rsidRPr="006E3301" w14:paraId="17EE377D" w14:textId="77777777" w:rsidTr="006E3301">
        <w:trPr>
          <w:trHeight w:val="243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719C1012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Investment</w:t>
            </w:r>
          </w:p>
        </w:tc>
        <w:tc>
          <w:tcPr>
            <w:tcW w:w="12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B216779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7035.14</w:t>
            </w:r>
          </w:p>
        </w:tc>
        <w:tc>
          <w:tcPr>
            <w:tcW w:w="12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B8B33D9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-41030.8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650C9B9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120000.0</w:t>
            </w:r>
          </w:p>
        </w:tc>
        <w:tc>
          <w:tcPr>
            <w:tcW w:w="15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4579966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-12355.7</w:t>
            </w:r>
          </w:p>
        </w:tc>
        <w:tc>
          <w:tcPr>
            <w:tcW w:w="10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4FA493B4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3863.5</w:t>
            </w:r>
          </w:p>
        </w:tc>
        <w:tc>
          <w:tcPr>
            <w:tcW w:w="15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77C33C53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23029.7</w:t>
            </w:r>
          </w:p>
        </w:tc>
      </w:tr>
      <w:tr w:rsidR="006E3301" w:rsidRPr="006E3301" w14:paraId="64F782A4" w14:textId="77777777" w:rsidTr="006E3301">
        <w:trPr>
          <w:trHeight w:val="243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8D3694A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Credit Card</w:t>
            </w:r>
          </w:p>
        </w:tc>
        <w:tc>
          <w:tcPr>
            <w:tcW w:w="12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17AFC2C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14140.85</w:t>
            </w:r>
          </w:p>
        </w:tc>
        <w:tc>
          <w:tcPr>
            <w:tcW w:w="12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628F7FA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-50650.7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CBE236A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245145.8</w:t>
            </w:r>
          </w:p>
        </w:tc>
        <w:tc>
          <w:tcPr>
            <w:tcW w:w="15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5615B12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-2730.88</w:t>
            </w:r>
          </w:p>
        </w:tc>
        <w:tc>
          <w:tcPr>
            <w:tcW w:w="10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2EF98E8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7082.85</w:t>
            </w:r>
          </w:p>
        </w:tc>
        <w:tc>
          <w:tcPr>
            <w:tcW w:w="15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CC9CE2D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21614.55</w:t>
            </w:r>
          </w:p>
        </w:tc>
      </w:tr>
      <w:tr w:rsidR="006E3301" w:rsidRPr="006E3301" w14:paraId="4C609F6B" w14:textId="77777777" w:rsidTr="006E3301">
        <w:trPr>
          <w:trHeight w:val="243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65BB5CF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Savings</w:t>
            </w:r>
          </w:p>
        </w:tc>
        <w:tc>
          <w:tcPr>
            <w:tcW w:w="12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75A6CB7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12083.79</w:t>
            </w:r>
          </w:p>
        </w:tc>
        <w:tc>
          <w:tcPr>
            <w:tcW w:w="12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330969E5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-45128.8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0B303FA0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247573.1</w:t>
            </w:r>
          </w:p>
        </w:tc>
        <w:tc>
          <w:tcPr>
            <w:tcW w:w="15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50590E6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-5456.8</w:t>
            </w:r>
          </w:p>
        </w:tc>
        <w:tc>
          <w:tcPr>
            <w:tcW w:w="10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194B519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7380.2</w:t>
            </w:r>
          </w:p>
        </w:tc>
        <w:tc>
          <w:tcPr>
            <w:tcW w:w="15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50F46F5A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21887.1</w:t>
            </w:r>
          </w:p>
        </w:tc>
      </w:tr>
      <w:tr w:rsidR="006E3301" w:rsidRPr="006E3301" w14:paraId="3484CCE2" w14:textId="77777777" w:rsidTr="006E3301">
        <w:trPr>
          <w:trHeight w:val="243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1D0AFE7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Current</w:t>
            </w:r>
          </w:p>
        </w:tc>
        <w:tc>
          <w:tcPr>
            <w:tcW w:w="12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DF8F734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10640.57</w:t>
            </w:r>
          </w:p>
        </w:tc>
        <w:tc>
          <w:tcPr>
            <w:tcW w:w="12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33047E7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-50861.7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E4343BC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219868.9</w:t>
            </w:r>
          </w:p>
        </w:tc>
        <w:tc>
          <w:tcPr>
            <w:tcW w:w="15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658A3C77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-7319.18</w:t>
            </w:r>
          </w:p>
        </w:tc>
        <w:tc>
          <w:tcPr>
            <w:tcW w:w="10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33E91C7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7156.3</w:t>
            </w:r>
          </w:p>
        </w:tc>
        <w:tc>
          <w:tcPr>
            <w:tcW w:w="15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6B2C07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21159.65</w:t>
            </w:r>
          </w:p>
        </w:tc>
      </w:tr>
      <w:tr w:rsidR="006E3301" w:rsidRPr="006E3301" w14:paraId="5A589379" w14:textId="77777777" w:rsidTr="006E3301">
        <w:trPr>
          <w:trHeight w:val="243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5B4B764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Money Market</w:t>
            </w:r>
          </w:p>
        </w:tc>
        <w:tc>
          <w:tcPr>
            <w:tcW w:w="12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0EC677E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8293.45</w:t>
            </w:r>
          </w:p>
        </w:tc>
        <w:tc>
          <w:tcPr>
            <w:tcW w:w="12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684B49C0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-43270.1</w:t>
            </w:r>
          </w:p>
        </w:tc>
        <w:tc>
          <w:tcPr>
            <w:tcW w:w="12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2B594A0E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91437.5</w:t>
            </w:r>
          </w:p>
        </w:tc>
        <w:tc>
          <w:tcPr>
            <w:tcW w:w="15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1B7AC5DE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-8084.13</w:t>
            </w:r>
          </w:p>
        </w:tc>
        <w:tc>
          <w:tcPr>
            <w:tcW w:w="103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noWrap/>
            <w:vAlign w:val="bottom"/>
            <w:hideMark/>
          </w:tcPr>
          <w:p w14:paraId="500593C3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4591.6</w:t>
            </w:r>
          </w:p>
        </w:tc>
        <w:tc>
          <w:tcPr>
            <w:tcW w:w="15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14:paraId="01028FF0" w14:textId="77777777" w:rsidR="006E3301" w:rsidRPr="006E3301" w:rsidRDefault="006E3301" w:rsidP="006E330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6E330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20381.3</w:t>
            </w:r>
          </w:p>
        </w:tc>
      </w:tr>
    </w:tbl>
    <w:p w14:paraId="35FEB8A9" w14:textId="1942BA6A" w:rsidR="006E3301" w:rsidRDefault="006E3301" w:rsidP="006E3301">
      <w:pPr>
        <w:rPr>
          <w:rFonts w:ascii="Open Sans" w:hAnsi="Open Sans" w:cs="Open Sans"/>
          <w:sz w:val="18"/>
          <w:szCs w:val="18"/>
        </w:rPr>
      </w:pPr>
    </w:p>
    <w:p w14:paraId="5397A3D9" w14:textId="1B7492D3" w:rsidR="006E3301" w:rsidRDefault="006E3301" w:rsidP="006E3301">
      <w:pPr>
        <w:rPr>
          <w:rFonts w:ascii="Open Sans" w:hAnsi="Open Sans" w:cs="Open Sans"/>
          <w:i/>
          <w:iCs/>
          <w:sz w:val="18"/>
          <w:szCs w:val="18"/>
        </w:rPr>
      </w:pPr>
      <w:r w:rsidRPr="006E3301">
        <w:rPr>
          <w:rFonts w:ascii="Open Sans" w:hAnsi="Open Sans" w:cs="Open Sans"/>
          <w:i/>
          <w:iCs/>
          <w:sz w:val="18"/>
          <w:szCs w:val="18"/>
        </w:rPr>
        <w:t>Credit Card Accounts Drive Value, and risk</w:t>
      </w:r>
    </w:p>
    <w:p w14:paraId="651C70B9" w14:textId="5382A2AF" w:rsidR="006E3301" w:rsidRDefault="006E3301" w:rsidP="006E3301">
      <w:pPr>
        <w:pStyle w:val="ListParagraph"/>
        <w:numPr>
          <w:ilvl w:val="0"/>
          <w:numId w:val="17"/>
        </w:numPr>
        <w:rPr>
          <w:rFonts w:ascii="Open Sans" w:hAnsi="Open Sans" w:cs="Open Sans"/>
          <w:sz w:val="18"/>
          <w:szCs w:val="18"/>
        </w:rPr>
      </w:pPr>
      <w:r w:rsidRPr="006E3301">
        <w:rPr>
          <w:rFonts w:ascii="Open Sans" w:hAnsi="Open Sans" w:cs="Open Sans"/>
          <w:sz w:val="18"/>
          <w:szCs w:val="18"/>
        </w:rPr>
        <w:t>Highest average balance (</w:t>
      </w:r>
      <w:r w:rsidRPr="00894F52">
        <w:rPr>
          <w:rFonts w:ascii="Open Sans" w:hAnsi="Open Sans" w:cs="Open Sans"/>
          <w:sz w:val="18"/>
          <w:szCs w:val="18"/>
        </w:rPr>
        <w:t>R14.1K</w:t>
      </w:r>
      <w:r w:rsidRPr="006E3301">
        <w:rPr>
          <w:rFonts w:ascii="Open Sans" w:hAnsi="Open Sans" w:cs="Open Sans"/>
          <w:sz w:val="18"/>
          <w:szCs w:val="18"/>
        </w:rPr>
        <w:t>) and widest range (</w:t>
      </w:r>
      <w:r w:rsidRPr="00894F52">
        <w:rPr>
          <w:rFonts w:ascii="Open Sans" w:hAnsi="Open Sans" w:cs="Open Sans"/>
          <w:sz w:val="18"/>
          <w:szCs w:val="18"/>
        </w:rPr>
        <w:t>–R50K</w:t>
      </w:r>
      <w:r w:rsidRPr="006E3301">
        <w:rPr>
          <w:rFonts w:ascii="Open Sans" w:hAnsi="Open Sans" w:cs="Open Sans"/>
          <w:sz w:val="18"/>
          <w:szCs w:val="18"/>
        </w:rPr>
        <w:t xml:space="preserve"> to </w:t>
      </w:r>
      <w:r w:rsidRPr="00894F52">
        <w:rPr>
          <w:rFonts w:ascii="Open Sans" w:hAnsi="Open Sans" w:cs="Open Sans"/>
          <w:sz w:val="18"/>
          <w:szCs w:val="18"/>
        </w:rPr>
        <w:t>R245K</w:t>
      </w:r>
      <w:r w:rsidRPr="006E3301">
        <w:rPr>
          <w:rFonts w:ascii="Open Sans" w:hAnsi="Open Sans" w:cs="Open Sans"/>
          <w:sz w:val="18"/>
          <w:szCs w:val="18"/>
        </w:rPr>
        <w:t>).</w:t>
      </w:r>
    </w:p>
    <w:p w14:paraId="6DD8C555" w14:textId="3CAB6D31" w:rsidR="006E3301" w:rsidRDefault="006E3301" w:rsidP="006E3301">
      <w:pPr>
        <w:pStyle w:val="ListParagraph"/>
        <w:numPr>
          <w:ilvl w:val="0"/>
          <w:numId w:val="17"/>
        </w:numPr>
        <w:rPr>
          <w:rFonts w:ascii="Open Sans" w:hAnsi="Open Sans" w:cs="Open Sans"/>
          <w:sz w:val="18"/>
          <w:szCs w:val="18"/>
        </w:rPr>
      </w:pPr>
      <w:r w:rsidRPr="006E3301">
        <w:rPr>
          <w:rFonts w:ascii="Open Sans" w:hAnsi="Open Sans" w:cs="Open Sans"/>
          <w:sz w:val="18"/>
          <w:szCs w:val="18"/>
        </w:rPr>
        <w:t>Indicates strong usage but also potential overexposure.</w:t>
      </w:r>
    </w:p>
    <w:p w14:paraId="3692B389" w14:textId="4513F0F2" w:rsidR="00894F52" w:rsidRDefault="006E3301" w:rsidP="006E3301">
      <w:pPr>
        <w:pStyle w:val="ListParagraph"/>
        <w:numPr>
          <w:ilvl w:val="0"/>
          <w:numId w:val="17"/>
        </w:numPr>
        <w:rPr>
          <w:rFonts w:ascii="Open Sans" w:hAnsi="Open Sans" w:cs="Open Sans"/>
          <w:sz w:val="18"/>
          <w:szCs w:val="18"/>
        </w:rPr>
      </w:pPr>
      <w:r w:rsidRPr="006E3301">
        <w:rPr>
          <w:rFonts w:ascii="Open Sans" w:hAnsi="Open Sans" w:cs="Open Sans"/>
          <w:b/>
          <w:bCs/>
          <w:sz w:val="18"/>
          <w:szCs w:val="18"/>
        </w:rPr>
        <w:t>Recommendation:</w:t>
      </w:r>
      <w:r w:rsidRPr="006E3301">
        <w:rPr>
          <w:rFonts w:ascii="Open Sans" w:hAnsi="Open Sans" w:cs="Open Sans"/>
          <w:sz w:val="18"/>
          <w:szCs w:val="18"/>
        </w:rPr>
        <w:t xml:space="preserve"> Tighten credit limits or monitor high-balance accounts for risk.</w:t>
      </w:r>
    </w:p>
    <w:p w14:paraId="5D55F139" w14:textId="595C27CA" w:rsidR="006E3301" w:rsidRPr="00894F52" w:rsidRDefault="00894F52" w:rsidP="00894F52">
      <w:pPr>
        <w:rPr>
          <w:rFonts w:ascii="Open Sans" w:hAnsi="Open Sans" w:cs="Open Sans"/>
          <w:sz w:val="18"/>
          <w:szCs w:val="18"/>
        </w:rPr>
      </w:pPr>
      <w:r>
        <w:rPr>
          <w:rFonts w:ascii="Open Sans" w:hAnsi="Open Sans" w:cs="Open Sans"/>
          <w:sz w:val="18"/>
          <w:szCs w:val="18"/>
        </w:rPr>
        <w:br w:type="page"/>
      </w:r>
    </w:p>
    <w:p w14:paraId="37E1CF3E" w14:textId="6E5529EC" w:rsidR="006E3301" w:rsidRDefault="00894F52" w:rsidP="006E3301">
      <w:pPr>
        <w:rPr>
          <w:rFonts w:ascii="Open Sans" w:hAnsi="Open Sans" w:cs="Open Sans"/>
          <w:i/>
          <w:iCs/>
          <w:sz w:val="18"/>
          <w:szCs w:val="18"/>
        </w:rPr>
      </w:pPr>
      <w:r w:rsidRPr="00894F52">
        <w:rPr>
          <w:rFonts w:ascii="Open Sans" w:hAnsi="Open Sans" w:cs="Open Sans"/>
          <w:i/>
          <w:iCs/>
          <w:sz w:val="18"/>
          <w:szCs w:val="18"/>
        </w:rPr>
        <w:t>Savings Accounts Show Stable Mid-Tier Performance</w:t>
      </w:r>
    </w:p>
    <w:p w14:paraId="560DA646" w14:textId="550A3C7E" w:rsidR="00894F52" w:rsidRPr="00894F52" w:rsidRDefault="00894F52" w:rsidP="00894F52">
      <w:pPr>
        <w:pStyle w:val="ListParagraph"/>
        <w:numPr>
          <w:ilvl w:val="0"/>
          <w:numId w:val="18"/>
        </w:numPr>
        <w:rPr>
          <w:rFonts w:ascii="Open Sans" w:hAnsi="Open Sans" w:cs="Open Sans"/>
          <w:i/>
          <w:iCs/>
          <w:sz w:val="18"/>
          <w:szCs w:val="18"/>
        </w:rPr>
      </w:pPr>
      <w:r w:rsidRPr="00894F52">
        <w:rPr>
          <w:rFonts w:ascii="Open Sans" w:hAnsi="Open Sans" w:cs="Open Sans"/>
          <w:sz w:val="18"/>
          <w:szCs w:val="18"/>
        </w:rPr>
        <w:t>Median (R7.3K) and average (R12K) are tightly aligned.</w:t>
      </w:r>
    </w:p>
    <w:p w14:paraId="46DE7460" w14:textId="1ACB6B31" w:rsidR="00894F52" w:rsidRPr="00894F52" w:rsidRDefault="00894F52" w:rsidP="00894F52">
      <w:pPr>
        <w:pStyle w:val="ListParagraph"/>
        <w:numPr>
          <w:ilvl w:val="0"/>
          <w:numId w:val="18"/>
        </w:numPr>
        <w:rPr>
          <w:rFonts w:ascii="Open Sans" w:hAnsi="Open Sans" w:cs="Open Sans"/>
          <w:i/>
          <w:iCs/>
          <w:sz w:val="18"/>
          <w:szCs w:val="18"/>
        </w:rPr>
      </w:pPr>
      <w:r>
        <w:rPr>
          <w:rFonts w:ascii="Open Sans" w:hAnsi="Open Sans" w:cs="Open Sans"/>
          <w:sz w:val="18"/>
          <w:szCs w:val="18"/>
        </w:rPr>
        <w:t>Highest max balance (R247K) suggests long-term deposit behaviour.</w:t>
      </w:r>
    </w:p>
    <w:p w14:paraId="78AEAC57" w14:textId="39D54396" w:rsidR="00894F52" w:rsidRPr="00894F52" w:rsidRDefault="00894F52" w:rsidP="00894F52">
      <w:pPr>
        <w:pStyle w:val="ListParagraph"/>
        <w:numPr>
          <w:ilvl w:val="0"/>
          <w:numId w:val="18"/>
        </w:numPr>
        <w:rPr>
          <w:rFonts w:ascii="Open Sans" w:hAnsi="Open Sans" w:cs="Open Sans"/>
          <w:i/>
          <w:iCs/>
          <w:sz w:val="18"/>
          <w:szCs w:val="18"/>
        </w:rPr>
      </w:pPr>
      <w:r w:rsidRPr="00894F52">
        <w:rPr>
          <w:rFonts w:ascii="Open Sans" w:hAnsi="Open Sans" w:cs="Open Sans"/>
          <w:b/>
          <w:bCs/>
          <w:sz w:val="18"/>
          <w:szCs w:val="18"/>
        </w:rPr>
        <w:t>Recommendation:</w:t>
      </w:r>
      <w:r>
        <w:rPr>
          <w:rFonts w:ascii="Open Sans" w:hAnsi="Open Sans" w:cs="Open Sans"/>
          <w:sz w:val="18"/>
          <w:szCs w:val="18"/>
        </w:rPr>
        <w:t xml:space="preserve"> </w:t>
      </w:r>
      <w:r w:rsidRPr="00894F52">
        <w:rPr>
          <w:rFonts w:ascii="Open Sans" w:hAnsi="Open Sans" w:cs="Open Sans"/>
          <w:sz w:val="18"/>
          <w:szCs w:val="18"/>
        </w:rPr>
        <w:t>Promote savings products for retention and upsell.</w:t>
      </w:r>
    </w:p>
    <w:p w14:paraId="1EC1F678" w14:textId="2C390BF8" w:rsidR="00894F52" w:rsidRDefault="00894F52" w:rsidP="00894F52">
      <w:pPr>
        <w:rPr>
          <w:rFonts w:ascii="Open Sans" w:hAnsi="Open Sans" w:cs="Open Sans"/>
          <w:i/>
          <w:iCs/>
          <w:sz w:val="18"/>
          <w:szCs w:val="18"/>
        </w:rPr>
      </w:pPr>
      <w:r>
        <w:rPr>
          <w:rFonts w:ascii="Open Sans" w:hAnsi="Open Sans" w:cs="Open Sans"/>
          <w:i/>
          <w:iCs/>
          <w:sz w:val="18"/>
          <w:szCs w:val="18"/>
        </w:rPr>
        <w:t>Current Accounts are Volatile</w:t>
      </w:r>
    </w:p>
    <w:p w14:paraId="79AAFA77" w14:textId="45AA8EA9" w:rsidR="00894F52" w:rsidRPr="00894F52" w:rsidRDefault="00894F52" w:rsidP="00894F52">
      <w:pPr>
        <w:pStyle w:val="ListParagraph"/>
        <w:numPr>
          <w:ilvl w:val="0"/>
          <w:numId w:val="18"/>
        </w:numPr>
        <w:rPr>
          <w:rFonts w:ascii="Open Sans" w:hAnsi="Open Sans" w:cs="Open Sans"/>
          <w:i/>
          <w:iCs/>
          <w:sz w:val="18"/>
          <w:szCs w:val="18"/>
        </w:rPr>
      </w:pPr>
      <w:r w:rsidRPr="00894F52">
        <w:rPr>
          <w:rFonts w:ascii="Open Sans" w:hAnsi="Open Sans" w:cs="Open Sans"/>
          <w:sz w:val="18"/>
          <w:szCs w:val="18"/>
        </w:rPr>
        <w:t>Lowest median-to-max ratio, with extreme negative balances.</w:t>
      </w:r>
    </w:p>
    <w:p w14:paraId="34F108FC" w14:textId="6FF932EF" w:rsidR="00894F52" w:rsidRPr="00894F52" w:rsidRDefault="00894F52" w:rsidP="00894F52">
      <w:pPr>
        <w:pStyle w:val="ListParagraph"/>
        <w:numPr>
          <w:ilvl w:val="0"/>
          <w:numId w:val="18"/>
        </w:numPr>
        <w:rPr>
          <w:rFonts w:ascii="Open Sans" w:hAnsi="Open Sans" w:cs="Open Sans"/>
          <w:sz w:val="18"/>
          <w:szCs w:val="18"/>
        </w:rPr>
      </w:pPr>
      <w:r w:rsidRPr="00894F52">
        <w:rPr>
          <w:rFonts w:ascii="Open Sans" w:hAnsi="Open Sans" w:cs="Open Sans"/>
          <w:sz w:val="18"/>
          <w:szCs w:val="18"/>
        </w:rPr>
        <w:t>Suggests transactional use with overdraft risk.</w:t>
      </w:r>
    </w:p>
    <w:p w14:paraId="71D37EE6" w14:textId="66FF7EF9" w:rsidR="00894F52" w:rsidRPr="00894F52" w:rsidRDefault="00894F52" w:rsidP="00894F52">
      <w:pPr>
        <w:pStyle w:val="ListParagraph"/>
        <w:numPr>
          <w:ilvl w:val="0"/>
          <w:numId w:val="18"/>
        </w:numPr>
        <w:rPr>
          <w:rFonts w:ascii="Open Sans" w:hAnsi="Open Sans" w:cs="Open Sans"/>
          <w:sz w:val="18"/>
          <w:szCs w:val="18"/>
        </w:rPr>
      </w:pPr>
      <w:r w:rsidRPr="00894F52">
        <w:rPr>
          <w:rFonts w:ascii="Open Sans" w:hAnsi="Open Sans" w:cs="Open Sans"/>
          <w:b/>
          <w:bCs/>
          <w:sz w:val="18"/>
          <w:szCs w:val="18"/>
        </w:rPr>
        <w:t>Recommendation:</w:t>
      </w:r>
      <w:r w:rsidRPr="00894F52">
        <w:rPr>
          <w:rFonts w:ascii="Open Sans" w:hAnsi="Open Sans" w:cs="Open Sans"/>
          <w:sz w:val="18"/>
          <w:szCs w:val="18"/>
        </w:rPr>
        <w:t xml:space="preserve"> Introduce overdraft caps or dynamic risk scoring.</w:t>
      </w:r>
    </w:p>
    <w:p w14:paraId="5B8DBDFC" w14:textId="3E6854D3" w:rsidR="00894F52" w:rsidRDefault="00894F52" w:rsidP="00894F52">
      <w:pPr>
        <w:rPr>
          <w:rFonts w:ascii="Open Sans" w:hAnsi="Open Sans" w:cs="Open Sans"/>
          <w:i/>
          <w:iCs/>
          <w:sz w:val="18"/>
          <w:szCs w:val="18"/>
        </w:rPr>
      </w:pPr>
      <w:r>
        <w:rPr>
          <w:rFonts w:ascii="Open Sans" w:hAnsi="Open Sans" w:cs="Open Sans"/>
          <w:i/>
          <w:iCs/>
          <w:sz w:val="18"/>
          <w:szCs w:val="18"/>
        </w:rPr>
        <w:t>Investment Accounts Are Underperforming</w:t>
      </w:r>
    </w:p>
    <w:p w14:paraId="5EB36269" w14:textId="77777777" w:rsidR="00894F52" w:rsidRDefault="00894F52" w:rsidP="00894F52">
      <w:pPr>
        <w:pStyle w:val="ListParagraph"/>
        <w:numPr>
          <w:ilvl w:val="0"/>
          <w:numId w:val="18"/>
        </w:numPr>
        <w:rPr>
          <w:rFonts w:ascii="Open Sans" w:hAnsi="Open Sans" w:cs="Open Sans"/>
          <w:sz w:val="18"/>
          <w:szCs w:val="18"/>
        </w:rPr>
      </w:pPr>
      <w:r w:rsidRPr="00894F52">
        <w:rPr>
          <w:rFonts w:ascii="Open Sans" w:hAnsi="Open Sans" w:cs="Open Sans"/>
          <w:sz w:val="18"/>
          <w:szCs w:val="18"/>
        </w:rPr>
        <w:t>Lowest median balance (R3.8K) and average (R7K).</w:t>
      </w:r>
    </w:p>
    <w:p w14:paraId="2D3C4FF8" w14:textId="77777777" w:rsidR="00894F52" w:rsidRDefault="00894F52" w:rsidP="00894F52">
      <w:pPr>
        <w:pStyle w:val="ListParagraph"/>
        <w:numPr>
          <w:ilvl w:val="0"/>
          <w:numId w:val="18"/>
        </w:numPr>
        <w:rPr>
          <w:rFonts w:ascii="Open Sans" w:hAnsi="Open Sans" w:cs="Open Sans"/>
          <w:sz w:val="18"/>
          <w:szCs w:val="18"/>
        </w:rPr>
      </w:pPr>
      <w:r w:rsidRPr="00894F52">
        <w:rPr>
          <w:rFonts w:ascii="Open Sans" w:hAnsi="Open Sans" w:cs="Open Sans"/>
          <w:sz w:val="18"/>
          <w:szCs w:val="18"/>
        </w:rPr>
        <w:t xml:space="preserve">Despite high max (R120K), most accounts are </w:t>
      </w:r>
      <w:proofErr w:type="gramStart"/>
      <w:r w:rsidRPr="00894F52">
        <w:rPr>
          <w:rFonts w:ascii="Open Sans" w:hAnsi="Open Sans" w:cs="Open Sans"/>
          <w:sz w:val="18"/>
          <w:szCs w:val="18"/>
        </w:rPr>
        <w:t>low-value</w:t>
      </w:r>
      <w:proofErr w:type="gramEnd"/>
      <w:r w:rsidRPr="00894F52">
        <w:rPr>
          <w:rFonts w:ascii="Open Sans" w:hAnsi="Open Sans" w:cs="Open Sans"/>
          <w:sz w:val="18"/>
          <w:szCs w:val="18"/>
        </w:rPr>
        <w:t>.</w:t>
      </w:r>
    </w:p>
    <w:p w14:paraId="73D08FDE" w14:textId="56FB5483" w:rsidR="00894F52" w:rsidRPr="00894F52" w:rsidRDefault="00894F52" w:rsidP="00894F52">
      <w:pPr>
        <w:pStyle w:val="ListParagraph"/>
        <w:numPr>
          <w:ilvl w:val="0"/>
          <w:numId w:val="18"/>
        </w:numPr>
        <w:rPr>
          <w:rFonts w:ascii="Open Sans" w:hAnsi="Open Sans" w:cs="Open Sans"/>
          <w:sz w:val="18"/>
          <w:szCs w:val="18"/>
        </w:rPr>
      </w:pPr>
      <w:r w:rsidRPr="00894F52">
        <w:rPr>
          <w:rFonts w:ascii="Open Sans" w:hAnsi="Open Sans" w:cs="Open Sans"/>
          <w:b/>
          <w:bCs/>
          <w:sz w:val="18"/>
          <w:szCs w:val="18"/>
        </w:rPr>
        <w:t>Recommendation:</w:t>
      </w:r>
      <w:r w:rsidRPr="00894F52">
        <w:rPr>
          <w:rFonts w:ascii="Open Sans" w:hAnsi="Open Sans" w:cs="Open Sans"/>
          <w:sz w:val="18"/>
          <w:szCs w:val="18"/>
        </w:rPr>
        <w:t xml:space="preserve"> Repackage investment products or target high-net-worth segments.</w:t>
      </w:r>
    </w:p>
    <w:p w14:paraId="69AC33F4" w14:textId="5A511F99" w:rsidR="00894F52" w:rsidRDefault="00894F52" w:rsidP="00894F52">
      <w:pPr>
        <w:rPr>
          <w:rFonts w:ascii="Open Sans" w:hAnsi="Open Sans" w:cs="Open Sans"/>
          <w:i/>
          <w:iCs/>
          <w:sz w:val="18"/>
          <w:szCs w:val="18"/>
        </w:rPr>
      </w:pPr>
      <w:r>
        <w:rPr>
          <w:rFonts w:ascii="Open Sans" w:hAnsi="Open Sans" w:cs="Open Sans"/>
          <w:i/>
          <w:iCs/>
          <w:sz w:val="18"/>
          <w:szCs w:val="18"/>
        </w:rPr>
        <w:t>Money Market Accounts Are Conservative</w:t>
      </w:r>
    </w:p>
    <w:p w14:paraId="0D279958" w14:textId="1CAD6E91" w:rsidR="00704436" w:rsidRDefault="00704436" w:rsidP="006E3301">
      <w:pPr>
        <w:pStyle w:val="ListParagraph"/>
        <w:numPr>
          <w:ilvl w:val="0"/>
          <w:numId w:val="18"/>
        </w:numPr>
        <w:rPr>
          <w:rFonts w:ascii="Open Sans" w:hAnsi="Open Sans" w:cs="Open Sans"/>
          <w:sz w:val="18"/>
          <w:szCs w:val="18"/>
        </w:rPr>
      </w:pPr>
      <w:r w:rsidRPr="00704436">
        <w:rPr>
          <w:rFonts w:ascii="Open Sans" w:hAnsi="Open Sans" w:cs="Open Sans"/>
          <w:sz w:val="18"/>
          <w:szCs w:val="18"/>
        </w:rPr>
        <w:t>Median: R4.5K, 75th percentile: R12.8K</w:t>
      </w:r>
      <w:r>
        <w:rPr>
          <w:rFonts w:ascii="Arial" w:hAnsi="Arial" w:cs="Arial"/>
          <w:sz w:val="18"/>
          <w:szCs w:val="18"/>
        </w:rPr>
        <w:t xml:space="preserve">: </w:t>
      </w:r>
      <w:r w:rsidRPr="00704436">
        <w:rPr>
          <w:rFonts w:ascii="Open Sans" w:hAnsi="Open Sans" w:cs="Open Sans"/>
          <w:sz w:val="18"/>
          <w:szCs w:val="18"/>
        </w:rPr>
        <w:t>modest, stable balances.</w:t>
      </w:r>
    </w:p>
    <w:p w14:paraId="271C0211" w14:textId="72A3B36F" w:rsidR="00704436" w:rsidRDefault="00704436" w:rsidP="006E3301">
      <w:pPr>
        <w:pStyle w:val="ListParagraph"/>
        <w:numPr>
          <w:ilvl w:val="0"/>
          <w:numId w:val="18"/>
        </w:numPr>
        <w:rPr>
          <w:rFonts w:ascii="Open Sans" w:hAnsi="Open Sans" w:cs="Open Sans"/>
          <w:sz w:val="18"/>
          <w:szCs w:val="18"/>
        </w:rPr>
      </w:pPr>
      <w:r w:rsidRPr="00704436">
        <w:rPr>
          <w:rFonts w:ascii="Open Sans" w:hAnsi="Open Sans" w:cs="Open Sans"/>
          <w:sz w:val="18"/>
          <w:szCs w:val="18"/>
        </w:rPr>
        <w:t>Narrow range suggests low volatility.</w:t>
      </w:r>
    </w:p>
    <w:p w14:paraId="1E3A4689" w14:textId="4F0C3209" w:rsidR="006E3301" w:rsidRPr="00894F52" w:rsidRDefault="00704436" w:rsidP="006E3301">
      <w:pPr>
        <w:pStyle w:val="ListParagraph"/>
        <w:numPr>
          <w:ilvl w:val="0"/>
          <w:numId w:val="18"/>
        </w:numPr>
        <w:rPr>
          <w:rFonts w:ascii="Open Sans" w:hAnsi="Open Sans" w:cs="Open Sans"/>
          <w:sz w:val="18"/>
          <w:szCs w:val="18"/>
        </w:rPr>
      </w:pPr>
      <w:r w:rsidRPr="00704436">
        <w:rPr>
          <w:rFonts w:ascii="Open Sans" w:hAnsi="Open Sans" w:cs="Open Sans"/>
          <w:b/>
          <w:bCs/>
          <w:sz w:val="18"/>
          <w:szCs w:val="18"/>
        </w:rPr>
        <w:t>Recommendation:</w:t>
      </w:r>
      <w:r w:rsidRPr="00704436">
        <w:rPr>
          <w:rFonts w:ascii="Open Sans" w:hAnsi="Open Sans" w:cs="Open Sans"/>
          <w:sz w:val="18"/>
          <w:szCs w:val="18"/>
        </w:rPr>
        <w:t xml:space="preserve"> Position as low-risk, short-term holding accounts.</w:t>
      </w:r>
    </w:p>
    <w:p w14:paraId="401D4FC3" w14:textId="0C770B4C" w:rsidR="002C3E99" w:rsidRPr="004A18BD" w:rsidRDefault="004717F6" w:rsidP="004A18BD">
      <w:pPr>
        <w:rPr>
          <w:rFonts w:ascii="Open Sans" w:hAnsi="Open Sans" w:cs="Open Sans"/>
          <w:sz w:val="18"/>
          <w:szCs w:val="18"/>
        </w:rPr>
      </w:pPr>
      <w:r w:rsidRPr="004A18BD">
        <w:rPr>
          <w:rFonts w:ascii="Open Sans" w:hAnsi="Open Sans" w:cs="Open Sans"/>
          <w:b/>
          <w:bCs/>
          <w:sz w:val="18"/>
          <w:szCs w:val="18"/>
        </w:rPr>
        <w:t>Branch &amp; Product Performance</w:t>
      </w:r>
    </w:p>
    <w:p w14:paraId="28E75997" w14:textId="1AFB0AC2" w:rsidR="00862231" w:rsidRPr="00862231" w:rsidRDefault="00862231" w:rsidP="00862231">
      <w:pPr>
        <w:pStyle w:val="ListParagraph"/>
        <w:numPr>
          <w:ilvl w:val="0"/>
          <w:numId w:val="12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b/>
          <w:bCs/>
          <w:sz w:val="18"/>
          <w:szCs w:val="18"/>
        </w:rPr>
        <w:t>BR026</w:t>
      </w:r>
      <w:r w:rsidRPr="00FA0547">
        <w:rPr>
          <w:rFonts w:ascii="Open Sans" w:hAnsi="Open Sans" w:cs="Open Sans"/>
          <w:sz w:val="18"/>
          <w:szCs w:val="18"/>
        </w:rPr>
        <w:t xml:space="preserve">, </w:t>
      </w:r>
      <w:r w:rsidRPr="00FA0547">
        <w:rPr>
          <w:rFonts w:ascii="Open Sans" w:hAnsi="Open Sans" w:cs="Open Sans"/>
          <w:b/>
          <w:bCs/>
          <w:sz w:val="18"/>
          <w:szCs w:val="18"/>
        </w:rPr>
        <w:t>BR019</w:t>
      </w:r>
      <w:r w:rsidRPr="00FA0547">
        <w:rPr>
          <w:rFonts w:ascii="Open Sans" w:hAnsi="Open Sans" w:cs="Open Sans"/>
          <w:sz w:val="18"/>
          <w:szCs w:val="18"/>
        </w:rPr>
        <w:t xml:space="preserve">, and </w:t>
      </w:r>
      <w:r w:rsidRPr="00FA0547">
        <w:rPr>
          <w:rFonts w:ascii="Open Sans" w:hAnsi="Open Sans" w:cs="Open Sans"/>
          <w:b/>
          <w:bCs/>
          <w:sz w:val="18"/>
          <w:szCs w:val="18"/>
        </w:rPr>
        <w:t>BR023</w:t>
      </w:r>
      <w:r w:rsidRPr="00FA0547">
        <w:rPr>
          <w:rFonts w:ascii="Open Sans" w:hAnsi="Open Sans" w:cs="Open Sans"/>
          <w:sz w:val="18"/>
          <w:szCs w:val="18"/>
        </w:rPr>
        <w:t xml:space="preserve"> have a combined customer count of </w:t>
      </w:r>
      <w:r w:rsidRPr="00FA0547">
        <w:rPr>
          <w:rFonts w:ascii="Open Sans" w:hAnsi="Open Sans" w:cs="Open Sans"/>
          <w:b/>
          <w:bCs/>
          <w:sz w:val="18"/>
          <w:szCs w:val="18"/>
        </w:rPr>
        <w:t>29</w:t>
      </w:r>
      <w:r w:rsidRPr="00FA0547">
        <w:rPr>
          <w:rFonts w:ascii="Open Sans" w:hAnsi="Open Sans" w:cs="Open Sans"/>
          <w:sz w:val="18"/>
          <w:szCs w:val="18"/>
        </w:rPr>
        <w:t>.</w:t>
      </w:r>
    </w:p>
    <w:p w14:paraId="009B964C" w14:textId="4E274CA1" w:rsidR="00913332" w:rsidRPr="00FA0547" w:rsidRDefault="00913332" w:rsidP="00DF0890">
      <w:pPr>
        <w:pStyle w:val="ListParagraph"/>
        <w:numPr>
          <w:ilvl w:val="0"/>
          <w:numId w:val="12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t>Savings and Credit Card accounts dominate balances.</w:t>
      </w:r>
    </w:p>
    <w:p w14:paraId="3944C7DA" w14:textId="6726766D" w:rsidR="00EE7447" w:rsidRDefault="0056434F" w:rsidP="00DF0890">
      <w:pPr>
        <w:pStyle w:val="ListParagraph"/>
        <w:numPr>
          <w:ilvl w:val="0"/>
          <w:numId w:val="12"/>
        </w:num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t>Branch × Product heatmap highlights concentration in Gauteng and Western Cape.</w:t>
      </w:r>
    </w:p>
    <w:p w14:paraId="395FE4A5" w14:textId="2ECC1BB9" w:rsidR="00704436" w:rsidRDefault="00704436" w:rsidP="00704436">
      <w:pPr>
        <w:rPr>
          <w:rFonts w:ascii="Open Sans" w:hAnsi="Open Sans" w:cs="Open Sans"/>
          <w:b/>
          <w:bCs/>
          <w:sz w:val="18"/>
          <w:szCs w:val="18"/>
        </w:rPr>
      </w:pPr>
      <w:r w:rsidRPr="00704436">
        <w:rPr>
          <w:rFonts w:ascii="Open Sans" w:hAnsi="Open Sans" w:cs="Open Sans"/>
          <w:b/>
          <w:bCs/>
          <w:sz w:val="18"/>
          <w:szCs w:val="18"/>
        </w:rPr>
        <w:t>Churn Analysis &amp; CLV Proxy – Strategic Insight</w:t>
      </w:r>
      <w:r>
        <w:rPr>
          <w:rFonts w:ascii="Open Sans" w:hAnsi="Open Sans" w:cs="Open Sans"/>
          <w:b/>
          <w:bCs/>
          <w:sz w:val="18"/>
          <w:szCs w:val="18"/>
        </w:rPr>
        <w:tab/>
      </w:r>
    </w:p>
    <w:p w14:paraId="33DC973F" w14:textId="5EADB65C" w:rsidR="00704436" w:rsidRDefault="00284262" w:rsidP="00284262">
      <w:pPr>
        <w:pStyle w:val="ListParagraph"/>
        <w:numPr>
          <w:ilvl w:val="0"/>
          <w:numId w:val="19"/>
        </w:numPr>
        <w:rPr>
          <w:rFonts w:ascii="Open Sans" w:hAnsi="Open Sans" w:cs="Open Sans"/>
          <w:sz w:val="18"/>
          <w:szCs w:val="18"/>
        </w:rPr>
      </w:pPr>
      <w:r w:rsidRPr="00284262">
        <w:rPr>
          <w:rFonts w:ascii="Open Sans" w:hAnsi="Open Sans" w:cs="Open Sans"/>
          <w:sz w:val="18"/>
          <w:szCs w:val="18"/>
        </w:rPr>
        <w:t>Retained customers are worth ~23% more than churned ones, validating the ROI of retention efforts.</w:t>
      </w:r>
    </w:p>
    <w:p w14:paraId="4F0F7C60" w14:textId="592CD08B" w:rsidR="00284262" w:rsidRDefault="00284262" w:rsidP="00284262">
      <w:pPr>
        <w:pStyle w:val="ListParagraph"/>
        <w:numPr>
          <w:ilvl w:val="0"/>
          <w:numId w:val="19"/>
        </w:numPr>
        <w:rPr>
          <w:rFonts w:ascii="Open Sans" w:hAnsi="Open Sans" w:cs="Open Sans"/>
          <w:sz w:val="18"/>
          <w:szCs w:val="18"/>
        </w:rPr>
      </w:pPr>
      <w:r w:rsidRPr="00284262">
        <w:rPr>
          <w:rFonts w:ascii="Open Sans" w:hAnsi="Open Sans" w:cs="Open Sans"/>
          <w:sz w:val="18"/>
          <w:szCs w:val="18"/>
        </w:rPr>
        <w:t>A retained customer yields ~R7,400 more in projected value</w:t>
      </w:r>
      <w:r>
        <w:rPr>
          <w:rFonts w:ascii="Open Sans" w:hAnsi="Open Sans" w:cs="Open Sans"/>
          <w:sz w:val="18"/>
          <w:szCs w:val="18"/>
        </w:rPr>
        <w:t>, with retained customers estimated to be worth ~R39k, compared to the churned worth ~R32K.</w:t>
      </w:r>
    </w:p>
    <w:p w14:paraId="42FCD77B" w14:textId="0BE72082" w:rsidR="00284262" w:rsidRPr="00284262" w:rsidRDefault="00284262" w:rsidP="00284262">
      <w:pPr>
        <w:pStyle w:val="ListParagraph"/>
        <w:numPr>
          <w:ilvl w:val="0"/>
          <w:numId w:val="19"/>
        </w:numPr>
        <w:rPr>
          <w:rFonts w:ascii="Open Sans" w:hAnsi="Open Sans" w:cs="Open Sans"/>
          <w:sz w:val="18"/>
          <w:szCs w:val="18"/>
        </w:rPr>
      </w:pPr>
      <w:r w:rsidRPr="00284262">
        <w:rPr>
          <w:rFonts w:ascii="Open Sans" w:hAnsi="Open Sans" w:cs="Open Sans"/>
          <w:sz w:val="18"/>
          <w:szCs w:val="18"/>
        </w:rPr>
        <w:t>240 customers are inactive (&gt;</w:t>
      </w:r>
      <w:r>
        <w:rPr>
          <w:rFonts w:ascii="Open Sans" w:hAnsi="Open Sans" w:cs="Open Sans"/>
          <w:sz w:val="18"/>
          <w:szCs w:val="18"/>
        </w:rPr>
        <w:t xml:space="preserve"> </w:t>
      </w:r>
      <w:r w:rsidRPr="00284262">
        <w:rPr>
          <w:rFonts w:ascii="Open Sans" w:hAnsi="Open Sans" w:cs="Open Sans"/>
          <w:sz w:val="18"/>
          <w:szCs w:val="18"/>
        </w:rPr>
        <w:t>90 days), representing a significant revenue gap.</w:t>
      </w:r>
    </w:p>
    <w:p w14:paraId="74947271" w14:textId="77777777" w:rsidR="00F00DD5" w:rsidRPr="00FA0547" w:rsidRDefault="00F00DD5" w:rsidP="00F00DD5">
      <w:pPr>
        <w:rPr>
          <w:rFonts w:ascii="Open Sans" w:hAnsi="Open Sans" w:cs="Open Sans"/>
          <w:sz w:val="18"/>
          <w:szCs w:val="18"/>
        </w:rPr>
      </w:pPr>
      <w:r w:rsidRPr="00FA0547">
        <w:rPr>
          <w:rFonts w:ascii="Open Sans" w:hAnsi="Open Sans" w:cs="Open Sans"/>
          <w:sz w:val="18"/>
          <w:szCs w:val="18"/>
        </w:rPr>
        <w:pict w14:anchorId="7BC2A081">
          <v:rect id="_x0000_i1318" style="width:0;height:1.5pt" o:hralign="center" o:hrstd="t" o:hr="t" fillcolor="#a0a0a0" stroked="f"/>
        </w:pict>
      </w:r>
    </w:p>
    <w:p w14:paraId="4CEB774D" w14:textId="77777777" w:rsidR="000D58BA" w:rsidRPr="00FA0547" w:rsidRDefault="00497357" w:rsidP="00F00DD5">
      <w:pPr>
        <w:rPr>
          <w:rFonts w:ascii="Open Sans" w:hAnsi="Open Sans" w:cs="Open Sans"/>
          <w:b/>
          <w:bCs/>
          <w:sz w:val="20"/>
          <w:szCs w:val="20"/>
        </w:rPr>
      </w:pPr>
      <w:r w:rsidRPr="00FA0547">
        <w:rPr>
          <w:rFonts w:ascii="Open Sans" w:hAnsi="Open Sans" w:cs="Open Sans"/>
          <w:b/>
          <w:bCs/>
          <w:sz w:val="20"/>
          <w:szCs w:val="20"/>
        </w:rPr>
        <w:t>Recommendations</w:t>
      </w:r>
    </w:p>
    <w:p w14:paraId="438D33DA" w14:textId="3B23A7F1" w:rsidR="00A31043" w:rsidRDefault="00C8039C" w:rsidP="000D58BA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8039C">
        <w:rPr>
          <w:sz w:val="18"/>
          <w:szCs w:val="18"/>
        </w:rPr>
        <w:t>Launch reactivation campaigns targeting inactive users, especially those with historically high balances or verified KYC status.</w:t>
      </w:r>
    </w:p>
    <w:p w14:paraId="347E5622" w14:textId="5000CE55" w:rsidR="00C8039C" w:rsidRDefault="00C8039C" w:rsidP="000D58BA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8039C">
        <w:rPr>
          <w:sz w:val="18"/>
          <w:szCs w:val="18"/>
        </w:rPr>
        <w:t>Develop loyalty programs and personalized outreach for top decile customers driving 82% of net value.</w:t>
      </w:r>
    </w:p>
    <w:p w14:paraId="734044B9" w14:textId="445F4C76" w:rsidR="00C8039C" w:rsidRDefault="00C8039C" w:rsidP="000D58BA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8039C">
        <w:rPr>
          <w:sz w:val="18"/>
          <w:szCs w:val="18"/>
        </w:rPr>
        <w:t>Implement stricter credit controls and enhanced monitoring protocols at these branches to mitigate downside risk.</w:t>
      </w:r>
    </w:p>
    <w:p w14:paraId="6B514660" w14:textId="428275B8" w:rsidR="00C8039C" w:rsidRDefault="00C8039C" w:rsidP="000D58BA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8039C">
        <w:rPr>
          <w:sz w:val="18"/>
          <w:szCs w:val="18"/>
        </w:rPr>
        <w:t>Tighten credit limits and monitor outliers in Credit Card accounts.</w:t>
      </w:r>
    </w:p>
    <w:p w14:paraId="56D9965D" w14:textId="450E2659" w:rsidR="00C8039C" w:rsidRDefault="00C8039C" w:rsidP="000D58BA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8039C">
        <w:rPr>
          <w:sz w:val="18"/>
          <w:szCs w:val="18"/>
        </w:rPr>
        <w:t>Promote Savings accounts as stable, long-term deposit vehicles.</w:t>
      </w:r>
    </w:p>
    <w:p w14:paraId="6618D120" w14:textId="313A199E" w:rsidR="00C8039C" w:rsidRDefault="00C8039C" w:rsidP="000D58BA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8039C">
        <w:rPr>
          <w:sz w:val="18"/>
          <w:szCs w:val="18"/>
        </w:rPr>
        <w:t>Repackage Investment accounts to better serve high-net-worth segments.</w:t>
      </w:r>
    </w:p>
    <w:p w14:paraId="42C765A7" w14:textId="1F826D43" w:rsidR="00C8039C" w:rsidRPr="00FA0547" w:rsidRDefault="00C8039C" w:rsidP="000D58BA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8039C">
        <w:rPr>
          <w:sz w:val="18"/>
          <w:szCs w:val="18"/>
        </w:rPr>
        <w:t>Use transaction recency, balance trends, and CLV proxy to build churn prediction models and trigger retention workflows.</w:t>
      </w:r>
    </w:p>
    <w:sectPr w:rsidR="00C8039C" w:rsidRPr="00FA0547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B5861" w14:textId="77777777" w:rsidR="00923AC7" w:rsidRDefault="00923AC7" w:rsidP="001F46F5">
      <w:pPr>
        <w:spacing w:after="0" w:line="240" w:lineRule="auto"/>
      </w:pPr>
      <w:r>
        <w:separator/>
      </w:r>
    </w:p>
  </w:endnote>
  <w:endnote w:type="continuationSeparator" w:id="0">
    <w:p w14:paraId="7F341D17" w14:textId="77777777" w:rsidR="00923AC7" w:rsidRDefault="00923AC7" w:rsidP="001F4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20961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B92B74" w14:textId="4811D5B4" w:rsidR="001F46F5" w:rsidRDefault="001F46F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CC14BB" w14:textId="40AB3FBE" w:rsidR="001F46F5" w:rsidRDefault="001F46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BBFA2" w14:textId="77777777" w:rsidR="00923AC7" w:rsidRDefault="00923AC7" w:rsidP="001F46F5">
      <w:pPr>
        <w:spacing w:after="0" w:line="240" w:lineRule="auto"/>
      </w:pPr>
      <w:r>
        <w:separator/>
      </w:r>
    </w:p>
  </w:footnote>
  <w:footnote w:type="continuationSeparator" w:id="0">
    <w:p w14:paraId="51CFEAB8" w14:textId="77777777" w:rsidR="00923AC7" w:rsidRDefault="00923AC7" w:rsidP="001F46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BD77B" w14:textId="42E3595B" w:rsidR="001F46F5" w:rsidRDefault="001F46F5">
    <w:pPr>
      <w:pStyle w:val="Header"/>
    </w:pPr>
    <w:r w:rsidRPr="001F46F5">
      <w:rPr>
        <w:noProof/>
      </w:rPr>
      <w:drawing>
        <wp:inline distT="0" distB="0" distL="0" distR="0" wp14:anchorId="511022A8" wp14:editId="730E740D">
          <wp:extent cx="624894" cy="739204"/>
          <wp:effectExtent l="0" t="0" r="3810" b="3810"/>
          <wp:docPr id="10937566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375664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4894" cy="7392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12B6"/>
    <w:multiLevelType w:val="hybridMultilevel"/>
    <w:tmpl w:val="0978A7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341CF"/>
    <w:multiLevelType w:val="hybridMultilevel"/>
    <w:tmpl w:val="A79E09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B02E8B"/>
    <w:multiLevelType w:val="hybridMultilevel"/>
    <w:tmpl w:val="6FFA5A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75487"/>
    <w:multiLevelType w:val="hybridMultilevel"/>
    <w:tmpl w:val="ECAC047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04E70"/>
    <w:multiLevelType w:val="hybridMultilevel"/>
    <w:tmpl w:val="B42801C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00230"/>
    <w:multiLevelType w:val="multilevel"/>
    <w:tmpl w:val="5854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8567B"/>
    <w:multiLevelType w:val="hybridMultilevel"/>
    <w:tmpl w:val="CAD4C69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854FED"/>
    <w:multiLevelType w:val="hybridMultilevel"/>
    <w:tmpl w:val="E716E0D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170AF9"/>
    <w:multiLevelType w:val="hybridMultilevel"/>
    <w:tmpl w:val="F8B2736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AA0E3E"/>
    <w:multiLevelType w:val="hybridMultilevel"/>
    <w:tmpl w:val="1088B6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DB16F6"/>
    <w:multiLevelType w:val="multilevel"/>
    <w:tmpl w:val="0EE2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14BB5"/>
    <w:multiLevelType w:val="multilevel"/>
    <w:tmpl w:val="2396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23668"/>
    <w:multiLevelType w:val="hybridMultilevel"/>
    <w:tmpl w:val="F04E955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C84874"/>
    <w:multiLevelType w:val="multilevel"/>
    <w:tmpl w:val="A7FA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86A1D"/>
    <w:multiLevelType w:val="multilevel"/>
    <w:tmpl w:val="7014402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699266BD"/>
    <w:multiLevelType w:val="hybridMultilevel"/>
    <w:tmpl w:val="A052D552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7C6286"/>
    <w:multiLevelType w:val="hybridMultilevel"/>
    <w:tmpl w:val="03E859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EE1CED"/>
    <w:multiLevelType w:val="hybridMultilevel"/>
    <w:tmpl w:val="AAB2E5A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E10456"/>
    <w:multiLevelType w:val="hybridMultilevel"/>
    <w:tmpl w:val="05F4D8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762928">
    <w:abstractNumId w:val="13"/>
  </w:num>
  <w:num w:numId="2" w16cid:durableId="503711769">
    <w:abstractNumId w:val="5"/>
  </w:num>
  <w:num w:numId="3" w16cid:durableId="750273358">
    <w:abstractNumId w:val="11"/>
  </w:num>
  <w:num w:numId="4" w16cid:durableId="268896514">
    <w:abstractNumId w:val="10"/>
  </w:num>
  <w:num w:numId="5" w16cid:durableId="1325936633">
    <w:abstractNumId w:val="2"/>
  </w:num>
  <w:num w:numId="6" w16cid:durableId="161237920">
    <w:abstractNumId w:val="0"/>
  </w:num>
  <w:num w:numId="7" w16cid:durableId="1376848684">
    <w:abstractNumId w:val="15"/>
  </w:num>
  <w:num w:numId="8" w16cid:durableId="37634313">
    <w:abstractNumId w:val="4"/>
  </w:num>
  <w:num w:numId="9" w16cid:durableId="1582911651">
    <w:abstractNumId w:val="6"/>
  </w:num>
  <w:num w:numId="10" w16cid:durableId="239027515">
    <w:abstractNumId w:val="14"/>
  </w:num>
  <w:num w:numId="11" w16cid:durableId="951977235">
    <w:abstractNumId w:val="12"/>
  </w:num>
  <w:num w:numId="12" w16cid:durableId="835802648">
    <w:abstractNumId w:val="1"/>
  </w:num>
  <w:num w:numId="13" w16cid:durableId="64036538">
    <w:abstractNumId w:val="17"/>
  </w:num>
  <w:num w:numId="14" w16cid:durableId="197744027">
    <w:abstractNumId w:val="8"/>
  </w:num>
  <w:num w:numId="15" w16cid:durableId="376585902">
    <w:abstractNumId w:val="7"/>
  </w:num>
  <w:num w:numId="16" w16cid:durableId="523904128">
    <w:abstractNumId w:val="16"/>
  </w:num>
  <w:num w:numId="17" w16cid:durableId="328949218">
    <w:abstractNumId w:val="18"/>
  </w:num>
  <w:num w:numId="18" w16cid:durableId="1068574840">
    <w:abstractNumId w:val="3"/>
  </w:num>
  <w:num w:numId="19" w16cid:durableId="5509669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6F5"/>
    <w:rsid w:val="00013622"/>
    <w:rsid w:val="00027396"/>
    <w:rsid w:val="000307EC"/>
    <w:rsid w:val="0007126C"/>
    <w:rsid w:val="000865B8"/>
    <w:rsid w:val="0009771E"/>
    <w:rsid w:val="000C44CE"/>
    <w:rsid w:val="000D48CE"/>
    <w:rsid w:val="000D58BA"/>
    <w:rsid w:val="000F1329"/>
    <w:rsid w:val="000F1E1D"/>
    <w:rsid w:val="0011444E"/>
    <w:rsid w:val="0014495A"/>
    <w:rsid w:val="001644F0"/>
    <w:rsid w:val="0018147D"/>
    <w:rsid w:val="00184FCB"/>
    <w:rsid w:val="001869D7"/>
    <w:rsid w:val="00197FA6"/>
    <w:rsid w:val="001B5672"/>
    <w:rsid w:val="001F46F5"/>
    <w:rsid w:val="001F4804"/>
    <w:rsid w:val="00242ACB"/>
    <w:rsid w:val="002500E1"/>
    <w:rsid w:val="002523BE"/>
    <w:rsid w:val="00284262"/>
    <w:rsid w:val="002B1DED"/>
    <w:rsid w:val="002B515D"/>
    <w:rsid w:val="002C3E99"/>
    <w:rsid w:val="002C6397"/>
    <w:rsid w:val="002F63AE"/>
    <w:rsid w:val="00300047"/>
    <w:rsid w:val="00340A13"/>
    <w:rsid w:val="003556D0"/>
    <w:rsid w:val="00361A3C"/>
    <w:rsid w:val="00366D34"/>
    <w:rsid w:val="0037398A"/>
    <w:rsid w:val="003B0B9D"/>
    <w:rsid w:val="003B0C65"/>
    <w:rsid w:val="003D7516"/>
    <w:rsid w:val="003E44B5"/>
    <w:rsid w:val="003E5F96"/>
    <w:rsid w:val="0041342C"/>
    <w:rsid w:val="0046005A"/>
    <w:rsid w:val="0046727E"/>
    <w:rsid w:val="004717F6"/>
    <w:rsid w:val="004736A0"/>
    <w:rsid w:val="00486E55"/>
    <w:rsid w:val="00497357"/>
    <w:rsid w:val="004A18BD"/>
    <w:rsid w:val="004B6AC5"/>
    <w:rsid w:val="004C5647"/>
    <w:rsid w:val="004D5C34"/>
    <w:rsid w:val="004E1099"/>
    <w:rsid w:val="00501FEF"/>
    <w:rsid w:val="00531A55"/>
    <w:rsid w:val="0056434F"/>
    <w:rsid w:val="00564639"/>
    <w:rsid w:val="005938DB"/>
    <w:rsid w:val="005B6C85"/>
    <w:rsid w:val="005F64CC"/>
    <w:rsid w:val="005F6F23"/>
    <w:rsid w:val="00605143"/>
    <w:rsid w:val="00622957"/>
    <w:rsid w:val="00630561"/>
    <w:rsid w:val="00680A4D"/>
    <w:rsid w:val="006C61B2"/>
    <w:rsid w:val="006E3301"/>
    <w:rsid w:val="006E524A"/>
    <w:rsid w:val="006E59D7"/>
    <w:rsid w:val="006F07D5"/>
    <w:rsid w:val="006F084F"/>
    <w:rsid w:val="00704436"/>
    <w:rsid w:val="00716825"/>
    <w:rsid w:val="00724EF5"/>
    <w:rsid w:val="007600AC"/>
    <w:rsid w:val="007A06BF"/>
    <w:rsid w:val="007F4847"/>
    <w:rsid w:val="007F6DF6"/>
    <w:rsid w:val="0080114C"/>
    <w:rsid w:val="008078A5"/>
    <w:rsid w:val="008115D8"/>
    <w:rsid w:val="008216C7"/>
    <w:rsid w:val="00832FAB"/>
    <w:rsid w:val="00843F4A"/>
    <w:rsid w:val="008465BC"/>
    <w:rsid w:val="00857DF6"/>
    <w:rsid w:val="00862231"/>
    <w:rsid w:val="00894F52"/>
    <w:rsid w:val="00897EF8"/>
    <w:rsid w:val="008C7815"/>
    <w:rsid w:val="008C78C1"/>
    <w:rsid w:val="009064E1"/>
    <w:rsid w:val="00913332"/>
    <w:rsid w:val="00923AC7"/>
    <w:rsid w:val="009334BA"/>
    <w:rsid w:val="00934D14"/>
    <w:rsid w:val="00950059"/>
    <w:rsid w:val="00977132"/>
    <w:rsid w:val="00993A3D"/>
    <w:rsid w:val="009A46E8"/>
    <w:rsid w:val="009A7243"/>
    <w:rsid w:val="009D629F"/>
    <w:rsid w:val="009F202E"/>
    <w:rsid w:val="00A31043"/>
    <w:rsid w:val="00A32C57"/>
    <w:rsid w:val="00A4612D"/>
    <w:rsid w:val="00A742D7"/>
    <w:rsid w:val="00A8664A"/>
    <w:rsid w:val="00A92338"/>
    <w:rsid w:val="00A93015"/>
    <w:rsid w:val="00A950DA"/>
    <w:rsid w:val="00AC079D"/>
    <w:rsid w:val="00AF5A15"/>
    <w:rsid w:val="00B21A5E"/>
    <w:rsid w:val="00B668B7"/>
    <w:rsid w:val="00B67382"/>
    <w:rsid w:val="00B721FE"/>
    <w:rsid w:val="00B73785"/>
    <w:rsid w:val="00B75975"/>
    <w:rsid w:val="00B80B5E"/>
    <w:rsid w:val="00B91384"/>
    <w:rsid w:val="00BA34C8"/>
    <w:rsid w:val="00BA5668"/>
    <w:rsid w:val="00BB29E0"/>
    <w:rsid w:val="00BB2DA3"/>
    <w:rsid w:val="00BB7132"/>
    <w:rsid w:val="00BD4DB4"/>
    <w:rsid w:val="00BF2E6C"/>
    <w:rsid w:val="00C517B5"/>
    <w:rsid w:val="00C632E3"/>
    <w:rsid w:val="00C8039C"/>
    <w:rsid w:val="00CB1779"/>
    <w:rsid w:val="00CF10BE"/>
    <w:rsid w:val="00D015C1"/>
    <w:rsid w:val="00D7647D"/>
    <w:rsid w:val="00D968D9"/>
    <w:rsid w:val="00DA702C"/>
    <w:rsid w:val="00DC130B"/>
    <w:rsid w:val="00DD2D96"/>
    <w:rsid w:val="00DD6FF9"/>
    <w:rsid w:val="00DF084B"/>
    <w:rsid w:val="00DF0890"/>
    <w:rsid w:val="00DF090E"/>
    <w:rsid w:val="00DF1929"/>
    <w:rsid w:val="00E57E41"/>
    <w:rsid w:val="00E63778"/>
    <w:rsid w:val="00E96401"/>
    <w:rsid w:val="00EE7447"/>
    <w:rsid w:val="00EF2138"/>
    <w:rsid w:val="00F00DD5"/>
    <w:rsid w:val="00F2742F"/>
    <w:rsid w:val="00F35699"/>
    <w:rsid w:val="00F4441E"/>
    <w:rsid w:val="00F466D9"/>
    <w:rsid w:val="00F51C84"/>
    <w:rsid w:val="00F53BF8"/>
    <w:rsid w:val="00F613C2"/>
    <w:rsid w:val="00F86DF9"/>
    <w:rsid w:val="00FA0547"/>
    <w:rsid w:val="00FA11AC"/>
    <w:rsid w:val="00FE091E"/>
    <w:rsid w:val="00FF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,"/>
  <w14:docId w14:val="3CE67D5F"/>
  <w15:chartTrackingRefBased/>
  <w15:docId w15:val="{2D5D0896-D2DD-4341-81F4-1EC52E32E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6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46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6F5"/>
  </w:style>
  <w:style w:type="paragraph" w:styleId="Footer">
    <w:name w:val="footer"/>
    <w:basedOn w:val="Normal"/>
    <w:link w:val="FooterChar"/>
    <w:uiPriority w:val="99"/>
    <w:unhideWhenUsed/>
    <w:rsid w:val="001F46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6F5"/>
  </w:style>
  <w:style w:type="table" w:styleId="TableGrid">
    <w:name w:val="Table Grid"/>
    <w:basedOn w:val="TableNormal"/>
    <w:uiPriority w:val="39"/>
    <w:rsid w:val="00531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B673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C62F0-11EF-4EDB-8961-27465540D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739</Words>
  <Characters>4289</Characters>
  <Application>Microsoft Office Word</Application>
  <DocSecurity>0</DocSecurity>
  <Lines>112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Wavhothe Masakona</dc:creator>
  <cp:keywords/>
  <dc:description/>
  <cp:lastModifiedBy>Wavhothe Masakona</cp:lastModifiedBy>
  <cp:revision>2</cp:revision>
  <cp:lastPrinted>2025-11-12T14:48:00Z</cp:lastPrinted>
  <dcterms:created xsi:type="dcterms:W3CDTF">2025-11-20T16:47:00Z</dcterms:created>
  <dcterms:modified xsi:type="dcterms:W3CDTF">2025-11-20T16:47:00Z</dcterms:modified>
</cp:coreProperties>
</file>