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4C7067D2" w:rsidR="00A80D96" w:rsidRPr="00314F61" w:rsidRDefault="00A80D96" w:rsidP="00E444A5">
      <w:pPr>
        <w:rPr>
          <w:b/>
          <w:lang w:val="it-IT" w:eastAsia="en-US"/>
        </w:rPr>
      </w:pPr>
      <w:r>
        <w:rPr>
          <w:b/>
          <w:lang w:val="it-IT" w:eastAsia="en-US"/>
        </w:rPr>
        <w:t xml:space="preserve">Prof. Îndrumător: </w:t>
      </w:r>
      <w:r w:rsidR="00C21606" w:rsidRPr="00C21606">
        <w:rPr>
          <w:b/>
          <w:lang w:val="it-IT" w:eastAsia="en-US"/>
        </w:rPr>
        <w:t>Acatrinei-Vasiliu Cristinel-Petrică</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Oprișanu Lucian-Mihai</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Reciclarea Deșeurilor și Protejarea Mediului</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Reciclarea deșeurilor reprezintă astăzi una dintre cele mai importante activități pentru protejarea mediului înconjurător și pentru asigurarea unui viitor durabil al planetei. Prin colectarea, sortarea și transformarea materialelor folosite în produse noi, reciclarea reduce semnificativ cantitatea de gunoi care ajunge la gropile de depozitare, conservă resursele naturale limitate ale Pământului și diminuează poluarea aerului, a apei și a solului. Într-o lume în care populația globală a depășit 8 miliarde de locuitori și consumul de produse de unică folosință crește an de an, reciclarea nu mai este o opțiune, ci o necesitate.</w:t>
      </w:r>
      <w:r>
        <w:br/>
      </w:r>
    </w:p>
    <w:p w14:paraId="1A10F062" w14:textId="1267A304" w:rsidR="1E055EFF" w:rsidRDefault="1E055EFF" w:rsidP="6D7E8410">
      <w:pPr>
        <w:jc w:val="both"/>
      </w:pPr>
      <w:r>
        <w:t>Conform datelor Agenției Europene de Mediu, fiecare cetățean european produce în medie aproximativ 500 de kilograme de deșeuri municipale pe an, iar în România cantitatea estimată depășește 280 de kilograme de persoană. Dintre acestea, doar o fracțiune redusă este reciclată corespunzător, restul ajungând în depozite de gunoi care ocupă mii de hectare de teren și care eliberează în atmosferă metan și alte gaze cu efect de seră. Aceste cifre arată că reciclarea nu este doar o activitate ecologică, ci și o problemă economică și socială majoră, care necesită implicarea fiecărui cetățean, indiferent de vârstă sau ocupație.</w:t>
      </w:r>
      <w:r>
        <w:br/>
      </w:r>
      <w:r>
        <w:br/>
        <w:t>Unul dintre cele mai puternice argumente în favoarea alegerii acestei teme îl reprezintă impactul direct al reciclării asupra mediului. O singură tonă de hârtie reciclată salvează aproximativ 17 copaci, 26.000 de litri de apă și reduce consumul de energie cu până la 60% față de producția de hârtie nouă. În cazul aluminiului, reciclarea unei doze economisește energia necesară pentru a alimenta un televizor timp de aproximativ trei ore, iar reciclarea aluminiului folosește cu 95% mai puțină energie decât producerea lui din minereu de bauxită. Sticla, la rândul ei, poate fi reciclată practic la nesfârșit fără a-și pierde proprietățile, iar plasticul, deși mai greu de reciclat, reduce dependența de petrolul folosit la producerea materialelor noi.</w:t>
      </w:r>
      <w:r>
        <w:br/>
      </w:r>
      <w:r>
        <w:br/>
        <w:t>În plus, reciclarea reprezintă un studiu de caz remarcabil pentru educația ecologică a tinerelor generații. Colectarea selectivă, aplicată corect încă din școală și de acasă, formează deprinderi care vor rămâne cu copilul toată viața și care, multiplicate la nivelul unei comunități întregi, pot transforma orașe întregi. Țări precum Germania, Suedia sau Austria au atins rate de reciclare de peste 65%, ceea ce demonstrează că, atunci când există voință politică, infrastructură adecvată și conștientizare în rândul populației, rezultatele pot fi spectaculoase. România, deși se află încă sub media europeană, face pași importanți prin programe naționale de colectare selectivă și prin sistemul de garanție-returnare pentru ambalaje, introdus recent.</w:t>
      </w:r>
      <w:r>
        <w:br/>
      </w:r>
      <w:r>
        <w:br/>
        <w:t>De asemenea, reciclarea joacă un rol important în reducerea poluării și în atenuarea schimbărilor climatice. Producția de materiale noi din materii prime virgine consumă cantități uriașe de energie, în mare parte provenită din arderea combustibililor fosili, ceea ce generează emisii de dioxid de carbon. Prin reciclare, aceste emisii sunt reduse semnificativ, contribuind la îndeplinirea obiectivelor stabilite prin acordurile internaționale precum Acordul de la Paris. Mai mult, prin diminuarea cantității de deșeuri aruncate în natură – mai ales a plasticului, care poate persista în mediu sute de ani – se protejează ecosistemele terestre și acvatice, inclusiv fauna care altfel ar fi pusă în pericol de poluare.</w:t>
      </w:r>
      <w:r>
        <w:br/>
      </w:r>
      <w:r>
        <w:br/>
      </w:r>
      <w:r>
        <w:lastRenderedPageBreak/>
        <w:t>În concluzie, reciclarea deșeurilor nu este doar o temă de actualitate, ci un domeniu vast care reflectă responsabilitatea fiecăruia dintre noi față de planeta pe care trăim. Prezentarea acestei teme printr-un site web realizat exclusiv cu HTML și CSS – fără JavaScript – permite organizarea structurată a informațiilor despre tipurile de deșeuri, despre importanța reciclării și despre curiozități legate de acest domeniu, și comunicarea lor accesibilă către un public larg, demonstrând cum tehnologia web fundamentală poate susține educația ecologică și conștientizarea în rândul tinerelor generații.</w:t>
      </w:r>
    </w:p>
    <w:p w14:paraId="77EFE483" w14:textId="5080AD15" w:rsidR="00F07877" w:rsidRDefault="00F07877" w:rsidP="00E444A5"/>
    <w:p w14:paraId="491E7F02" w14:textId="2A26C3AC" w:rsidR="00D64ED5" w:rsidRDefault="00D64ED5" w:rsidP="00E444A5">
      <w:r>
        <w:br/>
      </w:r>
      <w:r>
        <w:br/>
      </w:r>
      <w:r>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HyperText Markup Language (HTML) este un limbaj de marcare utilizat pentru crearea paginilor web ce pot fi afișate într-un browser (sau navigator). Scopul HTML este mai degrabă 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lastRenderedPageBreak/>
        <w:t>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lastRenderedPageBreak/>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lastRenderedPageBreak/>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lastRenderedPageBreak/>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lastRenderedPageBreak/>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w:t>
      </w:r>
      <w:r>
        <w:rPr>
          <w:sz w:val="24"/>
          <w:szCs w:val="24"/>
          <w:lang w:val="fr-FR"/>
        </w:rPr>
        <w:lastRenderedPageBreak/>
        <w:t>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HTML5, de asemenea, definește in câteva detalii prelucrările necesare pentru 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Chiar dacă HTML5 a fost bine cunoscuta in buni printre dezvoltatorii de web, el devine subiectul degneral de discuție în media în Aprilie 2010 după ce Steve Jobs, CEO la Apple Inc. atunci, a dat </w:t>
      </w:r>
      <w:r>
        <w:rPr>
          <w:sz w:val="24"/>
          <w:szCs w:val="24"/>
          <w:lang w:val="fr-FR"/>
        </w:rPr>
        <w:lastRenderedPageBreak/>
        <w:t>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Caietul de sarcini a fost adoptat ca punct de pornire la dezvoltarea noului HTML de grupul de lucru de la W3C, Consorțiul World Wide Web, în 2007. Acest grup a publicat Primul Proiect 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Pe 14 februarie 2011, W3C a extins documentul HTML Working Group cu etape clare pentru HTML5. De la acest work group se așteapta în mai 2011 să avanseze HTML5 la nivel de "Last </w:t>
      </w:r>
      <w:r>
        <w:rPr>
          <w:sz w:val="24"/>
          <w:szCs w:val="24"/>
          <w:lang w:val="fr-FR"/>
        </w:rPr>
        <w:lastRenderedPageBreak/>
        <w:t>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lastRenderedPageBreak/>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lastRenderedPageBreak/>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În Web Design-ul modern, pentru stilizarea paginilor web se folosește numai CSS. Acest lucruînseamnăcă de la culoarea literelor și a backgroundului până și la poziționarea elementelor 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scrise. Această abordare are avantaje clare: viteză mare de încărcare, securitate sporită (nu există puncte de atac la nivel de server), costuri reduse de găzduire și mentenanță simplă. Pentru un proiect informativ precum cel dedicat reciclării deșeurilor și protejării mediului, structura statică este alegerea naturală, deoarece conținutul (descrieri ale tipurilor de deșeuri, beneficii ale reciclării, curiozități ecologice)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Navigarea între paginile unui site static se realizează exclusiv prin tag-ul HTML &lt;a href="..."&gt; (anchor), care creează hyperlink-uri către alte fișiere HTML din același director sau către resurse 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r>
      <w:r>
        <w:br/>
      </w:r>
      <w:r>
        <w:br/>
      </w:r>
      <w:r>
        <w:br/>
      </w:r>
      <w:r>
        <w:br/>
      </w:r>
      <w:r>
        <w:br/>
      </w:r>
      <w:r>
        <w:br/>
      </w:r>
    </w:p>
    <w:p w14:paraId="5D1FBD78" w14:textId="5207BA8D" w:rsidR="00A02FC1" w:rsidRPr="00D64ED5" w:rsidRDefault="402A6664" w:rsidP="6D7E8410">
      <w:pPr>
        <w:rPr>
          <w:rFonts w:ascii="Arial" w:hAnsi="Arial" w:cs="Arial"/>
        </w:rPr>
      </w:pPr>
      <w:r>
        <w:t xml:space="preserve">                                     </w:t>
      </w:r>
      <w:r>
        <w:rPr>
          <w:sz w:val="28"/>
          <w:szCs w:val="28"/>
        </w:rPr>
        <w:t xml:space="preserve">  </w:t>
      </w: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lastRenderedPageBreak/>
        <w:t>Aplicația a fost realizată în HTML și CSS. Aceasta abordează un design cu legătură asupra temei alese.</w:t>
      </w:r>
    </w:p>
    <w:p w14:paraId="7CD58952" w14:textId="723E51C2" w:rsidR="00EB007C" w:rsidRPr="00EB007C" w:rsidRDefault="4C00BAB2" w:rsidP="6D7E8410">
      <w:pPr>
        <w:spacing w:line="360" w:lineRule="auto"/>
      </w:pPr>
      <w:r>
        <w:t>Pagina principală (“index.html”) prezintă în partea de sus un &lt;header&gt; cu fundal pe bază de gradient liniar (linear-gradient) în nuanțe deschise de verde-mentă (de la alb până la un verde foarte pal #f0fdf4 → #dcfce7), care se întinde pe toată lățimea paginii și are aplicat un box-shadow ușor pe partea inferioară pentru efect de adâncime. În interiorul header-ului se află titlul mare “Reciclarea Deșeurilor și Protejarea Mediului”, redat cu letter-spacing pentru un aspect aerisit și culoare verde-închis, urmat de două paragrafe introductive cu font-style oblique care explică pe scurt în ce constă reciclarea și de ce este ea importantă în societatea modernă. În colțul din stânga-sus al header-ului, poziționat absolut, este afișat un tabel (&lt;table class="tabel-autori"&gt;) cu fundal alb semi-transparent care conține pe două rânduri informațiile autorilor: “Profesor coordonator: Acatrinei Vasile Cristi” și “Elev candidat: Oprișanu Lucian-Mihai”.</w:t>
      </w:r>
      <w:r>
        <w:br/>
      </w:r>
      <w:r>
        <w:br/>
        <w:t>În partea centrală a paginii principale, sub header, sunt plasate trei butoane CTA (call-to-action) dispuse vertical, care permit utilizatorului să navigheze rapid către cele trei pagini interioare ale site-ului: “De ce este importantă reciclarea” (buton principal cu fundal pe bază de gradient verde-mentă → turcoaz, text alb, colțuri rotunjite și o ușoară umbră), “Vezi tipurile de deșeuri” și “Descoperă curiozități” (butoane secundare în stil “ghost”, cu fundal alb, text verde și o bordură subțire verde-mentă). Întreaga zonă este încadrată într-un container cu lățime maximă de aproximativ 800px, centrat pe ecran, peste un fundal alb-pal cu nuanță foarte ușoară de verde, care creează o atmosferă curată și aerisită, potrivită cu tema ecologică.</w:t>
      </w:r>
      <w:r>
        <w:br/>
      </w:r>
      <w:r>
        <w:br/>
        <w:t xml:space="preserve">Mai jos pe pagina principală se află secțiunea “Ce înveți pe acest site”, un bloc cu trei carduri albe dispuse în grilă, fiecare cu o umbră fină (box-shadow rgba) și colțuri rotunjite (border-radius 12px). Primul card prezintă “Impact asupra naturii” — cum reciclarea protejează ecosistemele și reduce presiunea asupra mediului; al doilea, “Categorii de deșeuri” — cum se diferențiază deșeurile și cum sunt ele gestionate prin colectare selectivă; iar al treilea, “Fapte interesante” — informații surprinzătoare care arată cât de valoroasă este reciclarea. Fiecare card este un hyperlink HTML (&lt;a href="..."&gt;) către pagina interioară corespunzătoare, iar la trecerea cursorului peste un card, acesta se ridică ușor (efect de hover cu transform: translateY) printr-o tranziție CSS de 0.3s, oferind un feedback vizual fluid utilizatorului. Pagina se încheie cu un paragraf de concluzie încadrat de o bordură verde la stânga (border-left), care subliniază mesajul </w:t>
      </w:r>
      <w:r>
        <w:lastRenderedPageBreak/>
        <w:t>central: prin colectare selectivă și reutilizare, fiecare persoană poate contribui la reducerea poluării și la conservarea resurselor naturale. În subsolul paginii apare un footer simplu cu textul “Proiect educațional - Reciclarea deșeurilor”, prezent identic pe toate paginile site-ului.</w:t>
      </w:r>
      <w:r>
        <w:br/>
      </w:r>
      <w:r>
        <w:br/>
      </w:r>
      <w:r>
        <w:br/>
      </w:r>
      <w:r>
        <w:br/>
      </w:r>
      <w:r w:rsidR="00040D82" w:rsidRPr="00040D82">
        <w:drawing>
          <wp:inline distT="0" distB="0" distL="0" distR="0" wp14:anchorId="5BD366BA" wp14:editId="086D97FD">
            <wp:extent cx="5943600" cy="2839085"/>
            <wp:effectExtent l="0" t="0" r="0" b="0"/>
            <wp:docPr id="3102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01398" name=""/>
                    <pic:cNvPicPr/>
                  </pic:nvPicPr>
                  <pic:blipFill>
                    <a:blip r:embed="rId19"/>
                    <a:stretch>
                      <a:fillRect/>
                    </a:stretch>
                  </pic:blipFill>
                  <pic:spPr>
                    <a:xfrm>
                      <a:off x="0" y="0"/>
                      <a:ext cx="5943600" cy="2839085"/>
                    </a:xfrm>
                    <a:prstGeom prst="rect">
                      <a:avLst/>
                    </a:prstGeom>
                  </pic:spPr>
                </pic:pic>
              </a:graphicData>
            </a:graphic>
          </wp:inline>
        </w:drawing>
      </w:r>
    </w:p>
    <w:p w14:paraId="739E7125" w14:textId="77777777" w:rsidR="00040D82" w:rsidRDefault="52325A33" w:rsidP="6D7E8410">
      <w:r>
        <w:t xml:space="preserve">                                           Captură de ecran de pe pagina “index.html”.</w:t>
      </w:r>
      <w:r>
        <w:br/>
      </w:r>
      <w:r>
        <w:br/>
        <w:t>Apăsând pe oricare dintre butoanele CTA sau pe cele trei carduri din secțiunea “Ce înveți pe acest site”, utilizatorul este redirecționat către o pagină interioară separată dedicată subiectului ales. Toate cele trei pagini interioare ale site-ului — “importanta-reciclarii.html”, “tipuri-deseuri.html” și “curiozitati-reciclare.html” — au o structură vizuală unitară, asigurând o experiență de navigare consecventă, însă fiecare adoptă o variație ușoară în paleta cromatică și în modul de aranjare al cardurilor (definite în fișierul style.css comun) pentru a diferenția vizual cele trei tematici: importanță, categorii și curiozități.</w:t>
      </w:r>
      <w:r>
        <w:br/>
      </w:r>
      <w:r>
        <w:br/>
      </w:r>
      <w:r>
        <w:br/>
      </w:r>
      <w:r w:rsidR="00040D82" w:rsidRPr="00040D82">
        <w:lastRenderedPageBreak/>
        <w:drawing>
          <wp:inline distT="0" distB="0" distL="0" distR="0" wp14:anchorId="1419C4C5" wp14:editId="0AFE3B30">
            <wp:extent cx="5943600" cy="2818130"/>
            <wp:effectExtent l="0" t="0" r="0" b="1270"/>
            <wp:docPr id="21330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5646" name=""/>
                    <pic:cNvPicPr/>
                  </pic:nvPicPr>
                  <pic:blipFill>
                    <a:blip r:embed="rId20"/>
                    <a:stretch>
                      <a:fillRect/>
                    </a:stretch>
                  </pic:blipFill>
                  <pic:spPr>
                    <a:xfrm>
                      <a:off x="0" y="0"/>
                      <a:ext cx="5943600" cy="2818130"/>
                    </a:xfrm>
                    <a:prstGeom prst="rect">
                      <a:avLst/>
                    </a:prstGeom>
                  </pic:spPr>
                </pic:pic>
              </a:graphicData>
            </a:graphic>
          </wp:inline>
        </w:drawing>
      </w:r>
      <w:r>
        <w:br/>
        <w:t xml:space="preserve">                                      Captură de ecran de pe pagina “importanta-reciclarii.html”</w:t>
      </w:r>
      <w:r>
        <w:br/>
      </w:r>
      <w:r>
        <w:br/>
      </w:r>
      <w:r>
        <w:br/>
        <w:t>Prima pagină interioară (“importanta-reciclarii.html”) prezintă în partea de sus un &lt;header&gt; cu fundal verde-mentă (#86efac) și o bordură de jos de 4px într-o nuanță mai închisă de verde (#16a34a), care conține un &lt;h1&gt; cu titlul “De ce este importantă reciclarea”, urmat de un &lt;p&gt; cu un subtitlu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tonul verde-mentă pentru o adâncime vizuală coerentă. Fundalul paginii are o nuanță verde foarte deschisă, aproape pal (#f0fdf4), iar pe acesta sunt dispuse vertical patru carduri albe care explică separat fiecare argument pentru reciclare: un paragraf introductiv despre rolul esențial al reciclării, urmat de cardurile “Protejarea mediului”, “Economisirea resurselor naturale” și “Reducerea poluării”. Fiecare card are colțuri rotunjite (border-radius 12px), padding interior și o umbră fină rgba, iar titlul cardului este redat cu &lt;strong&gt; în verde-închis (#15803d), urmat de explicația aferentă într-un text gri-închis lizibil. La final, paginile interioare conțin un paragraf de concluzie unitară, încadrat de o bandă verde verticală la stânga (border-left: 4px solid #22c55e), care leagă conținutul tematic al paginii de mesajul central al întregului site.</w:t>
      </w:r>
      <w:r>
        <w:br/>
      </w:r>
      <w:r>
        <w:br/>
        <w:t xml:space="preserve">Apăsând pe butonul “Vezi tipurile de deșeuri” din pagina principală sau pe cardul corespunzător, utilizatorul ajunge pe a doua pagină interioară (“tipuri-deseuri.html”), dedicată categoriilor de deșeuri reciclabile. Aici, layout-ul devine mai luminos și mai aerisit decât pe celelalte pagini: fundalul paginii este aproape alb (#fbfffd), iar conținutul este organizat sub forma unei grile (display: grid sau flex cu wrap) cu patru tile-uri pătrate — “Hârtie și carton”, “Plastic”, “Sticlă” și “Metal” — fiecare cu fundal alb foarte luminos și cu o bordură subțire verde-pal (#bbf7d0) care delimitează vizual cardul fără a-l încărca. În interiorul fiecărui tile se găsește numele categoriei redat cu &lt;strong&gt; în verde-închis, urmat de o scurtă descriere a tipurilor specifice de deșeuri și a modului în care ele pot fi valorificate — ziare, reviste și cutii reciclate în caiete sau </w:t>
      </w:r>
      <w:r>
        <w:lastRenderedPageBreak/>
        <w:t xml:space="preserve">ambalaje, sticle din plastic transformate în alte obiecte, sticla refolosită aproape la nesfârșit în recipiente noi, doze de aluminiu retrase din uz și reintroduse în circuitul economic. Pagina păstrează același design unitar — header colorat verde-mentă cu titlu, buton de revenire la pagina principală și un &lt;main&gt; central — însă cu această variație ușoară a paletei care îi dă un aer mai “luminos”, potrivit cu ideea de claritate și separare a categoriilor.                               </w:t>
      </w:r>
      <w:r>
        <w:br/>
      </w:r>
      <w:r>
        <w:br/>
      </w:r>
      <w:r>
        <w:br/>
        <w:t xml:space="preserve"> </w:t>
      </w:r>
      <w:r w:rsidR="00040D82" w:rsidRPr="00040D82">
        <w:drawing>
          <wp:inline distT="0" distB="0" distL="0" distR="0" wp14:anchorId="33C1B4BF" wp14:editId="3979819E">
            <wp:extent cx="5943600" cy="2838450"/>
            <wp:effectExtent l="0" t="0" r="0" b="0"/>
            <wp:docPr id="9893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2858" name=""/>
                    <pic:cNvPicPr/>
                  </pic:nvPicPr>
                  <pic:blipFill>
                    <a:blip r:embed="rId21"/>
                    <a:stretch>
                      <a:fillRect/>
                    </a:stretch>
                  </pic:blipFill>
                  <pic:spPr>
                    <a:xfrm>
                      <a:off x="0" y="0"/>
                      <a:ext cx="5943600" cy="2838450"/>
                    </a:xfrm>
                    <a:prstGeom prst="rect">
                      <a:avLst/>
                    </a:prstGeom>
                  </pic:spPr>
                </pic:pic>
              </a:graphicData>
            </a:graphic>
          </wp:inline>
        </w:drawing>
      </w:r>
      <w:r>
        <w:br/>
      </w:r>
      <w:r>
        <w:br/>
        <w:t xml:space="preserve">                                      Captură de ecran de pe pagina “tipuri-deseuri.html”</w:t>
      </w:r>
      <w:r>
        <w:br/>
      </w:r>
      <w:r>
        <w:br/>
        <w:t>Pagina “curiozitati-reciclare.html”, accesibilă prin butonul “Descoperă curiozități” din pagina principală, prezintă într-o formă concentrată cele mai surprinzătoare fapte despre reciclare. Structura paginii este intenționat mai simplă decât celelalte: în loc de mai multe carduri dispuse în grilă, există un singur card alb central, larg și aerisit, care găzduiește o listă de curiozități. Lista (&lt;ul class="curiozitati"&gt;) folosește list-style: none, iar fiecare &lt;li&gt; începe cu un mic indicator vizual verde (un punct sau o iconiță simplă) urmat de fapt: că o sticlă din plastic poate avea nevoie de peste 400 de ani pentru a se descompune în natură, că sticla este unul dintre materialele care pot fi reciclate aproape la nesfârșit, că reciclarea unei tone de hârtie poate salva aproximativ 17 copaci, că dozele de aluminiu reciclate pot fi transformate în produse noi în doar câteva săptămâni, sau că prin reciclare se poate reduce semnificativ cantitatea de deșeuri depozitate în gropile de gunoi. Structura paginii este identică ca logică cu cea a celorlalte secțiuni: un &lt;header&gt; verde-mentă cu bordură verde mai închisă, un fundal alb-pal cu accente turcoaz și text gri-închis lizibil, iar la final același paragraf de concluzie încadrat de bandă verde la stânga. Revenirea la pagina principală se face prin butonul “← Înapoi la pagina principală” din header.</w:t>
      </w:r>
    </w:p>
    <w:p w14:paraId="3FA36554" w14:textId="5B4C7E09" w:rsidR="00B063A1" w:rsidRDefault="00040D82" w:rsidP="6D7E8410">
      <w:r w:rsidRPr="00040D82">
        <w:lastRenderedPageBreak/>
        <w:drawing>
          <wp:inline distT="0" distB="0" distL="0" distR="0" wp14:anchorId="208BF511" wp14:editId="6778BE6F">
            <wp:extent cx="5943600" cy="2846705"/>
            <wp:effectExtent l="0" t="0" r="0" b="0"/>
            <wp:docPr id="20333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2491" name=""/>
                    <pic:cNvPicPr/>
                  </pic:nvPicPr>
                  <pic:blipFill>
                    <a:blip r:embed="rId22"/>
                    <a:stretch>
                      <a:fillRect/>
                    </a:stretch>
                  </pic:blipFill>
                  <pic:spPr>
                    <a:xfrm>
                      <a:off x="0" y="0"/>
                      <a:ext cx="5943600" cy="2846705"/>
                    </a:xfrm>
                    <a:prstGeom prst="rect">
                      <a:avLst/>
                    </a:prstGeom>
                  </pic:spPr>
                </pic:pic>
              </a:graphicData>
            </a:graphic>
          </wp:inline>
        </w:drawing>
      </w:r>
      <w:r w:rsidR="52325A33">
        <w:br/>
      </w:r>
      <w:r w:rsidR="52325A33">
        <w:br/>
        <w:t>În total, site-ul conține patru pagini HTML interconectate, fiecare cu un rol bine definit: (1) pagina principală “index.html” — punctul de pornire al site-ului, care prezintă introducerea generală în temă, cele trei butoane CTA și cardurile din secțiunea “Ce înveți pe acest site”; (2) “importanta-reciclarii.html” — pagina care explică, prin patru carduri dispuse vertical (Protejarea mediului, Economisirea resurselor naturale, Reducerea poluării și paragraful introductiv), de ce este importantă reciclarea; (3) “tipuri-deseuri.html” — pagina cu grila de patru tile-uri pentru categoriile principale (Hârtie și carton, Plastic, Sticlă, Metal) și modul în care fiecare poate fi valorificat; și (4) “curiozitati-reciclare.html” — pagina cu cardul central unic care conține lista de fapte interesante despre reciclare. Toate paginile sunt interconectate prin hyperlink-uri HTML standard (&lt;a href="..."&gt;) — butoanele CTA și cardurile din pagina principală duc către cele trei pagini interioare, iar fiecare pagină interioară conține propriul buton “Înapoi la pagina principală” care reface legătura către index.html. Toate paginile împărtășesc același fișier style.css extern, ceea ce asigură o paletă cromatică unitară (verde-mentă, alb-pal, turcoaz) și o logică structurală identică — header cu titlu, buton de întoarcere, &lt;main&gt; central cu carduri și paragraf de concluzie cu bordură verde la stânga — însă cu variații subtile în modul de aranjare al cardurilor (stivă verticală pentru “importanta”, grilă de patru tile-uri pentru “tipuri”, card central unic pentru “curiozitati”) care diferențiază vizual fiecare secțiune. Site-ul este complet static: navigarea se realizează exclusiv prin hyperlink-uri HTML, fără JavaScript, fără procesare server-side și fără bază de date, ceea ce garantează viteză mare de încărcare, securitate sporită și mentenanță simplă. Pe toate paginile, în subsol, apare textul “Proiect educațional - Reciclarea deșeurilor”.</w:t>
      </w:r>
      <w:r w:rsidR="52325A33">
        <w:br/>
      </w:r>
      <w:r w:rsidR="52325A33">
        <w:br/>
      </w:r>
      <w:r w:rsidR="52325A33">
        <w:br/>
      </w:r>
      <w:r w:rsidR="52325A33">
        <w:br/>
      </w:r>
      <w:r w:rsidR="52325A33">
        <w:br/>
      </w:r>
      <w:r w:rsidR="52325A33">
        <w:br/>
      </w:r>
      <w:r w:rsidR="52325A33">
        <w:br/>
      </w:r>
      <w:r w:rsidR="52325A33">
        <w:br/>
      </w:r>
    </w:p>
    <w:p w14:paraId="265A9435" w14:textId="220DFD1E" w:rsidR="00B063A1" w:rsidRDefault="7C94D9DA" w:rsidP="6D7E8410">
      <w:pPr>
        <w:rPr>
          <w:noProof/>
        </w:rPr>
      </w:pPr>
      <w:r>
        <w:rPr>
          <w:rFonts w:ascii="Arial" w:hAnsi="Arial" w:cs="Arial"/>
          <w:b/>
          <w:bCs/>
          <w:color w:val="000000" w:themeColor="text1"/>
          <w:sz w:val="48"/>
          <w:szCs w:val="48"/>
          <w:lang w:val="fr-FR"/>
        </w:rPr>
        <w:lastRenderedPageBreak/>
        <w:t>Concluzii</w:t>
      </w:r>
      <w:r>
        <w:br/>
      </w:r>
      <w:r>
        <w:br/>
      </w:r>
      <w:r>
        <w:br/>
      </w:r>
      <w:r>
        <w:br/>
      </w:r>
      <w:r>
        <w:rPr>
          <w:noProof/>
        </w:rPr>
        <w:t>Cunoașterea limbajelor HTML și CSS este foarte utilă în lumea modernă, unde suntem înconjurați de dispozitive digitale, iar internetul face parte din viața noastră. Totodată, alegerea temei reciclării deșeurilor pentru acest proiect a confirmat că tehnologia web nu este doar un instrument tehnic, ci și un mijloc puternic de educație ecologică și de conștientizare a publicului larg asupra responsabilității pe care o avem cu toții față de mediul înconjurător.</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descopăr mai în profunzime importanța reciclării și a colectării selective — de la cifrele impresionante despre impactul reciclării asupra mediului, la diferențele dintre categoriile de deșeuri (hârtie, plastic, sticlă, metal) și la curiozități precum faptul că o sticlă de plastic poate persista în natură peste 400 de ani sau că reciclarea unei tone de hârtie salvează aproximativ 17 copaci — și să înțeleg cum un site web simplu poate transforma informațiile despre ecologie într-o experiență accesibilă pentru orice vizitator.</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lastRenderedPageBreak/>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r>
      <w:r>
        <w:br/>
      </w:r>
      <w: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11B2DED9" w:rsidR="00E97FA4" w:rsidRPr="00B063A1" w:rsidRDefault="00040D82" w:rsidP="00E444A5">
      <w:pPr>
        <w:spacing w:line="360" w:lineRule="auto"/>
        <w:jc w:val="both"/>
        <w:rPr>
          <w:lang w:val="fr-FR"/>
        </w:rPr>
      </w:pPr>
      <w:r w:rsidRPr="00040D82">
        <w:rPr>
          <w:lang w:val="fr-FR"/>
        </w:rPr>
        <w:drawing>
          <wp:inline distT="0" distB="0" distL="0" distR="0" wp14:anchorId="161BF816" wp14:editId="3E86AFF5">
            <wp:extent cx="5943600" cy="2828925"/>
            <wp:effectExtent l="0" t="0" r="0" b="9525"/>
            <wp:docPr id="2290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8443" name=""/>
                    <pic:cNvPicPr/>
                  </pic:nvPicPr>
                  <pic:blipFill>
                    <a:blip r:embed="rId23"/>
                    <a:stretch>
                      <a:fillRect/>
                    </a:stretch>
                  </pic:blipFill>
                  <pic:spPr>
                    <a:xfrm>
                      <a:off x="0" y="0"/>
                      <a:ext cx="5943600" cy="2828925"/>
                    </a:xfrm>
                    <a:prstGeom prst="rect">
                      <a:avLst/>
                    </a:prstGeom>
                  </pic:spPr>
                </pic:pic>
              </a:graphicData>
            </a:graphic>
          </wp:inline>
        </w:drawing>
      </w: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4">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5">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6">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Reciclare: </w:t>
      </w:r>
      <w:hyperlink r:id="rId27">
        <w:r>
          <w:rPr>
            <w:rStyle w:val="Hyperlink"/>
            <w:rFonts w:ascii="Arial" w:eastAsia="Arial" w:hAnsi="Arial" w:cs="Arial"/>
          </w:rPr>
          <w:t>https://ro.wikipedia.org/wiki/Reciclare</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Reciclarea hârtiei: </w:t>
      </w:r>
      <w:hyperlink r:id="rId28">
        <w:r>
          <w:rPr>
            <w:rStyle w:val="Hyperlink"/>
            <w:rFonts w:ascii="Arial" w:eastAsia="Arial" w:hAnsi="Arial" w:cs="Arial"/>
          </w:rPr>
          <w:t>https://ro.wikipedia.org/wiki/Reciclarea_hârtiei</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Reciclarea plasticului: </w:t>
      </w:r>
      <w:hyperlink r:id="rId29">
        <w:r>
          <w:rPr>
            <w:rStyle w:val="Hyperlink"/>
            <w:rFonts w:ascii="Arial" w:eastAsia="Arial" w:hAnsi="Arial" w:cs="Arial"/>
          </w:rPr>
          <w:t>https://ro.wikipedia.org/wiki/Reciclarea_plasticului</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Reciclarea sticlei: </w:t>
      </w:r>
      <w:hyperlink r:id="rId30">
        <w:r>
          <w:rPr>
            <w:rStyle w:val="Hyperlink"/>
            <w:rFonts w:ascii="Arial" w:eastAsia="Arial" w:hAnsi="Arial" w:cs="Arial"/>
          </w:rPr>
          <w:t>https://ro.wikipedia.org/wiki/Reciclarea_sticlei</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Reciclarea aluminiului: </w:t>
      </w:r>
      <w:hyperlink r:id="rId31">
        <w:r>
          <w:rPr>
            <w:rStyle w:val="Hyperlink"/>
            <w:rFonts w:ascii="Arial" w:eastAsia="Arial" w:hAnsi="Arial" w:cs="Arial"/>
          </w:rPr>
          <w:t>https://ro.wikipedia.org/wiki/Reciclarea_aluminiului</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Colectare selectivă a deșeurilor: </w:t>
      </w:r>
      <w:hyperlink r:id="rId32">
        <w:r>
          <w:rPr>
            <w:rStyle w:val="Hyperlink"/>
            <w:rFonts w:ascii="Arial" w:eastAsia="Arial" w:hAnsi="Arial" w:cs="Arial"/>
          </w:rPr>
          <w:t>https://ro.wikipedia.org/wiki/Colectare_selectivă_a_deșeurilor</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lastRenderedPageBreak/>
        <w:t xml:space="preserve">Wikipedia – Compost: </w:t>
      </w:r>
      <w:hyperlink r:id="rId33">
        <w:r>
          <w:rPr>
            <w:rStyle w:val="Hyperlink"/>
            <w:rFonts w:ascii="Arial" w:eastAsia="Arial" w:hAnsi="Arial" w:cs="Arial"/>
          </w:rPr>
          <w:t>https://ro.wikipedia.org/wiki/Compost</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Deșeu: </w:t>
      </w:r>
      <w:hyperlink r:id="rId34">
        <w:r>
          <w:rPr>
            <w:rStyle w:val="Hyperlink"/>
            <w:rFonts w:ascii="Arial" w:eastAsia="Arial" w:hAnsi="Arial" w:cs="Arial"/>
          </w:rPr>
          <w:t>https://ro.wikipedia.org/wiki/Deșeu</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Ministerul Mediului, Apelor și Pădurilor din România: </w:t>
      </w:r>
      <w:hyperlink r:id="rId35">
        <w:r>
          <w:rPr>
            <w:rStyle w:val="Hyperlink"/>
            <w:rFonts w:ascii="Arial" w:eastAsia="Arial" w:hAnsi="Arial" w:cs="Arial"/>
          </w:rPr>
          <w:t>https://www.mmediu.ro/</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Agenția Europeană de Mediu – tematica deșeurilor: </w:t>
      </w:r>
      <w:hyperlink r:id="rId36">
        <w:r>
          <w:rPr>
            <w:rStyle w:val="Hyperlink"/>
            <w:rFonts w:ascii="Arial" w:eastAsia="Arial" w:hAnsi="Arial" w:cs="Arial"/>
          </w:rPr>
          <w:t>https://www.eea.europa.eu/ro/themes/waste</w:t>
        </w:r>
      </w:hyperlink>
    </w:p>
    <w:sectPr w:rsidR="009974FA" w:rsidSect="00796D43">
      <w:footerReference w:type="defaul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5DB9" w14:textId="77777777" w:rsidR="006B7D92" w:rsidRDefault="006B7D92" w:rsidP="008F5815">
      <w:r>
        <w:separator/>
      </w:r>
    </w:p>
  </w:endnote>
  <w:endnote w:type="continuationSeparator" w:id="0">
    <w:p w14:paraId="1E5CF01D" w14:textId="77777777" w:rsidR="006B7D92" w:rsidRDefault="006B7D92"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8A26" w14:textId="77777777" w:rsidR="006B7D92" w:rsidRDefault="006B7D92" w:rsidP="008F5815">
      <w:r>
        <w:separator/>
      </w:r>
    </w:p>
  </w:footnote>
  <w:footnote w:type="continuationSeparator" w:id="0">
    <w:p w14:paraId="7B317F82" w14:textId="77777777" w:rsidR="006B7D92" w:rsidRDefault="006B7D92"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30A8F"/>
    <w:rsid w:val="00040D82"/>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1E08"/>
    <w:rsid w:val="005941BB"/>
    <w:rsid w:val="005A1AAF"/>
    <w:rsid w:val="005A93E3"/>
    <w:rsid w:val="005B7E11"/>
    <w:rsid w:val="005C16FC"/>
    <w:rsid w:val="005D114B"/>
    <w:rsid w:val="00626569"/>
    <w:rsid w:val="00640D00"/>
    <w:rsid w:val="006424F8"/>
    <w:rsid w:val="00660978"/>
    <w:rsid w:val="00664994"/>
    <w:rsid w:val="00680FB9"/>
    <w:rsid w:val="006A4C97"/>
    <w:rsid w:val="006A7E1C"/>
    <w:rsid w:val="006B0F91"/>
    <w:rsid w:val="006B1434"/>
    <w:rsid w:val="006B46D6"/>
    <w:rsid w:val="006B7D92"/>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5A5"/>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61C38"/>
    <w:rsid w:val="00B71D9C"/>
    <w:rsid w:val="00B92370"/>
    <w:rsid w:val="00B934BA"/>
    <w:rsid w:val="00BB0DA2"/>
    <w:rsid w:val="00BB4BA1"/>
    <w:rsid w:val="00BB4E5D"/>
    <w:rsid w:val="00BD4E8C"/>
    <w:rsid w:val="00BD58B6"/>
    <w:rsid w:val="00BF65FF"/>
    <w:rsid w:val="00BF79CE"/>
    <w:rsid w:val="00C17D26"/>
    <w:rsid w:val="00C2160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chat.openai.com/" TargetMode="External"/><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s://ro.wikipedia.org/wiki/De&#537;eu" TargetMode="External"/><Relationship Id="rId7" Type="http://schemas.openxmlformats.org/officeDocument/2006/relationships/endnotes" Target="endnot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wikipedia.com/" TargetMode="External"/><Relationship Id="rId33" Type="http://schemas.openxmlformats.org/officeDocument/2006/relationships/hyperlink" Target="https://ro.wikipedia.org/wiki/Compost"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hyperlink" Target="https://ro.wikipedia.org/wiki/Reciclarea_plasticulu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hyperlink" Target="https://scribd.com/" TargetMode="External"/><Relationship Id="rId32" Type="http://schemas.openxmlformats.org/officeDocument/2006/relationships/hyperlink" Target="https://ro.wikipedia.org/wiki/Colectare_selectiv&#259;_a_de&#537;eurilor"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image" Target="media/image5.png"/><Relationship Id="rId28" Type="http://schemas.openxmlformats.org/officeDocument/2006/relationships/hyperlink" Target="https://ro.wikipedia.org/wiki/Reciclarea_h&#226;rtiei" TargetMode="External"/><Relationship Id="rId36" Type="http://schemas.openxmlformats.org/officeDocument/2006/relationships/hyperlink" Target="https://www.eea.europa.eu/ro/themes/waste" TargetMode="Externa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hyperlink" Target="https://ro.wikipedia.org/wiki/Reciclarea_aluminiului"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image" Target="media/image4.png"/><Relationship Id="rId27" Type="http://schemas.openxmlformats.org/officeDocument/2006/relationships/hyperlink" Target="https://ro.wikipedia.org/wiki/Reciclare" TargetMode="External"/><Relationship Id="rId30" Type="http://schemas.openxmlformats.org/officeDocument/2006/relationships/hyperlink" Target="https://ro.wikipedia.org/wiki/Reciclarea_sticlei" TargetMode="External"/><Relationship Id="rId35" Type="http://schemas.openxmlformats.org/officeDocument/2006/relationships/hyperlink" Target="https://www.mmediu.ro/"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6667</Words>
  <Characters>38002</Characters>
  <Application>Microsoft Office Word</Application>
  <DocSecurity>0</DocSecurity>
  <Lines>316</Lines>
  <Paragraphs>89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6</cp:revision>
  <dcterms:created xsi:type="dcterms:W3CDTF">2026-05-09T11:49:00Z</dcterms:created>
  <dcterms:modified xsi:type="dcterms:W3CDTF">2026-05-13T14:01:00Z</dcterms:modified>
</cp:coreProperties>
</file>