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14="http://schemas.microsoft.com/office/word/2010/wordml" xmlns:pic="http://schemas.openxmlformats.org/drawingml/2006/picture" xmlns:a="http://schemas.openxmlformats.org/drawingml/2006/main" xmlns:mc="http://schemas.openxmlformats.org/markup-compatibility/2006" mc:Ignorable="w14">
  <w:body>
    <w:p w14:paraId="2E2CEF10">
      <w:pPr>
        <w:pStyle w:val="Heading1"/>
      </w:pPr>
      <w:r>
        <w:rPr>
          <w:rFonts w:hint="eastAsia"/>
        </w:rPr>
        <w:t>含图片文档转换测试</w:t>
      </w:r>
    </w:p>
    <w:p w14:paraId="66CB20F7">
      <w:pPr>
        <w:pStyle w:val="Normal"/>
      </w:pPr>
      <w:r>
        <w:rPr>
          <w:rFonts w:hint="eastAsia"/>
        </w:rPr>
        <w:t>本文件用于验证「图片内嵌」功能：文档中的插图能否原样保留进 Markdown。</w:t>
      </w:r>
    </w:p>
    <w:p w14:paraId="7DCADB54">
      <w:pPr>
        <w:pStyle w:val="Heading2"/>
      </w:pPr>
      <w:r>
        <w:rPr>
          <w:rFonts w:hint="eastAsia"/>
        </w:rPr>
        <w:t>一、插图</w:t>
      </w:r>
    </w:p>
    <w:p w14:paraId="532E4309">
      <w:pPr>
        <w:pStyle w:val="Normal"/>
      </w:pPr>
      <w:r>
        <w:rPr>
          <w:rFonts w:hint="eastAsia"/>
        </w:rPr>
        <w:t>下面这张柱状图是文档内嵌的位图，不是外部链接。</w:t>
      </w:r>
    </w:p>
    <w:p w14:paraId="0FBF8C04">
      <w:pPr>
        <w:jc w:val="center"/>
      </w:pPr>
      <w:r>
        <w:drawing>
          <wp:inline distT="0" distB="0" distL="0" distR="0">
            <wp:extent cx="4572000" cy="2571750"/>
            <wp:effectExtent l="0" t="0" r="0" b="0"/>
            <wp:docPr id="2" name="图表 1" descr="季度销量对比柱状图"/>
            <a:graphic>
              <a:graphicData uri="http://schemas.openxmlformats.org/drawingml/2006/picture">
                <pic:pic>
                  <pic:nvPicPr>
                    <pic:cNvPr id="3" name="chart.png" descr="季度销量对比柱状图"/>
                    <pic:cNvPicPr/>
                  </pic:nvPicPr>
                  <pic:blipFill>
                    <a:blip r:embed="rId3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41EF">
      <w:pPr>
        <w:pStyle w:val="Caption"/>
      </w:pPr>
      <w:r>
        <w:rPr>
          <w:rFonts w:hint="eastAsia"/>
        </w:rPr>
        <w:t>图 1  季度销量对比（单位：万件）</w:t>
      </w:r>
    </w:p>
    <w:p w14:paraId="5DDD8E5B">
      <w:pPr>
        <w:pStyle w:val="Heading2"/>
      </w:pPr>
      <w:r>
        <w:rPr>
          <w:rFonts w:hint="eastAsia"/>
        </w:rPr>
        <w:t>二、对应的数据表</w:t>
      </w:r>
    </w:p>
    <w:tbl>
      <w:tblPr>
        <w:tblBorders>
          <w:top w:val="single" w:sz="6"/>
          <w:left w:val="single" w:sz="6"/>
          <w:bottom w:val="single" w:sz="6"/>
          <w:right w:val="single" w:sz="6"/>
          <w:insideH w:val="single" w:sz="6"/>
          <w:insideV w:val="single" w:sz="6"/>
        </w:tblBorders>
      </w:tblPr>
      <w:tblGrid>
        <w:gridCol w:w="0"/>
      </w:tblGrid>
      <w:tr>
        <w:trPr>
          <w:tblHeader w:val="1"/>
        </w:trPr>
        <w:tc>
          <w:tcPr/>
          <w:p w14:paraId="56396CD5">
            <w:r>
              <w:rPr>
                <w:rFonts w:hint="eastAsia"/>
                <w:b w:val="1"/>
              </w:rPr>
              <w:t>季度</w:t>
            </w:r>
          </w:p>
        </w:tc>
        <w:tc>
          <w:tcPr>
            <w:shd w:val="clear" w:fill="EAF2FB"/>
          </w:tcPr>
          <w:p w14:paraId="4F12EED7">
            <w:r>
              <w:rPr>
                <w:rFonts w:hint="eastAsia"/>
                <w:b w:val="1"/>
              </w:rPr>
              <w:t>销量</w:t>
            </w:r>
          </w:p>
        </w:tc>
        <w:tc>
          <w:tcPr>
            <w:shd w:val="clear" w:fill="EAF2FB"/>
          </w:tcPr>
          <w:p w14:paraId="48724049">
            <w:r>
              <w:rPr>
                <w:rFonts w:hint="eastAsia"/>
                <w:b w:val="1"/>
              </w:rPr>
              <w:t>同比</w:t>
            </w:r>
          </w:p>
        </w:tc>
      </w:tr>
      <w:tr>
        <w:trPr/>
        <w:tc>
          <w:tcPr/>
          <w:p w14:paraId="5F003643">
            <w:r>
              <w:t>Q1</w:t>
            </w:r>
          </w:p>
        </w:tc>
        <w:tc>
          <w:tcPr/>
          <w:p w14:paraId="32800FCF">
            <w:r>
              <w:rPr>
                <w:rFonts w:hint="eastAsia"/>
              </w:rPr>
              <w:t>45 万件</w:t>
            </w:r>
          </w:p>
        </w:tc>
        <w:tc>
          <w:tcPr/>
          <w:p w14:paraId="49B2D45D">
            <w:r>
              <w:t>+8%</w:t>
            </w:r>
          </w:p>
        </w:tc>
      </w:tr>
      <w:tr>
        <w:trPr>
          <w:trHeight w:val="528"/>
        </w:trPr>
        <w:tc>
          <w:tcPr/>
          <w:p w14:paraId="60A49EAB">
            <w:r>
              <w:t>Q2</w:t>
            </w:r>
          </w:p>
        </w:tc>
        <w:tc>
          <w:tcPr/>
          <w:p w14:paraId="34DDE6E7">
            <w:r>
              <w:rPr>
                <w:rFonts w:hint="eastAsia"/>
              </w:rPr>
              <w:t>72 万件</w:t>
            </w:r>
          </w:p>
        </w:tc>
        <w:tc>
          <w:tcPr/>
          <w:p w14:paraId="69AE4572">
            <w:r>
              <w:t>+15%</w:t>
            </w:r>
          </w:p>
        </w:tc>
      </w:tr>
      <w:tr>
        <w:trPr/>
        <w:tc>
          <w:tcPr/>
          <w:p w14:paraId="00800DBA">
            <w:r>
              <w:t>Q3</w:t>
            </w:r>
          </w:p>
        </w:tc>
        <w:tc>
          <w:tcPr/>
          <w:p w14:paraId="5400350F">
            <w:r>
              <w:rPr>
                <w:rFonts w:hint="eastAsia"/>
              </w:rPr>
              <w:t>58 万件</w:t>
            </w:r>
          </w:p>
        </w:tc>
        <w:tc>
          <w:tcPr/>
          <w:p w14:paraId="6B17A978">
            <w:r>
              <w:t>-3%</w:t>
            </w:r>
          </w:p>
        </w:tc>
      </w:tr>
      <w:tr>
        <w:trPr/>
        <w:tc>
          <w:tcPr/>
          <w:p w14:paraId="02FCA030">
            <w:r>
              <w:t>Q4</w:t>
            </w:r>
          </w:p>
        </w:tc>
        <w:tc>
          <w:tcPr/>
          <w:p w14:paraId="5664A0A7">
            <w:r>
              <w:rPr>
                <w:rFonts w:hint="eastAsia"/>
              </w:rPr>
              <w:t>90 万件</w:t>
            </w:r>
          </w:p>
        </w:tc>
        <w:tc>
          <w:tcPr/>
          <w:p w14:paraId="0B15DA64">
            <w:r>
              <w:t>+22%</w:t>
            </w:r>
          </w:p>
        </w:tc>
      </w:tr>
    </w:tbl>
    <w:p w14:paraId="7D6563D0">
      <w:pPr>
        <w:pStyle w:val="Heading2"/>
      </w:pPr>
      <w:r>
        <w:rPr>
          <w:rFonts w:hint="eastAsia"/>
        </w:rPr>
        <w:t>三、结论</w:t>
      </w:r>
    </w:p>
    <w:p w14:paraId="772B6D50">
      <w:pPr>
        <w:pStyle w:val="Normal"/>
      </w:pPr>
      <w:r>
        <w:rPr>
          <w:rFonts w:hint="eastAsia"/>
        </w:rPr>
        <w:t>第四季度销量最高，第三季度出现小幅回落。</w:t>
      </w:r>
    </w:p>
    <w:sectPr>
      <w:pgSz w:w="11906" w:h="16838"/>
      <w:pgMar w:top="1440" w:right="1800" w:bottom="1440" w:left="1800" w:header="851" w:footer="992" w:gutter="0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="http://schemas.openxmlformats.org/wordprocessingml/2006/main" xmlns:w15="http://schemas.microsoft.com/office/word/2012/wordml" xmlns:m="http://schemas.openxmlformats.org/officeDocument/2006/math" xmlns:w14="http://schemas.microsoft.com/office/word/2010/wordml" xmlns:mc="http://schemas.openxmlformats.org/markup-compatibility/2006" mc:Ignorable="w15 w14">
  <w:zoom w:percent="100"/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0"/>
    <w:compatSetting w:name="doNotFlipMirrorIndent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overrideTableStyleFontSizeAndJustification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 w:val="1"/>
  <w15:docId w15:val="{0549D595-5F3E-9A49-832F-E7DF37783478}"/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image" Target="media/image1.png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2026-09-15T09:17:51Z</dcterms:created>
  <dcterms:modified xsi:type="dcterms:W3CDTF">2026-09-15T09:17:51Z</dcterms:modified>
</cp:coreProperties>
</file>