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C01A1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⚠  JOGÁSZ VALIDÁLJA LAUNCH ELŐTT  —  VÁZLAT, NEM JOGI TANÁCS  ⚠</w:t>
            </w:r>
          </w:p>
        </w:tc>
      </w:tr>
    </w:tbl>
    <w:p/>
    <w:p>
      <w:pPr>
        <w:pStyle w:val="Title"/>
      </w:pPr>
      <w:r>
        <w:rPr>
          <w:color w:val="0D1117"/>
        </w:rPr>
        <w:t>Affiliate Disclosure (Partneri Közlés)</w:t>
      </w:r>
    </w:p>
    <w:p>
      <w:r>
        <w:rPr>
          <w:i/>
          <w:color w:val="555B62"/>
          <w:sz w:val="20"/>
        </w:rPr>
        <w:t>FX·King — az FX·King és a partner-broker viszonyának átlátható közlése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Verzió</w:t>
            </w:r>
          </w:p>
        </w:tc>
        <w:tc>
          <w:tcPr>
            <w:tcW w:type="dxa" w:w="4824"/>
          </w:tcPr>
          <w:p>
            <w:r>
              <w:t>v0.1 DRAFT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Dátum</w:t>
            </w:r>
          </w:p>
        </w:tc>
        <w:tc>
          <w:tcPr>
            <w:tcW w:type="dxa" w:w="4824"/>
          </w:tcPr>
          <w:p>
            <w:r>
              <w:t>2026-06-03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Státusz</w:t>
            </w:r>
          </w:p>
        </w:tc>
        <w:tc>
          <w:tcPr>
            <w:tcW w:type="dxa" w:w="4824"/>
          </w:tcPr>
          <w:p>
            <w:r>
              <w:t>VÁZLAT — engedélyezett jogász validálása szükséges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Célpiac</w:t>
            </w:r>
          </w:p>
        </w:tc>
        <w:tc>
          <w:tcPr>
            <w:tcW w:type="dxa" w:w="4824"/>
          </w:tcPr>
          <w:p>
            <w:r>
              <w:t>[EU tagállam(ok) — jogi review tölti ki] · ESMA / MNB hatály</w:t>
            </w:r>
          </w:p>
        </w:tc>
      </w:tr>
    </w:tbl>
    <w:p/>
    <w:p>
      <w:r>
        <w:rPr>
          <w:i/>
          <w:color w:val="555B62"/>
          <w:sz w:val="18"/>
        </w:rPr>
        <w:t>[ ] = jogi review / cégadat tölti ki.</w:t>
      </w:r>
    </w:p>
    <w:p>
      <w:pPr>
        <w:pStyle w:val="Heading1"/>
      </w:pPr>
      <w:r>
        <w:rPr>
          <w:color w:val="B07600"/>
        </w:rPr>
        <w:t>1. Egyértelmű közlés</w:t>
      </w:r>
    </w:p>
    <w:p>
      <w:r>
        <w:rPr>
          <w:b/>
          <w:color w:val="B07600"/>
        </w:rPr>
        <w:t>Az FX·King affiliate (partneri) jutalékot kap a partner-broker(ek)től azon felhasználók kereskedése után, akik az FX·King-en keresztül regisztrálnak / kapcsolódnak. Az FX·King ennek megfelelően anyagilag érdekelt.</w:t>
      </w:r>
    </w:p>
    <w:p>
      <w:pPr>
        <w:pStyle w:val="Heading1"/>
      </w:pPr>
      <w:r>
        <w:rPr>
          <w:color w:val="B07600"/>
        </w:rPr>
        <w:t>2. A rebate forrása</w:t>
      </w:r>
    </w:p>
    <w:p>
      <w:pPr>
        <w:pStyle w:val="ListBullet"/>
      </w:pPr>
      <w:r>
        <w:t>A felhasználónak fizetett rebate az affiliate jutalék (RevShare) visszaosztott része.</w:t>
      </w:r>
    </w:p>
    <w:p>
      <w:pPr>
        <w:pStyle w:val="ListBullet"/>
      </w:pPr>
      <w:r>
        <w:t>RevShare gross: ~$2.40 / lot (a broker-nettó ~30%-a). Ebből térül vissza a $1.20–$1.60 / lot rebate.</w:t>
      </w:r>
    </w:p>
    <w:p>
      <w:pPr>
        <w:pStyle w:val="ListBullet"/>
      </w:pPr>
      <w:r>
        <w:t>A CPA ($600 / qualified FTD) a welcome / referral jutalmak és a működés fedezete.</w:t>
      </w:r>
    </w:p>
    <w:p>
      <w:pPr>
        <w:pStyle w:val="Heading1"/>
      </w:pPr>
      <w:r>
        <w:rPr>
          <w:color w:val="B07600"/>
        </w:rPr>
        <w:t>3. Függetlenség hiánya</w:t>
      </w:r>
    </w:p>
    <w:p>
      <w:r>
        <w:rPr>
          <w:b/>
        </w:rPr>
        <w:t>Az FX·King NEM független a partner-brokertől a jutalék mértékéig. Az eszközök és tartalmak nem minősülnek pártatlan befektetési ajánlásnak.</w:t>
      </w:r>
    </w:p>
    <w:p>
      <w:pPr>
        <w:pStyle w:val="Heading1"/>
      </w:pPr>
      <w:r>
        <w:rPr>
          <w:color w:val="B07600"/>
        </w:rPr>
        <w:t>4. Broker engedélyezés</w:t>
      </w:r>
    </w:p>
    <w:p>
      <w:pPr>
        <w:pStyle w:val="ListBullet"/>
      </w:pPr>
      <w:r>
        <w:t>A partner-broker(ek) ESMA / [illetékes] engedélyét launch előtt verifikálni kell.</w:t>
      </w:r>
    </w:p>
    <w:p>
      <w:pPr>
        <w:pStyle w:val="ListBullet"/>
      </w:pPr>
      <w:r>
        <w:t>Csak engedélyezett, a célpiacon jogszerűen működő broker használható partnerként.</w:t>
      </w:r>
    </w:p>
    <w:p>
      <w:pPr>
        <w:pStyle w:val="ListBullet"/>
      </w:pPr>
      <w:r>
        <w:t>A célpiacok listáját jogi review hagyja jóvá.</w:t>
      </w:r>
    </w:p>
    <w:p>
      <w:pPr>
        <w:pStyle w:val="Heading1"/>
      </w:pPr>
      <w:r>
        <w:rPr>
          <w:color w:val="B07600"/>
        </w:rPr>
        <w:t>5. Összeférhetetlenség kezelése</w:t>
      </w:r>
    </w:p>
    <w:p>
      <w:pPr>
        <w:pStyle w:val="ListBullet"/>
      </w:pPr>
      <w:r>
        <w:t>Az FX·King a rebate-et a tényleges, broker által visszaigazolt volumen alapján számolja.</w:t>
      </w:r>
    </w:p>
    <w:p>
      <w:pPr>
        <w:pStyle w:val="ListBullet"/>
      </w:pPr>
      <w:r>
        <w:t>A jutalom-mechanizmus nem ösztönöz a felhasználó érdekével ellentétes túlkereskedésre.</w:t>
      </w:r>
    </w:p>
    <w:p/>
    <w:p>
      <w:r>
        <w:rPr>
          <w:i/>
          <w:color w:val="555B62"/>
          <w:sz w:val="17"/>
        </w:rPr>
        <w:t>Ez a dokumentum vázlat, kizárólag belső előkészítő célra. Nem minősül jogi tanácsadásnak, és nem helyettesíti engedélyezett jogász általi validálást. Forrás-konstansok: packages/shared/src/compliance.ts.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