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C0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⚠  JOGÁSZ VALIDÁLJA LAUNCH ELŐTT  —  VÁZLAT, NEM JOGI TANÁCS  ⚠</w:t>
            </w:r>
          </w:p>
        </w:tc>
      </w:tr>
    </w:tbl>
    <w:p/>
    <w:p>
      <w:pPr>
        <w:pStyle w:val="Title"/>
      </w:pPr>
      <w:r>
        <w:rPr>
          <w:color w:val="0D1117"/>
        </w:rPr>
        <w:t>Adatvédelmi Tájékoztató (GDPR)</w:t>
      </w:r>
    </w:p>
    <w:p>
      <w:r>
        <w:rPr>
          <w:i/>
          <w:color w:val="555B62"/>
          <w:sz w:val="20"/>
        </w:rPr>
        <w:t>Rebound — a természetes személyek adatainak kezeléséről (GDPR 2016/679)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Verzió</w:t>
            </w:r>
          </w:p>
        </w:tc>
        <w:tc>
          <w:tcPr>
            <w:tcW w:type="dxa" w:w="4824"/>
          </w:tcPr>
          <w:p>
            <w:r>
              <w:t>v0.1 DRAFT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Dátum</w:t>
            </w:r>
          </w:p>
        </w:tc>
        <w:tc>
          <w:tcPr>
            <w:tcW w:type="dxa" w:w="4824"/>
          </w:tcPr>
          <w:p>
            <w:r>
              <w:t>2026-06-03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Státusz</w:t>
            </w:r>
          </w:p>
        </w:tc>
        <w:tc>
          <w:tcPr>
            <w:tcW w:type="dxa" w:w="4824"/>
          </w:tcPr>
          <w:p>
            <w:r>
              <w:t>VÁZLAT — engedélyezett jogász validálása szükséges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Célpiac</w:t>
            </w:r>
          </w:p>
        </w:tc>
        <w:tc>
          <w:tcPr>
            <w:tcW w:type="dxa" w:w="4824"/>
          </w:tcPr>
          <w:p>
            <w:r>
              <w:t>[EU tagállam(ok) — jogi review tölti ki] · ESMA / MNB hatály</w:t>
            </w:r>
          </w:p>
        </w:tc>
      </w:tr>
    </w:tbl>
    <w:p/>
    <w:p>
      <w:r>
        <w:rPr>
          <w:i/>
          <w:color w:val="555B62"/>
          <w:sz w:val="18"/>
        </w:rPr>
        <w:t>[ ] = jogi review / cégadat tölti ki.</w:t>
      </w:r>
    </w:p>
    <w:p>
      <w:pPr>
        <w:pStyle w:val="Heading1"/>
      </w:pPr>
      <w:r>
        <w:rPr>
          <w:color w:val="B07600"/>
        </w:rPr>
        <w:t>1. Adatkezelő</w:t>
      </w:r>
    </w:p>
    <w:p>
      <w:pPr>
        <w:pStyle w:val="ListBullet"/>
      </w:pPr>
      <w:r>
        <w:t>Adatkezelő: [CÉGNÉV], [székhely], [cégjegyzékszám].</w:t>
      </w:r>
    </w:p>
    <w:p>
      <w:pPr>
        <w:pStyle w:val="ListBullet"/>
      </w:pPr>
      <w:r>
        <w:t>Kapcsolat / adatvédelmi tisztviselő (DPO, ha kötelező): [email].</w:t>
      </w:r>
    </w:p>
    <w:p>
      <w:pPr>
        <w:pStyle w:val="Heading1"/>
      </w:pPr>
      <w:r>
        <w:rPr>
          <w:color w:val="B07600"/>
        </w:rPr>
        <w:t>2. Kezelt adatok köre</w:t>
      </w:r>
    </w:p>
    <w:p>
      <w:pPr>
        <w:pStyle w:val="ListBullet"/>
      </w:pPr>
      <w:r>
        <w:t>Telegram azonosító adatok: Telegram user ID, felhasználónév, nyelvi kód (initData-ból, HMAC-kal hitelesítve).</w:t>
      </w:r>
    </w:p>
    <w:p>
      <w:pPr>
        <w:pStyle w:val="ListBullet"/>
      </w:pPr>
      <w:r>
        <w:t>Broker-kapcsolat: broker login (read-only), kereskedési adatok (lot, pár, P&amp;L, időbélyeg).</w:t>
      </w:r>
    </w:p>
    <w:p>
      <w:pPr>
        <w:pStyle w:val="ListBullet"/>
      </w:pPr>
      <w:r>
        <w:t>Kifizetési adatok: wallet-cím / IBAN (kizárólag a kifizetéshez).</w:t>
      </w:r>
    </w:p>
    <w:p>
      <w:pPr>
        <w:pStyle w:val="ListBullet"/>
      </w:pPr>
      <w:r>
        <w:t>Technikai adatok: eszköz- és IP-jelzők (csalásmegelőzés céljából).</w:t>
      </w:r>
    </w:p>
    <w:p>
      <w:pPr>
        <w:pStyle w:val="Heading1"/>
      </w:pPr>
      <w:r>
        <w:rPr>
          <w:color w:val="B07600"/>
        </w:rPr>
        <w:t>3. Az adatkezelés céljai és jogalapja</w:t>
      </w:r>
    </w:p>
    <w:p>
      <w:pPr>
        <w:pStyle w:val="ListBullet"/>
      </w:pPr>
      <w:r>
        <w:t>Szolgáltatás nyújtása (rebate-számítás, wallet) — szerződés teljesítése [GDPR 6(1)(b)].</w:t>
      </w:r>
    </w:p>
    <w:p>
      <w:pPr>
        <w:pStyle w:val="ListBullet"/>
      </w:pPr>
      <w:r>
        <w:t>Csalásmegelőzés (dedup: telefon/wallet/eszköz/IP) — jogos érdek [GDPR 6(1)(f)].</w:t>
      </w:r>
    </w:p>
    <w:p>
      <w:pPr>
        <w:pStyle w:val="ListBullet"/>
      </w:pPr>
      <w:r>
        <w:t>Jogszabályi megfelelés (AML/KYC, ha alkalmazandó) — jogi kötelezettség [GDPR 6(1)(c)].</w:t>
      </w:r>
    </w:p>
    <w:p>
      <w:pPr>
        <w:pStyle w:val="ListBullet"/>
      </w:pPr>
      <w:r>
        <w:t>Kcommunikáció / marketing — kizárólag hozzájárulás alapján [GDPR 6(1)(a)], visszavonható.</w:t>
      </w:r>
    </w:p>
    <w:p>
      <w:pPr>
        <w:pStyle w:val="Heading1"/>
      </w:pPr>
      <w:r>
        <w:rPr>
          <w:color w:val="B07600"/>
        </w:rPr>
        <w:t>4. Adatmegőrzés</w:t>
      </w:r>
    </w:p>
    <w:p>
      <w:pPr>
        <w:pStyle w:val="ListBullet"/>
      </w:pPr>
      <w:r>
        <w:t>Számviteli / kifizetési adatok: [jogszabályi megőrzési idő, pl. 8 év].</w:t>
      </w:r>
    </w:p>
    <w:p>
      <w:pPr>
        <w:pStyle w:val="ListBullet"/>
      </w:pPr>
      <w:r>
        <w:t>Kereskedési és wallet főkönyv: a jogviszony + [X] év (append-only, audit).</w:t>
      </w:r>
    </w:p>
    <w:p>
      <w:pPr>
        <w:pStyle w:val="ListBullet"/>
      </w:pPr>
      <w:r>
        <w:t>Csalásmegelőzési jelzők: [X] hónap, majd törlés/anonimizálás.</w:t>
      </w:r>
    </w:p>
    <w:p>
      <w:pPr>
        <w:pStyle w:val="Heading1"/>
      </w:pPr>
      <w:r>
        <w:rPr>
          <w:color w:val="B07600"/>
        </w:rPr>
        <w:t>5. Adatfeldolgozók és adattovábbítás</w:t>
      </w:r>
    </w:p>
    <w:p>
      <w:r>
        <w:rPr>
          <w:b w:val="0"/>
        </w:rPr>
        <w:t>Az alábbi feldolgozók [adatfeldolgozói szerződéssel] működnek közre. EU-n kívüli továbbítás esetén megfelelő garancia (SCC) szükséges:</w:t>
      </w:r>
    </w:p>
    <w:p>
      <w:pPr>
        <w:pStyle w:val="ListBullet"/>
      </w:pPr>
      <w:r>
        <w:t>Hosting / DB: [Neon / Supabase — régió: EU].</w:t>
      </w:r>
    </w:p>
    <w:p>
      <w:pPr>
        <w:pStyle w:val="ListBullet"/>
      </w:pPr>
      <w:r>
        <w:t>Cache / queue: [Upstash — régió].</w:t>
      </w:r>
    </w:p>
    <w:p>
      <w:pPr>
        <w:pStyle w:val="ListBullet"/>
      </w:pPr>
      <w:r>
        <w:t>Backend / bot hosting: [Railway / Render / Fly.io — régió].</w:t>
      </w:r>
    </w:p>
    <w:p>
      <w:pPr>
        <w:pStyle w:val="ListBullet"/>
      </w:pPr>
      <w:r>
        <w:t>Partner-broker: kereskedési adatok forrása (önálló adatkezelő lehet).</w:t>
      </w:r>
    </w:p>
    <w:p>
      <w:pPr>
        <w:pStyle w:val="Heading1"/>
      </w:pPr>
      <w:r>
        <w:rPr>
          <w:color w:val="B07600"/>
        </w:rPr>
        <w:t>6. Érintetti jogok</w:t>
      </w:r>
    </w:p>
    <w:p>
      <w:pPr>
        <w:pStyle w:val="ListBullet"/>
      </w:pPr>
      <w:r>
        <w:t>Hozzáférés, helyesbítés, törlés („elfeledtetés”), korlátozás, adathordozhatóság, tiltakozás.</w:t>
      </w:r>
    </w:p>
    <w:p>
      <w:pPr>
        <w:pStyle w:val="ListBullet"/>
      </w:pPr>
      <w:r>
        <w:t>Hozzájárulás bármikor visszavonható (a korábbi kezelés jogszerűségét nem érinti).</w:t>
      </w:r>
    </w:p>
    <w:p>
      <w:pPr>
        <w:pStyle w:val="ListBullet"/>
      </w:pPr>
      <w:r>
        <w:t>Panasz: [NAIH / illetékes felügyeleti hatóság], elérhetőség: [link].</w:t>
      </w:r>
    </w:p>
    <w:p>
      <w:pPr>
        <w:pStyle w:val="ListBullet"/>
      </w:pPr>
      <w:r>
        <w:t>Kérelmek: [email]. Válaszadási határidő: [GDPR szerint 1 hónap].</w:t>
      </w:r>
    </w:p>
    <w:p/>
    <w:p>
      <w:r>
        <w:rPr>
          <w:i/>
          <w:color w:val="555B62"/>
          <w:sz w:val="17"/>
        </w:rPr>
        <w:t>Ez a dokumentum vázlat, kizárólag belső előkészítő célra. Nem minősül jogi tanácsadásnak, és nem helyettesíti engedélyezett jogász általi validálást. Forrás-konstansok: packages/shared/src/compliance.ts.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