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E7C7B"/>
          <w:sz w:val="20"/>
          <w:szCs w:val="20"/>
        </w:rPr>
        <w:t xml:space="preserve">ANALYSTLAB AFRICA</w:t>
      </w:r>
    </w:p>
    <w:p>
      <w:pPr>
        <w:spacing w:after="40"/>
        <w:jc w:val="center"/>
      </w:pPr>
      <w:r>
        <w:rPr>
          <w:b/>
          <w:bCs/>
          <w:color w:val="1F3864"/>
          <w:sz w:val="32"/>
          <w:szCs w:val="32"/>
        </w:rPr>
        <w:t xml:space="preserve">HealthConnect Clinic Experience Lab — Data Analytics Track</w:t>
      </w:r>
    </w:p>
    <w:p>
      <w:pPr>
        <w:spacing w:after="300"/>
        <w:jc w:val="center"/>
      </w:pPr>
      <w:r>
        <w:rPr>
          <w:i/>
          <w:iCs/>
          <w:color w:val="0E7C7B"/>
          <w:sz w:val="24"/>
          <w:szCs w:val="24"/>
        </w:rPr>
        <w:t xml:space="preserve">Week 7: Analytical Testing, KPI Validation &amp; Dashboard Refinement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6800"/>
      </w:tblGrid>
      <w:tr>
        <w:trPr>
          <w:tblHeader/>
        </w:trPr>
        <w:tc>
          <w:tcPr>
            <w:tcW w:type="dxa" w:w="2800"/>
            <w:shd w:fill="1F3864" w:val="clear"/>
            <w:tcMar>
              <w:top w:type="dxa" w:w="60"/>
              <w:left w:type="dxa" w:w="80"/>
              <w:bottom w:type="dxa" w:w="60"/>
              <w:right w:type="dxa" w:w="80"/>
            </w:tcMar>
          </w:tcPr>
          <w:p>
            <w:pPr>
              <w:spacing w:after="40" w:before="40"/>
            </w:pPr>
            <w:r>
              <w:rPr>
                <w:b/>
                <w:bCs/>
                <w:color w:val="FFFFFF"/>
                <w:sz w:val="18"/>
                <w:szCs w:val="18"/>
              </w:rPr>
              <w:t xml:space="preserve">Field</w:t>
            </w:r>
          </w:p>
        </w:tc>
        <w:tc>
          <w:tcPr>
            <w:tcW w:type="dxa" w:w="6800"/>
            <w:shd w:fill="1F3864" w:val="clear"/>
            <w:tcMar>
              <w:top w:type="dxa" w:w="60"/>
              <w:left w:type="dxa" w:w="80"/>
              <w:bottom w:type="dxa" w:w="60"/>
              <w:right w:type="dxa" w:w="80"/>
            </w:tcMar>
          </w:tcPr>
          <w:p>
            <w:pPr>
              <w:spacing w:after="40" w:before="40"/>
            </w:pPr>
            <w:r>
              <w:rPr>
                <w:b/>
                <w:bCs/>
                <w:color w:val="FFFFFF"/>
                <w:sz w:val="18"/>
                <w:szCs w:val="18"/>
              </w:rPr>
              <w:t xml:space="preserve">Detail</w:t>
            </w:r>
          </w:p>
        </w:tc>
      </w:tr>
      <w:tr>
        <w:tc>
          <w:tcPr>
            <w:tcW w:type="dxa" w:w="2800"/>
            <w:tcMar>
              <w:top w:type="dxa" w:w="60"/>
              <w:left w:type="dxa" w:w="80"/>
              <w:bottom w:type="dxa" w:w="60"/>
              <w:right w:type="dxa" w:w="80"/>
            </w:tcMar>
          </w:tcPr>
          <w:p>
            <w:pPr>
              <w:spacing w:after="40" w:before="40"/>
            </w:pPr>
            <w:r>
              <w:rPr>
                <w:b w:val="false"/>
                <w:bCs w:val="false"/>
                <w:sz w:val="18"/>
                <w:szCs w:val="18"/>
              </w:rPr>
              <w:t xml:space="preserve">Intern</w:t>
            </w:r>
          </w:p>
        </w:tc>
        <w:tc>
          <w:tcPr>
            <w:tcW w:type="dxa" w:w="6800"/>
            <w:tcMar>
              <w:top w:type="dxa" w:w="60"/>
              <w:left w:type="dxa" w:w="80"/>
              <w:bottom w:type="dxa" w:w="60"/>
              <w:right w:type="dxa" w:w="80"/>
            </w:tcMar>
          </w:tcPr>
          <w:p>
            <w:pPr>
              <w:spacing w:after="40" w:before="40"/>
            </w:pPr>
            <w:r>
              <w:rPr>
                <w:b w:val="false"/>
                <w:bCs w:val="false"/>
                <w:sz w:val="18"/>
                <w:szCs w:val="18"/>
              </w:rPr>
              <w:t xml:space="preserve">Georgina Wawira</w:t>
            </w:r>
          </w:p>
        </w:tc>
      </w:tr>
      <w:tr>
        <w:tc>
          <w:tcPr>
            <w:tcW w:type="dxa" w:w="2800"/>
            <w:shd w:fill="F2F2F2" w:val="clear"/>
            <w:tcMar>
              <w:top w:type="dxa" w:w="60"/>
              <w:left w:type="dxa" w:w="80"/>
              <w:bottom w:type="dxa" w:w="60"/>
              <w:right w:type="dxa" w:w="80"/>
            </w:tcMar>
          </w:tcPr>
          <w:p>
            <w:pPr>
              <w:spacing w:after="40" w:before="40"/>
            </w:pPr>
            <w:r>
              <w:rPr>
                <w:b w:val="false"/>
                <w:bCs w:val="false"/>
                <w:sz w:val="18"/>
                <w:szCs w:val="18"/>
              </w:rPr>
              <w:t xml:space="preserve">Programme</w:t>
            </w:r>
          </w:p>
        </w:tc>
        <w:tc>
          <w:tcPr>
            <w:tcW w:type="dxa" w:w="6800"/>
            <w:shd w:fill="F2F2F2" w:val="clear"/>
            <w:tcMar>
              <w:top w:type="dxa" w:w="60"/>
              <w:left w:type="dxa" w:w="80"/>
              <w:bottom w:type="dxa" w:w="60"/>
              <w:right w:type="dxa" w:w="80"/>
            </w:tcMar>
          </w:tcPr>
          <w:p>
            <w:pPr>
              <w:spacing w:after="40" w:before="40"/>
            </w:pPr>
            <w:r>
              <w:rPr>
                <w:b w:val="false"/>
                <w:bCs w:val="false"/>
                <w:sz w:val="18"/>
                <w:szCs w:val="18"/>
              </w:rPr>
              <w:t xml:space="preserve">AnalystLab Africa Experience Lab</w:t>
            </w:r>
          </w:p>
        </w:tc>
      </w:tr>
      <w:tr>
        <w:tc>
          <w:tcPr>
            <w:tcW w:type="dxa" w:w="2800"/>
            <w:tcMar>
              <w:top w:type="dxa" w:w="60"/>
              <w:left w:type="dxa" w:w="80"/>
              <w:bottom w:type="dxa" w:w="60"/>
              <w:right w:type="dxa" w:w="80"/>
            </w:tcMar>
          </w:tcPr>
          <w:p>
            <w:pPr>
              <w:spacing w:after="40" w:before="40"/>
            </w:pPr>
            <w:r>
              <w:rPr>
                <w:b w:val="false"/>
                <w:bCs w:val="false"/>
                <w:sz w:val="18"/>
                <w:szCs w:val="18"/>
              </w:rPr>
              <w:t xml:space="preserve">Track</w:t>
            </w:r>
          </w:p>
        </w:tc>
        <w:tc>
          <w:tcPr>
            <w:tcW w:type="dxa" w:w="6800"/>
            <w:tcMar>
              <w:top w:type="dxa" w:w="60"/>
              <w:left w:type="dxa" w:w="80"/>
              <w:bottom w:type="dxa" w:w="60"/>
              <w:right w:type="dxa" w:w="80"/>
            </w:tcMar>
          </w:tcPr>
          <w:p>
            <w:pPr>
              <w:spacing w:after="40" w:before="40"/>
            </w:pPr>
            <w:r>
              <w:rPr>
                <w:b w:val="false"/>
                <w:bCs w:val="false"/>
                <w:sz w:val="18"/>
                <w:szCs w:val="18"/>
              </w:rPr>
              <w:t xml:space="preserve">Data Analytics</w:t>
            </w:r>
          </w:p>
        </w:tc>
      </w:tr>
      <w:tr>
        <w:tc>
          <w:tcPr>
            <w:tcW w:type="dxa" w:w="2800"/>
            <w:shd w:fill="F2F2F2" w:val="clear"/>
            <w:tcMar>
              <w:top w:type="dxa" w:w="60"/>
              <w:left w:type="dxa" w:w="80"/>
              <w:bottom w:type="dxa" w:w="60"/>
              <w:right w:type="dxa" w:w="80"/>
            </w:tcMar>
          </w:tcPr>
          <w:p>
            <w:pPr>
              <w:spacing w:after="40" w:before="40"/>
            </w:pPr>
            <w:r>
              <w:rPr>
                <w:b w:val="false"/>
                <w:bCs w:val="false"/>
                <w:sz w:val="18"/>
                <w:szCs w:val="18"/>
              </w:rPr>
              <w:t xml:space="preserve">Project</w:t>
            </w:r>
          </w:p>
        </w:tc>
        <w:tc>
          <w:tcPr>
            <w:tcW w:type="dxa" w:w="6800"/>
            <w:shd w:fill="F2F2F2" w:val="clear"/>
            <w:tcMar>
              <w:top w:type="dxa" w:w="60"/>
              <w:left w:type="dxa" w:w="80"/>
              <w:bottom w:type="dxa" w:w="60"/>
              <w:right w:type="dxa" w:w="80"/>
            </w:tcMar>
          </w:tcPr>
          <w:p>
            <w:pPr>
              <w:spacing w:after="40" w:before="40"/>
            </w:pPr>
            <w:r>
              <w:rPr>
                <w:b w:val="false"/>
                <w:bCs w:val="false"/>
                <w:sz w:val="18"/>
                <w:szCs w:val="18"/>
              </w:rPr>
              <w:t xml:space="preserve">HealthConnect Clinic Experience Lab</w:t>
            </w:r>
          </w:p>
        </w:tc>
      </w:tr>
      <w:tr>
        <w:tc>
          <w:tcPr>
            <w:tcW w:type="dxa" w:w="2800"/>
            <w:tcMar>
              <w:top w:type="dxa" w:w="60"/>
              <w:left w:type="dxa" w:w="80"/>
              <w:bottom w:type="dxa" w:w="60"/>
              <w:right w:type="dxa" w:w="80"/>
            </w:tcMar>
          </w:tcPr>
          <w:p>
            <w:pPr>
              <w:spacing w:after="40" w:before="40"/>
            </w:pPr>
            <w:r>
              <w:rPr>
                <w:b w:val="false"/>
                <w:bCs w:val="false"/>
                <w:sz w:val="18"/>
                <w:szCs w:val="18"/>
              </w:rPr>
              <w:t xml:space="preserve">Week</w:t>
            </w:r>
          </w:p>
        </w:tc>
        <w:tc>
          <w:tcPr>
            <w:tcW w:type="dxa" w:w="6800"/>
            <w:tcMar>
              <w:top w:type="dxa" w:w="60"/>
              <w:left w:type="dxa" w:w="80"/>
              <w:bottom w:type="dxa" w:w="60"/>
              <w:right w:type="dxa" w:w="80"/>
            </w:tcMar>
          </w:tcPr>
          <w:p>
            <w:pPr>
              <w:spacing w:after="40" w:before="40"/>
            </w:pPr>
            <w:r>
              <w:rPr>
                <w:b w:val="false"/>
                <w:bCs w:val="false"/>
                <w:sz w:val="18"/>
                <w:szCs w:val="18"/>
              </w:rPr>
              <w:t xml:space="preserve">Week 7 — Testing, Refinement &amp; End-to-End Validation</w:t>
            </w:r>
          </w:p>
        </w:tc>
      </w:tr>
      <w:tr>
        <w:tc>
          <w:tcPr>
            <w:tcW w:type="dxa" w:w="2800"/>
            <w:shd w:fill="F2F2F2" w:val="clear"/>
            <w:tcMar>
              <w:top w:type="dxa" w:w="60"/>
              <w:left w:type="dxa" w:w="80"/>
              <w:bottom w:type="dxa" w:w="60"/>
              <w:right w:type="dxa" w:w="80"/>
            </w:tcMar>
          </w:tcPr>
          <w:p>
            <w:pPr>
              <w:spacing w:after="40" w:before="40"/>
            </w:pPr>
            <w:r>
              <w:rPr>
                <w:b w:val="false"/>
                <w:bCs w:val="false"/>
                <w:sz w:val="18"/>
                <w:szCs w:val="18"/>
              </w:rPr>
              <w:t xml:space="preserve">Builds on</w:t>
            </w:r>
          </w:p>
        </w:tc>
        <w:tc>
          <w:tcPr>
            <w:tcW w:type="dxa" w:w="6800"/>
            <w:shd w:fill="F2F2F2" w:val="clear"/>
            <w:tcMar>
              <w:top w:type="dxa" w:w="60"/>
              <w:left w:type="dxa" w:w="80"/>
              <w:bottom w:type="dxa" w:w="60"/>
              <w:right w:type="dxa" w:w="80"/>
            </w:tcMar>
          </w:tcPr>
          <w:p>
            <w:pPr>
              <w:spacing w:after="40" w:before="40"/>
            </w:pPr>
            <w:r>
              <w:rPr>
                <w:b w:val="false"/>
                <w:bCs w:val="false"/>
                <w:sz w:val="18"/>
                <w:szCs w:val="18"/>
              </w:rPr>
              <w:t xml:space="preserve">Week 6 — Integration, Advanced Development &amp; Validation</w:t>
            </w:r>
          </w:p>
        </w:tc>
      </w:tr>
      <w:tr>
        <w:tc>
          <w:tcPr>
            <w:tcW w:type="dxa" w:w="2800"/>
            <w:tcMar>
              <w:top w:type="dxa" w:w="60"/>
              <w:left w:type="dxa" w:w="80"/>
              <w:bottom w:type="dxa" w:w="60"/>
              <w:right w:type="dxa" w:w="80"/>
            </w:tcMar>
          </w:tcPr>
          <w:p>
            <w:pPr>
              <w:spacing w:after="40" w:before="40"/>
            </w:pPr>
            <w:r>
              <w:rPr>
                <w:b w:val="false"/>
                <w:bCs w:val="false"/>
                <w:sz w:val="18"/>
                <w:szCs w:val="18"/>
              </w:rPr>
              <w:t xml:space="preserve">Dataset</w:t>
            </w:r>
          </w:p>
        </w:tc>
        <w:tc>
          <w:tcPr>
            <w:tcW w:type="dxa" w:w="6800"/>
            <w:tcMar>
              <w:top w:type="dxa" w:w="60"/>
              <w:left w:type="dxa" w:w="80"/>
              <w:bottom w:type="dxa" w:w="60"/>
              <w:right w:type="dxa" w:w="80"/>
            </w:tcMar>
          </w:tcPr>
          <w:p>
            <w:pPr>
              <w:spacing w:after="40" w:before="40"/>
            </w:pPr>
            <w:r>
              <w:rPr>
                <w:b w:val="false"/>
                <w:bCs w:val="false"/>
                <w:sz w:val="18"/>
                <w:szCs w:val="18"/>
              </w:rPr>
              <w:t xml:space="preserve">HealthConnect_Clean_ForPowerBI.csv (5,000 appointment records)</w:t>
            </w:r>
          </w:p>
        </w:tc>
      </w:tr>
    </w:tbl>
    <w:p>
      <w:r>
        <w:br w:type="page"/>
      </w:r>
    </w:p>
    <w:p>
      <w:pPr>
        <w:pStyle w:val="Heading1"/>
        <w:spacing w:after="160" w:before="320"/>
      </w:pPr>
      <w:r>
        <w:t xml:space="preserve">3. Week 6 → Week 7 Transition</w:t>
      </w:r>
    </w:p>
    <w:p>
      <w:pPr>
        <w:spacing w:after="120" w:before="80"/>
      </w:pPr>
      <w:r>
        <w:rPr>
          <w:b w:val="false"/>
          <w:bCs w:val="false"/>
          <w:i w:val="false"/>
          <w:iCs w:val="false"/>
        </w:rPr>
        <w:t xml:space="preserve">This section briefly establishes the link between the Week 6 output and this week's testing activity, as required, without reproducing the Week 6 report.</w:t>
      </w:r>
    </w:p>
    <w:p>
      <w:pPr>
        <w:spacing w:after="60" w:before="100"/>
      </w:pPr>
      <w:r>
        <w:rPr>
          <w:b/>
          <w:bCs/>
        </w:rPr>
        <w:t xml:space="preserve">1. Main Week 6 output: </w:t>
      </w:r>
      <w:r>
        <w:t xml:space="preserve">The HealthConnect Week 6 Advanced Analytics package: a validated KPI set (no-show rate, cancellation rate, repeat-risk share), significance testing across 11 candidate drivers, a 4-tier patient risk segmentation (Low / Baseline / High / Triple-risk) built from booking lead time, prior no-show history and reminder status, an updated Power BI dashboard mockup with a risk_segment DAX column, and a simulated hand-off of the risk-segmented dataset to the Data Science track.</w:t>
      </w:r>
    </w:p>
    <w:p>
      <w:pPr>
        <w:spacing w:after="60" w:before="100"/>
      </w:pPr>
      <w:r>
        <w:rPr>
          <w:b/>
          <w:bCs/>
        </w:rPr>
        <w:t xml:space="preserve">2. Most important Week 6 result: </w:t>
      </w:r>
      <w:r>
        <w:t xml:space="preserve">The risk segmentation itself — because it turns three individually significant drivers into a single, dashboard-ready tier that the clinic's admin team can act on directly (e.g. prioritise reminder calls for Triple-risk patients).</w:t>
      </w:r>
    </w:p>
    <w:p>
      <w:pPr>
        <w:spacing w:after="60" w:before="100"/>
      </w:pPr>
      <w:r>
        <w:rPr>
          <w:b/>
          <w:bCs/>
        </w:rPr>
        <w:t xml:space="preserve">3. Main issue/limitation/dependency from Week 6: </w:t>
      </w:r>
      <w:r>
        <w:t xml:space="preserve">The risk_segment DAX calculated column returned a syntax error in Power BI and was never confirmed to compute correctly — it was handed off conceptually (logic + field list) rather than as a validated, working dashboard field. This was flagged as unresolved in the Week 6 work.</w:t>
      </w:r>
    </w:p>
    <w:p>
      <w:pPr>
        <w:spacing w:after="60" w:before="100"/>
      </w:pPr>
      <w:r>
        <w:rPr>
          <w:b/>
          <w:bCs/>
        </w:rPr>
        <w:t xml:space="preserve">4. Component requiring testing: </w:t>
      </w:r>
      <w:r>
        <w:t xml:space="preserve">The risk_segment classification logic — first re-derived independently against the raw dataset, then diagnosed and corrected as a Power BI DAX calculated column — plus the three core KPIs that feed the dashboard.</w:t>
      </w:r>
    </w:p>
    <w:p>
      <w:pPr>
        <w:spacing w:after="60" w:before="100"/>
      </w:pPr>
      <w:r>
        <w:rPr>
          <w:b/>
          <w:bCs/>
        </w:rPr>
        <w:t xml:space="preserve">5. Relevant track(s): </w:t>
      </w:r>
      <w:r>
        <w:t xml:space="preserve">Data Analytics (primary); Data Science (cross-track — the risk-segmented output is the direct input to their model features, so its correctness affects their work too).</w:t>
      </w:r>
    </w:p>
    <w:p>
      <w:pPr>
        <w:spacing w:after="60" w:before="100"/>
      </w:pPr>
      <w:r>
        <w:rPr>
          <w:b/>
          <w:bCs/>
        </w:rPr>
        <w:t xml:space="preserve">6. What is being tested: </w:t>
      </w:r>
      <w:r>
        <w:t xml:space="preserve">(a) Whether the core KPIs still match the underlying data; (b) whether the derived fields used throughout the dashboard are internally consistent; (c) whether the risk segmentation is statistically meaningful (i.e. actually separates high- and low-risk patients); and (d) why the Week 6 DAX column failed, with a corrected and re-tested version.</w:t>
      </w:r>
    </w:p>
    <w:p>
      <w:pPr>
        <w:spacing w:after="60" w:before="100"/>
      </w:pPr>
      <w:r>
        <w:rPr>
          <w:b/>
          <w:bCs/>
        </w:rPr>
        <w:t xml:space="preserve">7. Expected outcome: </w:t>
      </w:r>
      <w:r>
        <w:t xml:space="preserve">Confirmation that the KPIs are accurate, identification and correction of the DAX error, and a validated risk_segment field ready for the Week 6 Data Science hand-off and for Week 8 final integration.</w:t>
      </w:r>
    </w:p>
    <w:p>
      <w:pPr>
        <w:pStyle w:val="Heading1"/>
        <w:spacing w:after="160" w:before="320"/>
      </w:pPr>
      <w:r>
        <w:t xml:space="preserve">Part 1 — Week 7 Testing Readiness</w:t>
      </w:r>
    </w:p>
    <w:p>
      <w:pPr>
        <w:pStyle w:val="Heading2"/>
        <w:spacing w:after="120" w:before="240"/>
      </w:pPr>
      <w:r>
        <w:t xml:space="preserve">A. Component Being Tested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6400"/>
      </w:tblGrid>
      <w:tr>
        <w:trPr>
          <w:tblHeader/>
        </w:trPr>
        <w:tc>
          <w:tcPr>
            <w:tcW w:type="dxa" w:w="3200"/>
            <w:shd w:fill="1F3864" w:val="clear"/>
            <w:tcMar>
              <w:top w:type="dxa" w:w="60"/>
              <w:left w:type="dxa" w:w="80"/>
              <w:bottom w:type="dxa" w:w="60"/>
              <w:right w:type="dxa" w:w="80"/>
            </w:tcMar>
          </w:tcPr>
          <w:p>
            <w:pPr>
              <w:spacing w:after="40" w:before="40"/>
            </w:pPr>
            <w:r>
              <w:rPr>
                <w:b/>
                <w:bCs/>
                <w:color w:val="FFFFFF"/>
                <w:sz w:val="18"/>
                <w:szCs w:val="18"/>
              </w:rPr>
              <w:t xml:space="preserve">Question</w:t>
            </w:r>
          </w:p>
        </w:tc>
        <w:tc>
          <w:tcPr>
            <w:tcW w:type="dxa" w:w="6400"/>
            <w:shd w:fill="1F3864" w:val="clear"/>
            <w:tcMar>
              <w:top w:type="dxa" w:w="60"/>
              <w:left w:type="dxa" w:w="80"/>
              <w:bottom w:type="dxa" w:w="60"/>
              <w:right w:type="dxa" w:w="80"/>
            </w:tcMar>
          </w:tcPr>
          <w:p>
            <w:pPr>
              <w:spacing w:after="40" w:before="40"/>
            </w:pPr>
            <w:r>
              <w:rPr>
                <w:b/>
                <w:bCs/>
                <w:color w:val="FFFFFF"/>
                <w:sz w:val="18"/>
                <w:szCs w:val="18"/>
              </w:rPr>
              <w:t xml:space="preserve">Answer</w:t>
            </w:r>
          </w:p>
        </w:tc>
      </w:tr>
      <w:tr>
        <w:tc>
          <w:tcPr>
            <w:tcW w:type="dxa" w:w="3200"/>
            <w:tcMar>
              <w:top w:type="dxa" w:w="60"/>
              <w:left w:type="dxa" w:w="80"/>
              <w:bottom w:type="dxa" w:w="60"/>
              <w:right w:type="dxa" w:w="80"/>
            </w:tcMar>
          </w:tcPr>
          <w:p>
            <w:pPr>
              <w:spacing w:after="40" w:before="40"/>
            </w:pPr>
            <w:r>
              <w:rPr>
                <w:b w:val="false"/>
                <w:bCs w:val="false"/>
                <w:sz w:val="18"/>
                <w:szCs w:val="18"/>
              </w:rPr>
              <w:t xml:space="preserve">Week 6 component under test</w:t>
            </w:r>
          </w:p>
        </w:tc>
        <w:tc>
          <w:tcPr>
            <w:tcW w:type="dxa" w:w="6400"/>
            <w:tcMar>
              <w:top w:type="dxa" w:w="60"/>
              <w:left w:type="dxa" w:w="80"/>
              <w:bottom w:type="dxa" w:w="60"/>
              <w:right w:type="dxa" w:w="80"/>
            </w:tcMar>
          </w:tcPr>
          <w:p>
            <w:pPr>
              <w:spacing w:after="40" w:before="40"/>
            </w:pPr>
            <w:r>
              <w:rPr>
                <w:b w:val="false"/>
                <w:bCs w:val="false"/>
                <w:sz w:val="18"/>
                <w:szCs w:val="18"/>
              </w:rPr>
              <w:t xml:space="preserve">Core KPI calculations (no-show rate, cancellation rate, repeat-risk share); derived field consistency (lead_bracket, distance_band, reminder flags); and the risk_segment classification (logic + Power BI DAX implementation).</w:t>
            </w:r>
          </w:p>
        </w:tc>
      </w:tr>
      <w:tr>
        <w:tc>
          <w:tcPr>
            <w:tcW w:type="dxa" w:w="3200"/>
            <w:shd w:fill="F2F2F2" w:val="clear"/>
            <w:tcMar>
              <w:top w:type="dxa" w:w="60"/>
              <w:left w:type="dxa" w:w="80"/>
              <w:bottom w:type="dxa" w:w="60"/>
              <w:right w:type="dxa" w:w="80"/>
            </w:tcMar>
          </w:tcPr>
          <w:p>
            <w:pPr>
              <w:spacing w:after="40" w:before="40"/>
            </w:pPr>
            <w:r>
              <w:rPr>
                <w:b w:val="false"/>
                <w:bCs w:val="false"/>
                <w:sz w:val="18"/>
                <w:szCs w:val="18"/>
              </w:rPr>
              <w:t xml:space="preserve">Intended purpose</w:t>
            </w:r>
          </w:p>
        </w:tc>
        <w:tc>
          <w:tcPr>
            <w:tcW w:type="dxa" w:w="6400"/>
            <w:shd w:fill="F2F2F2" w:val="clear"/>
            <w:tcMar>
              <w:top w:type="dxa" w:w="60"/>
              <w:left w:type="dxa" w:w="80"/>
              <w:bottom w:type="dxa" w:w="60"/>
              <w:right w:type="dxa" w:w="80"/>
            </w:tcMar>
          </w:tcPr>
          <w:p>
            <w:pPr>
              <w:spacing w:after="40" w:before="40"/>
            </w:pPr>
            <w:r>
              <w:rPr>
                <w:b w:val="false"/>
                <w:bCs w:val="false"/>
                <w:sz w:val="18"/>
                <w:szCs w:val="18"/>
              </w:rPr>
              <w:t xml:space="preserve">Give HealthConnect Clinic an accurate, trustworthy, dashboard-ready view of who is likely to miss an appointment and why, so admin staff can target interventions (reminders, rescheduling) at the right patients.</w:t>
            </w:r>
          </w:p>
        </w:tc>
      </w:tr>
      <w:tr>
        <w:tc>
          <w:tcPr>
            <w:tcW w:type="dxa" w:w="3200"/>
            <w:tcMar>
              <w:top w:type="dxa" w:w="60"/>
              <w:left w:type="dxa" w:w="80"/>
              <w:bottom w:type="dxa" w:w="60"/>
              <w:right w:type="dxa" w:w="80"/>
            </w:tcMar>
          </w:tcPr>
          <w:p>
            <w:pPr>
              <w:spacing w:after="40" w:before="40"/>
            </w:pPr>
            <w:r>
              <w:rPr>
                <w:b w:val="false"/>
                <w:bCs w:val="false"/>
                <w:sz w:val="18"/>
                <w:szCs w:val="18"/>
              </w:rPr>
              <w:t xml:space="preserve">Requirement/objective it should satisfy</w:t>
            </w:r>
          </w:p>
        </w:tc>
        <w:tc>
          <w:tcPr>
            <w:tcW w:type="dxa" w:w="6400"/>
            <w:tcMar>
              <w:top w:type="dxa" w:w="60"/>
              <w:left w:type="dxa" w:w="80"/>
              <w:bottom w:type="dxa" w:w="60"/>
              <w:right w:type="dxa" w:w="80"/>
            </w:tcMar>
          </w:tcPr>
          <w:p>
            <w:pPr>
              <w:spacing w:after="40" w:before="40"/>
            </w:pPr>
            <w:r>
              <w:rPr>
                <w:b w:val="false"/>
                <w:bCs w:val="false"/>
                <w:sz w:val="18"/>
                <w:szCs w:val="18"/>
              </w:rPr>
              <w:t xml:space="preserve">KPIs must reconcile exactly with the raw dataset; the risk tiers must show a clear, monotonic relationship with actual no-show behaviour; the dashboard field must compute without error.</w:t>
            </w:r>
          </w:p>
        </w:tc>
      </w:tr>
      <w:tr>
        <w:tc>
          <w:tcPr>
            <w:tcW w:type="dxa" w:w="3200"/>
            <w:shd w:fill="F2F2F2" w:val="clear"/>
            <w:tcMar>
              <w:top w:type="dxa" w:w="60"/>
              <w:left w:type="dxa" w:w="80"/>
              <w:bottom w:type="dxa" w:w="60"/>
              <w:right w:type="dxa" w:w="80"/>
            </w:tcMar>
          </w:tcPr>
          <w:p>
            <w:pPr>
              <w:spacing w:after="40" w:before="40"/>
            </w:pPr>
            <w:r>
              <w:rPr>
                <w:b w:val="false"/>
                <w:bCs w:val="false"/>
                <w:sz w:val="18"/>
                <w:szCs w:val="18"/>
              </w:rPr>
              <w:t xml:space="preserve">Connected track(s)</w:t>
            </w:r>
          </w:p>
        </w:tc>
        <w:tc>
          <w:tcPr>
            <w:tcW w:type="dxa" w:w="6400"/>
            <w:shd w:fill="F2F2F2" w:val="clear"/>
            <w:tcMar>
              <w:top w:type="dxa" w:w="60"/>
              <w:left w:type="dxa" w:w="80"/>
              <w:bottom w:type="dxa" w:w="60"/>
              <w:right w:type="dxa" w:w="80"/>
            </w:tcMar>
          </w:tcPr>
          <w:p>
            <w:pPr>
              <w:spacing w:after="40" w:before="40"/>
            </w:pPr>
            <w:r>
              <w:rPr>
                <w:b w:val="false"/>
                <w:bCs w:val="false"/>
                <w:sz w:val="18"/>
                <w:szCs w:val="18"/>
              </w:rPr>
              <w:t xml:space="preserve">Data Analytics (owns the component); Data Science (consumes the risk-segmented output as model input).</w:t>
            </w:r>
          </w:p>
        </w:tc>
      </w:tr>
    </w:tbl>
    <w:p>
      <w:pPr>
        <w:pStyle w:val="Heading2"/>
        <w:spacing w:after="120" w:before="240"/>
      </w:pPr>
      <w:r>
        <w:t xml:space="preserve">B. Testing Objective</w:t>
      </w:r>
    </w:p>
    <w:p>
      <w:pPr>
        <w:spacing w:after="120" w:before="80"/>
      </w:pPr>
      <w:r>
        <w:rPr>
          <w:b w:val="false"/>
          <w:bCs w:val="false"/>
          <w:i w:val="false"/>
          <w:iCs w:val="false"/>
        </w:rPr>
        <w:t xml:space="preserve">This week's testing is trying to answer four questions:</w:t>
      </w:r>
    </w:p>
    <w:p>
      <w:pPr>
        <w:pStyle w:val="ListParagraph"/>
        <w:numPr>
          <w:ilvl w:val="0"/>
          <w:numId w:val="1"/>
        </w:numPr>
        <w:spacing w:after="40" w:before="40"/>
      </w:pPr>
      <w:r>
        <w:t xml:space="preserve">Do the headline KPIs (no-show rate, cancellation rate, repeat-risk share) still reconcile exactly with the underlying dataset?</w:t>
      </w:r>
    </w:p>
    <w:p>
      <w:pPr>
        <w:pStyle w:val="ListParagraph"/>
        <w:numPr>
          <w:ilvl w:val="0"/>
          <w:numId w:val="1"/>
        </w:numPr>
        <w:spacing w:after="40" w:before="40"/>
      </w:pPr>
      <w:r>
        <w:t xml:space="preserve">Are the derived dashboard fields (lead_bracket, distance_band, reminder flags, has_prior_noshow) internally consistent with the raw columns they were built from?</w:t>
      </w:r>
    </w:p>
    <w:p>
      <w:pPr>
        <w:pStyle w:val="ListParagraph"/>
        <w:numPr>
          <w:ilvl w:val="0"/>
          <w:numId w:val="1"/>
        </w:numPr>
        <w:spacing w:after="40" w:before="40"/>
      </w:pPr>
      <w:r>
        <w:t xml:space="preserve">Does the 4-tier risk segmentation actually separate high-risk from low-risk patients in the data — i.e. is it statistically meaningful, not just a plausible-looking rule?</w:t>
      </w:r>
    </w:p>
    <w:p>
      <w:pPr>
        <w:pStyle w:val="ListParagraph"/>
        <w:numPr>
          <w:ilvl w:val="0"/>
          <w:numId w:val="1"/>
        </w:numPr>
        <w:spacing w:after="40" w:before="40"/>
      </w:pPr>
      <w:r>
        <w:t xml:space="preserve">Why did the Week 6 risk_segment DAX column fail in Power BI, and does a corrected version produce results that match the independently-calculated Python logic?</w:t>
      </w:r>
    </w:p>
    <w:p>
      <w:pPr>
        <w:pStyle w:val="Heading2"/>
        <w:spacing w:after="120" w:before="240"/>
      </w:pPr>
      <w:r>
        <w:t xml:space="preserve">C. Expected Results — Test Plan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3900"/>
      </w:tblGrid>
      <w:tr>
        <w:trPr>
          <w:tblHeader/>
        </w:trPr>
        <w:tc>
          <w:tcPr>
            <w:tcW w:type="dxa" w:w="500"/>
            <w:shd w:fill="1F3864" w:val="clear"/>
            <w:tcMar>
              <w:top w:type="dxa" w:w="60"/>
              <w:left w:type="dxa" w:w="80"/>
              <w:bottom w:type="dxa" w:w="60"/>
              <w:right w:type="dxa" w:w="80"/>
            </w:tcMar>
          </w:tcPr>
          <w:p>
            <w:pPr>
              <w:spacing w:after="40" w:before="40"/>
            </w:pPr>
            <w:r>
              <w:rPr>
                <w:b/>
                <w:bCs/>
                <w:color w:val="FFFFFF"/>
                <w:sz w:val="18"/>
                <w:szCs w:val="18"/>
              </w:rPr>
              <w:t xml:space="preserve">#</w:t>
            </w:r>
          </w:p>
        </w:tc>
        <w:tc>
          <w:tcPr>
            <w:tcW w:type="dxa" w:w="4600"/>
            <w:shd w:fill="1F3864" w:val="clear"/>
            <w:tcMar>
              <w:top w:type="dxa" w:w="60"/>
              <w:left w:type="dxa" w:w="80"/>
              <w:bottom w:type="dxa" w:w="60"/>
              <w:right w:type="dxa" w:w="80"/>
            </w:tcMar>
          </w:tcPr>
          <w:p>
            <w:pPr>
              <w:spacing w:after="40" w:before="40"/>
            </w:pPr>
            <w:r>
              <w:rPr>
                <w:b/>
                <w:bCs/>
                <w:color w:val="FFFFFF"/>
                <w:sz w:val="18"/>
                <w:szCs w:val="18"/>
              </w:rPr>
              <w:t xml:space="preserve">Test / Scenario</w:t>
            </w:r>
          </w:p>
        </w:tc>
        <w:tc>
          <w:tcPr>
            <w:tcW w:type="dxa" w:w="3900"/>
            <w:shd w:fill="1F3864" w:val="clear"/>
            <w:tcMar>
              <w:top w:type="dxa" w:w="60"/>
              <w:left w:type="dxa" w:w="80"/>
              <w:bottom w:type="dxa" w:w="60"/>
              <w:right w:type="dxa" w:w="80"/>
            </w:tcMar>
          </w:tcPr>
          <w:p>
            <w:pPr>
              <w:spacing w:after="40" w:before="40"/>
            </w:pPr>
            <w:r>
              <w:rPr>
                <w:b/>
                <w:bCs/>
                <w:color w:val="FFFFFF"/>
                <w:sz w:val="18"/>
                <w:szCs w:val="18"/>
              </w:rPr>
              <w:t xml:space="preserve">Expected Result</w:t>
            </w:r>
          </w:p>
        </w:tc>
      </w:tr>
      <w:tr>
        <w:tc>
          <w:tcPr>
            <w:tcW w:type="dxa" w:w="500"/>
            <w:tcMar>
              <w:top w:type="dxa" w:w="60"/>
              <w:left w:type="dxa" w:w="80"/>
              <w:bottom w:type="dxa" w:w="60"/>
              <w:right w:type="dxa" w:w="80"/>
            </w:tcMar>
          </w:tcPr>
          <w:p>
            <w:pPr>
              <w:spacing w:after="40" w:before="40"/>
            </w:pPr>
            <w:r>
              <w:rPr>
                <w:b w:val="false"/>
                <w:bCs w:val="false"/>
                <w:sz w:val="18"/>
                <w:szCs w:val="18"/>
              </w:rPr>
              <w:t xml:space="preserve">1</w:t>
            </w:r>
          </w:p>
        </w:tc>
        <w:tc>
          <w:tcPr>
            <w:tcW w:type="dxa" w:w="4600"/>
            <w:tcMar>
              <w:top w:type="dxa" w:w="60"/>
              <w:left w:type="dxa" w:w="80"/>
              <w:bottom w:type="dxa" w:w="60"/>
              <w:right w:type="dxa" w:w="80"/>
            </w:tcMar>
          </w:tcPr>
          <w:p>
            <w:pPr>
              <w:spacing w:after="40" w:before="40"/>
            </w:pPr>
            <w:r>
              <w:rPr>
                <w:b w:val="false"/>
                <w:bCs w:val="false"/>
                <w:sz w:val="18"/>
                <w:szCs w:val="18"/>
              </w:rPr>
              <w:t xml:space="preserve">Recalculate no-show rate and cancellation rate directly from the raw CSV</w:t>
            </w:r>
          </w:p>
        </w:tc>
        <w:tc>
          <w:tcPr>
            <w:tcW w:type="dxa" w:w="3900"/>
            <w:tcMar>
              <w:top w:type="dxa" w:w="60"/>
              <w:left w:type="dxa" w:w="80"/>
              <w:bottom w:type="dxa" w:w="60"/>
              <w:right w:type="dxa" w:w="80"/>
            </w:tcMar>
          </w:tcPr>
          <w:p>
            <w:pPr>
              <w:spacing w:after="40" w:before="40"/>
            </w:pPr>
            <w:r>
              <w:rPr>
                <w:b w:val="false"/>
                <w:bCs w:val="false"/>
                <w:sz w:val="18"/>
                <w:szCs w:val="18"/>
              </w:rPr>
              <w:t xml:space="preserve">Matches the Week 6-reported figures of 51.15% and 5.26%</w:t>
            </w:r>
          </w:p>
        </w:tc>
      </w:tr>
      <w:tr>
        <w:tc>
          <w:tcPr>
            <w:tcW w:type="dxa" w:w="500"/>
            <w:shd w:fill="F2F2F2" w:val="clear"/>
            <w:tcMar>
              <w:top w:type="dxa" w:w="60"/>
              <w:left w:type="dxa" w:w="80"/>
              <w:bottom w:type="dxa" w:w="60"/>
              <w:right w:type="dxa" w:w="80"/>
            </w:tcMar>
          </w:tcPr>
          <w:p>
            <w:pPr>
              <w:spacing w:after="40" w:before="40"/>
            </w:pPr>
            <w:r>
              <w:rPr>
                <w:b w:val="false"/>
                <w:bCs w:val="false"/>
                <w:sz w:val="18"/>
                <w:szCs w:val="18"/>
              </w:rPr>
              <w:t xml:space="preserve">2</w:t>
            </w:r>
          </w:p>
        </w:tc>
        <w:tc>
          <w:tcPr>
            <w:tcW w:type="dxa" w:w="4600"/>
            <w:shd w:fill="F2F2F2" w:val="clear"/>
            <w:tcMar>
              <w:top w:type="dxa" w:w="60"/>
              <w:left w:type="dxa" w:w="80"/>
              <w:bottom w:type="dxa" w:w="60"/>
              <w:right w:type="dxa" w:w="80"/>
            </w:tcMar>
          </w:tcPr>
          <w:p>
            <w:pPr>
              <w:spacing w:after="40" w:before="40"/>
            </w:pPr>
            <w:r>
              <w:rPr>
                <w:b w:val="false"/>
                <w:bCs w:val="false"/>
                <w:sz w:val="18"/>
                <w:szCs w:val="18"/>
              </w:rPr>
              <w:t xml:space="preserve">Recalculate repeat-risk share among no-shows vs. across the full base</w:t>
            </w:r>
          </w:p>
        </w:tc>
        <w:tc>
          <w:tcPr>
            <w:tcW w:type="dxa" w:w="3900"/>
            <w:shd w:fill="F2F2F2" w:val="clear"/>
            <w:tcMar>
              <w:top w:type="dxa" w:w="60"/>
              <w:left w:type="dxa" w:w="80"/>
              <w:bottom w:type="dxa" w:w="60"/>
              <w:right w:type="dxa" w:w="80"/>
            </w:tcMar>
          </w:tcPr>
          <w:p>
            <w:pPr>
              <w:spacing w:after="40" w:before="40"/>
            </w:pPr>
            <w:r>
              <w:rPr>
                <w:b w:val="false"/>
                <w:bCs w:val="false"/>
                <w:sz w:val="18"/>
                <w:szCs w:val="18"/>
              </w:rPr>
              <w:t xml:space="preserve">Matches Week 6 figures of ~47.5% (among no-shows) and ~41–42% (population) — confirms the Week 6 ambiguity flag was correct</w:t>
            </w:r>
          </w:p>
        </w:tc>
      </w:tr>
      <w:tr>
        <w:tc>
          <w:tcPr>
            <w:tcW w:type="dxa" w:w="500"/>
            <w:tcMar>
              <w:top w:type="dxa" w:w="60"/>
              <w:left w:type="dxa" w:w="80"/>
              <w:bottom w:type="dxa" w:w="60"/>
              <w:right w:type="dxa" w:w="80"/>
            </w:tcMar>
          </w:tcPr>
          <w:p>
            <w:pPr>
              <w:spacing w:after="40" w:before="40"/>
            </w:pPr>
            <w:r>
              <w:rPr>
                <w:b w:val="false"/>
                <w:bCs w:val="false"/>
                <w:sz w:val="18"/>
                <w:szCs w:val="18"/>
              </w:rPr>
              <w:t xml:space="preserve">3</w:t>
            </w:r>
          </w:p>
        </w:tc>
        <w:tc>
          <w:tcPr>
            <w:tcW w:type="dxa" w:w="4600"/>
            <w:tcMar>
              <w:top w:type="dxa" w:w="60"/>
              <w:left w:type="dxa" w:w="80"/>
              <w:bottom w:type="dxa" w:w="60"/>
              <w:right w:type="dxa" w:w="80"/>
            </w:tcMar>
          </w:tcPr>
          <w:p>
            <w:pPr>
              <w:spacing w:after="40" w:before="40"/>
            </w:pPr>
            <w:r>
              <w:rPr>
                <w:b w:val="false"/>
                <w:bCs w:val="false"/>
                <w:sz w:val="18"/>
                <w:szCs w:val="18"/>
              </w:rPr>
              <w:t xml:space="preserve">Check derived fields (lead_bracket, distance_band, reminder flags) against their raw source columns</w:t>
            </w:r>
          </w:p>
        </w:tc>
        <w:tc>
          <w:tcPr>
            <w:tcW w:type="dxa" w:w="3900"/>
            <w:tcMar>
              <w:top w:type="dxa" w:w="60"/>
              <w:left w:type="dxa" w:w="80"/>
              <w:bottom w:type="dxa" w:w="60"/>
              <w:right w:type="dxa" w:w="80"/>
            </w:tcMar>
          </w:tcPr>
          <w:p>
            <w:pPr>
              <w:spacing w:after="40" w:before="40"/>
            </w:pPr>
            <w:r>
              <w:rPr>
                <w:b w:val="false"/>
                <w:bCs w:val="false"/>
                <w:sz w:val="18"/>
                <w:szCs w:val="18"/>
              </w:rPr>
              <w:t xml:space="preserve">Zero unexplained mismatches</w:t>
            </w:r>
          </w:p>
        </w:tc>
      </w:tr>
      <w:tr>
        <w:tc>
          <w:tcPr>
            <w:tcW w:type="dxa" w:w="500"/>
            <w:shd w:fill="F2F2F2" w:val="clear"/>
            <w:tcMar>
              <w:top w:type="dxa" w:w="60"/>
              <w:left w:type="dxa" w:w="80"/>
              <w:bottom w:type="dxa" w:w="60"/>
              <w:right w:type="dxa" w:w="80"/>
            </w:tcMar>
          </w:tcPr>
          <w:p>
            <w:pPr>
              <w:spacing w:after="40" w:before="40"/>
            </w:pPr>
            <w:r>
              <w:rPr>
                <w:b w:val="false"/>
                <w:bCs w:val="false"/>
                <w:sz w:val="18"/>
                <w:szCs w:val="18"/>
              </w:rPr>
              <w:t xml:space="preserve">4</w:t>
            </w:r>
          </w:p>
        </w:tc>
        <w:tc>
          <w:tcPr>
            <w:tcW w:type="dxa" w:w="4600"/>
            <w:shd w:fill="F2F2F2" w:val="clear"/>
            <w:tcMar>
              <w:top w:type="dxa" w:w="60"/>
              <w:left w:type="dxa" w:w="80"/>
              <w:bottom w:type="dxa" w:w="60"/>
              <w:right w:type="dxa" w:w="80"/>
            </w:tcMar>
          </w:tcPr>
          <w:p>
            <w:pPr>
              <w:spacing w:after="40" w:before="40"/>
            </w:pPr>
            <w:r>
              <w:rPr>
                <w:b w:val="false"/>
                <w:bCs w:val="false"/>
                <w:sz w:val="18"/>
                <w:szCs w:val="18"/>
              </w:rPr>
              <w:t xml:space="preserve">Check no-show rate by risk tier (Low → Triple-risk)</w:t>
            </w:r>
          </w:p>
        </w:tc>
        <w:tc>
          <w:tcPr>
            <w:tcW w:type="dxa" w:w="3900"/>
            <w:shd w:fill="F2F2F2" w:val="clear"/>
            <w:tcMar>
              <w:top w:type="dxa" w:w="60"/>
              <w:left w:type="dxa" w:w="80"/>
              <w:bottom w:type="dxa" w:w="60"/>
              <w:right w:type="dxa" w:w="80"/>
            </w:tcMar>
          </w:tcPr>
          <w:p>
            <w:pPr>
              <w:spacing w:after="40" w:before="40"/>
            </w:pPr>
            <w:r>
              <w:rPr>
                <w:b w:val="false"/>
                <w:bCs w:val="false"/>
                <w:sz w:val="18"/>
                <w:szCs w:val="18"/>
              </w:rPr>
              <w:t xml:space="preserve">Strictly increasing no-show rate across tiers</w:t>
            </w:r>
          </w:p>
        </w:tc>
      </w:tr>
      <w:tr>
        <w:tc>
          <w:tcPr>
            <w:tcW w:type="dxa" w:w="500"/>
            <w:tcMar>
              <w:top w:type="dxa" w:w="60"/>
              <w:left w:type="dxa" w:w="80"/>
              <w:bottom w:type="dxa" w:w="60"/>
              <w:right w:type="dxa" w:w="80"/>
            </w:tcMar>
          </w:tcPr>
          <w:p>
            <w:pPr>
              <w:spacing w:after="40" w:before="40"/>
            </w:pPr>
            <w:r>
              <w:rPr>
                <w:b w:val="false"/>
                <w:bCs w:val="false"/>
                <w:sz w:val="18"/>
                <w:szCs w:val="18"/>
              </w:rPr>
              <w:t xml:space="preserve">5</w:t>
            </w:r>
          </w:p>
        </w:tc>
        <w:tc>
          <w:tcPr>
            <w:tcW w:type="dxa" w:w="4600"/>
            <w:tcMar>
              <w:top w:type="dxa" w:w="60"/>
              <w:left w:type="dxa" w:w="80"/>
              <w:bottom w:type="dxa" w:w="60"/>
              <w:right w:type="dxa" w:w="80"/>
            </w:tcMar>
          </w:tcPr>
          <w:p>
            <w:pPr>
              <w:spacing w:after="40" w:before="40"/>
            </w:pPr>
            <w:r>
              <w:rPr>
                <w:b w:val="false"/>
                <w:bCs w:val="false"/>
                <w:sz w:val="18"/>
                <w:szCs w:val="18"/>
              </w:rPr>
              <w:t xml:space="preserve">Chi-square test on each of the 3 segmentation drivers vs. is_noshow</w:t>
            </w:r>
          </w:p>
        </w:tc>
        <w:tc>
          <w:tcPr>
            <w:tcW w:type="dxa" w:w="3900"/>
            <w:tcMar>
              <w:top w:type="dxa" w:w="60"/>
              <w:left w:type="dxa" w:w="80"/>
              <w:bottom w:type="dxa" w:w="60"/>
              <w:right w:type="dxa" w:w="80"/>
            </w:tcMar>
          </w:tcPr>
          <w:p>
            <w:pPr>
              <w:spacing w:after="40" w:before="40"/>
            </w:pPr>
            <w:r>
              <w:rPr>
                <w:b w:val="false"/>
                <w:bCs w:val="false"/>
                <w:sz w:val="18"/>
                <w:szCs w:val="18"/>
              </w:rPr>
              <w:t xml:space="preserve">All three drivers statistically significant (p &lt; 0.05)</w:t>
            </w:r>
          </w:p>
        </w:tc>
      </w:tr>
      <w:tr>
        <w:tc>
          <w:tcPr>
            <w:tcW w:type="dxa" w:w="500"/>
            <w:shd w:fill="F2F2F2" w:val="clear"/>
            <w:tcMar>
              <w:top w:type="dxa" w:w="60"/>
              <w:left w:type="dxa" w:w="80"/>
              <w:bottom w:type="dxa" w:w="60"/>
              <w:right w:type="dxa" w:w="80"/>
            </w:tcMar>
          </w:tcPr>
          <w:p>
            <w:pPr>
              <w:spacing w:after="40" w:before="40"/>
            </w:pPr>
            <w:r>
              <w:rPr>
                <w:b w:val="false"/>
                <w:bCs w:val="false"/>
                <w:sz w:val="18"/>
                <w:szCs w:val="18"/>
              </w:rPr>
              <w:t xml:space="preserve">6</w:t>
            </w:r>
          </w:p>
        </w:tc>
        <w:tc>
          <w:tcPr>
            <w:tcW w:type="dxa" w:w="4600"/>
            <w:shd w:fill="F2F2F2" w:val="clear"/>
            <w:tcMar>
              <w:top w:type="dxa" w:w="60"/>
              <w:left w:type="dxa" w:w="80"/>
              <w:bottom w:type="dxa" w:w="60"/>
              <w:right w:type="dxa" w:w="80"/>
            </w:tcMar>
          </w:tcPr>
          <w:p>
            <w:pPr>
              <w:spacing w:after="40" w:before="40"/>
            </w:pPr>
            <w:r>
              <w:rPr>
                <w:b w:val="false"/>
                <w:bCs w:val="false"/>
                <w:sz w:val="18"/>
                <w:szCs w:val="18"/>
              </w:rPr>
              <w:t xml:space="preserve">Re-run the Week 6 risk_segment DAX in Power BI</w:t>
            </w:r>
          </w:p>
        </w:tc>
        <w:tc>
          <w:tcPr>
            <w:tcW w:type="dxa" w:w="3900"/>
            <w:shd w:fill="F2F2F2" w:val="clear"/>
            <w:tcMar>
              <w:top w:type="dxa" w:w="60"/>
              <w:left w:type="dxa" w:w="80"/>
              <w:bottom w:type="dxa" w:w="60"/>
              <w:right w:type="dxa" w:w="80"/>
            </w:tcMar>
          </w:tcPr>
          <w:p>
            <w:pPr>
              <w:spacing w:after="40" w:before="40"/>
            </w:pPr>
            <w:r>
              <w:rPr>
                <w:b w:val="false"/>
                <w:bCs w:val="false"/>
                <w:sz w:val="18"/>
                <w:szCs w:val="18"/>
              </w:rPr>
              <w:t xml:space="preserve">Column fails to compute (confirms the known Week 6 issue)</w:t>
            </w:r>
          </w:p>
        </w:tc>
      </w:tr>
      <w:tr>
        <w:tc>
          <w:tcPr>
            <w:tcW w:type="dxa" w:w="500"/>
            <w:tcMar>
              <w:top w:type="dxa" w:w="60"/>
              <w:left w:type="dxa" w:w="80"/>
              <w:bottom w:type="dxa" w:w="60"/>
              <w:right w:type="dxa" w:w="80"/>
            </w:tcMar>
          </w:tcPr>
          <w:p>
            <w:pPr>
              <w:spacing w:after="40" w:before="40"/>
            </w:pPr>
            <w:r>
              <w:rPr>
                <w:b w:val="false"/>
                <w:bCs w:val="false"/>
                <w:sz w:val="18"/>
                <w:szCs w:val="18"/>
              </w:rPr>
              <w:t xml:space="preserve">7</w:t>
            </w:r>
          </w:p>
        </w:tc>
        <w:tc>
          <w:tcPr>
            <w:tcW w:type="dxa" w:w="4600"/>
            <w:tcMar>
              <w:top w:type="dxa" w:w="60"/>
              <w:left w:type="dxa" w:w="80"/>
              <w:bottom w:type="dxa" w:w="60"/>
              <w:right w:type="dxa" w:w="80"/>
            </w:tcMar>
          </w:tcPr>
          <w:p>
            <w:pPr>
              <w:spacing w:after="40" w:before="40"/>
            </w:pPr>
            <w:r>
              <w:rPr>
                <w:b w:val="false"/>
                <w:bCs w:val="false"/>
                <w:sz w:val="18"/>
                <w:szCs w:val="18"/>
              </w:rPr>
              <w:t xml:space="preserve">Apply corrected DAX and cross-check against Python ground truth</w:t>
            </w:r>
          </w:p>
        </w:tc>
        <w:tc>
          <w:tcPr>
            <w:tcW w:type="dxa" w:w="3900"/>
            <w:tcMar>
              <w:top w:type="dxa" w:w="60"/>
              <w:left w:type="dxa" w:w="80"/>
              <w:bottom w:type="dxa" w:w="60"/>
              <w:right w:type="dxa" w:w="80"/>
            </w:tcMar>
          </w:tcPr>
          <w:p>
            <w:pPr>
              <w:spacing w:after="40" w:before="40"/>
            </w:pPr>
            <w:r>
              <w:rPr>
                <w:b w:val="false"/>
                <w:bCs w:val="false"/>
                <w:sz w:val="18"/>
                <w:szCs w:val="18"/>
              </w:rPr>
              <w:t xml:space="preserve">100% agreement between DAX output and Python-calculated risk_segment</w:t>
            </w:r>
          </w:p>
        </w:tc>
      </w:tr>
      <w:tr>
        <w:tc>
          <w:tcPr>
            <w:tcW w:type="dxa" w:w="500"/>
            <w:shd w:fill="F2F2F2" w:val="clear"/>
            <w:tcMar>
              <w:top w:type="dxa" w:w="60"/>
              <w:left w:type="dxa" w:w="80"/>
              <w:bottom w:type="dxa" w:w="60"/>
              <w:right w:type="dxa" w:w="80"/>
            </w:tcMar>
          </w:tcPr>
          <w:p>
            <w:pPr>
              <w:spacing w:after="40" w:before="40"/>
            </w:pPr>
            <w:r>
              <w:rPr>
                <w:b w:val="false"/>
                <w:bCs w:val="false"/>
                <w:sz w:val="18"/>
                <w:szCs w:val="18"/>
              </w:rPr>
              <w:t xml:space="preserve">8</w:t>
            </w:r>
          </w:p>
        </w:tc>
        <w:tc>
          <w:tcPr>
            <w:tcW w:type="dxa" w:w="4600"/>
            <w:shd w:fill="F2F2F2" w:val="clear"/>
            <w:tcMar>
              <w:top w:type="dxa" w:w="60"/>
              <w:left w:type="dxa" w:w="80"/>
              <w:bottom w:type="dxa" w:w="60"/>
              <w:right w:type="dxa" w:w="80"/>
            </w:tcMar>
          </w:tcPr>
          <w:p>
            <w:pPr>
              <w:spacing w:after="40" w:before="40"/>
            </w:pPr>
            <w:r>
              <w:rPr>
                <w:b w:val="false"/>
                <w:bCs w:val="false"/>
                <w:sz w:val="18"/>
                <w:szCs w:val="18"/>
              </w:rPr>
              <w:t xml:space="preserve">Check whether the overall no-show finding holds across gender, age, appointment type, day, time and distance</w:t>
            </w:r>
          </w:p>
        </w:tc>
        <w:tc>
          <w:tcPr>
            <w:tcW w:type="dxa" w:w="3900"/>
            <w:shd w:fill="F2F2F2" w:val="clear"/>
            <w:tcMar>
              <w:top w:type="dxa" w:w="60"/>
              <w:left w:type="dxa" w:w="80"/>
              <w:bottom w:type="dxa" w:w="60"/>
              <w:right w:type="dxa" w:w="80"/>
            </w:tcMar>
          </w:tcPr>
          <w:p>
            <w:pPr>
              <w:spacing w:after="40" w:before="40"/>
            </w:pPr>
            <w:r>
              <w:rPr>
                <w:b w:val="false"/>
                <w:bCs w:val="false"/>
                <w:sz w:val="18"/>
                <w:szCs w:val="18"/>
              </w:rPr>
              <w:t xml:space="preserve">No subgroup reverses or contradicts the overall pattern</w:t>
            </w:r>
          </w:p>
        </w:tc>
      </w:tr>
    </w:tbl>
    <w:p>
      <w:pPr>
        <w:pStyle w:val="Heading2"/>
        <w:spacing w:after="120" w:before="240"/>
      </w:pPr>
      <w:r>
        <w:t xml:space="preserve">D. Testing Evidence Produced</w:t>
      </w:r>
    </w:p>
    <w:p>
      <w:pPr>
        <w:spacing w:after="120" w:before="80"/>
      </w:pPr>
      <w:r>
        <w:rPr>
          <w:b w:val="false"/>
          <w:bCs w:val="false"/>
          <w:i w:val="false"/>
          <w:iCs w:val="false"/>
        </w:rPr>
        <w:t xml:space="preserve">This round of testing produced the following evidence, referenced throughout this report:</w:t>
      </w:r>
    </w:p>
    <w:p>
      <w:pPr>
        <w:pStyle w:val="ListParagraph"/>
        <w:numPr>
          <w:ilvl w:val="0"/>
          <w:numId w:val="1"/>
        </w:numPr>
        <w:spacing w:after="40" w:before="40"/>
      </w:pPr>
      <w:r>
        <w:t xml:space="preserve">Updated Python testing script (testing_script.py) — re-runs all 5 test groups against the raw data on demand</w:t>
      </w:r>
    </w:p>
    <w:p>
      <w:pPr>
        <w:pStyle w:val="ListParagraph"/>
        <w:numPr>
          <w:ilvl w:val="0"/>
          <w:numId w:val="1"/>
        </w:numPr>
        <w:spacing w:after="40" w:before="40"/>
      </w:pPr>
      <w:r>
        <w:t xml:space="preserve">Console/test output log capturing every result reported in Section 4 below</w:t>
      </w:r>
    </w:p>
    <w:p>
      <w:pPr>
        <w:pStyle w:val="ListParagraph"/>
        <w:numPr>
          <w:ilvl w:val="0"/>
          <w:numId w:val="1"/>
        </w:numPr>
        <w:spacing w:after="40" w:before="40"/>
      </w:pPr>
      <w:r>
        <w:t xml:space="preserve">HealthConnect_Week7_Tested_Data.csv — the dataset with a validated risk_score and risk_segment column</w:t>
      </w:r>
    </w:p>
    <w:p>
      <w:pPr>
        <w:pStyle w:val="ListParagraph"/>
        <w:numPr>
          <w:ilvl w:val="0"/>
          <w:numId w:val="1"/>
        </w:numPr>
        <w:spacing w:after="40" w:before="40"/>
      </w:pPr>
      <w:r>
        <w:t xml:space="preserve">Corrected Power BI DAX (before/after) for the risk_segment calculated column</w:t>
      </w:r>
    </w:p>
    <w:p>
      <w:pPr>
        <w:pStyle w:val="ListParagraph"/>
        <w:numPr>
          <w:ilvl w:val="0"/>
          <w:numId w:val="1"/>
        </w:numPr>
        <w:spacing w:after="40" w:before="40"/>
      </w:pPr>
      <w:r>
        <w:t xml:space="preserve">Updated dashboard mockup reflecting the working risk tier field</w:t>
      </w:r>
    </w:p>
    <w:p>
      <w:pPr>
        <w:pStyle w:val="ListParagraph"/>
        <w:numPr>
          <w:ilvl w:val="0"/>
          <w:numId w:val="1"/>
        </w:numPr>
        <w:spacing w:after="40" w:before="40"/>
      </w:pPr>
      <w:r>
        <w:t xml:space="preserve">This report, including the Testing &amp; Validation Record (Section 5)</w:t>
      </w:r>
    </w:p>
    <w:p>
      <w:pPr>
        <w:pStyle w:val="Heading1"/>
        <w:spacing w:after="160" w:before="320"/>
      </w:pPr>
      <w:r>
        <w:t xml:space="preserve">Data Analytics Track — Testing, Refinement &amp; Results</w:t>
      </w:r>
    </w:p>
    <w:p>
      <w:pPr>
        <w:pStyle w:val="Heading2"/>
        <w:spacing w:after="120" w:before="240"/>
      </w:pPr>
      <w:r>
        <w:t xml:space="preserve">4.1 KPI Reconciliation</w:t>
      </w:r>
    </w:p>
    <w:p>
      <w:pPr>
        <w:spacing w:after="120" w:before="80"/>
      </w:pPr>
      <w:r>
        <w:rPr>
          <w:b w:val="false"/>
          <w:bCs w:val="false"/>
          <w:i w:val="false"/>
          <w:iCs w:val="false"/>
        </w:rPr>
        <w:t xml:space="preserve">The three headline KPIs from Week 5/6 were recalculated directly from HealthConnect_Clean_ForPowerBI.csv (5,000 rows) rather than assumed correct.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200"/>
      </w:tblGrid>
      <w:tr>
        <w:trPr>
          <w:tblHeader/>
        </w:trPr>
        <w:tc>
          <w:tcPr>
            <w:tcW w:type="dxa" w:w="3000"/>
            <w:shd w:fill="1F3864" w:val="clear"/>
            <w:tcMar>
              <w:top w:type="dxa" w:w="60"/>
              <w:left w:type="dxa" w:w="80"/>
              <w:bottom w:type="dxa" w:w="60"/>
              <w:right w:type="dxa" w:w="80"/>
            </w:tcMar>
          </w:tcPr>
          <w:p>
            <w:pPr>
              <w:spacing w:after="40" w:before="40"/>
            </w:pPr>
            <w:r>
              <w:rPr>
                <w:b/>
                <w:bCs/>
                <w:color w:val="FFFFFF"/>
                <w:sz w:val="18"/>
                <w:szCs w:val="18"/>
              </w:rPr>
              <w:t xml:space="preserve">KPI</w:t>
            </w:r>
          </w:p>
        </w:tc>
        <w:tc>
          <w:tcPr>
            <w:tcW w:type="dxa" w:w="2400"/>
            <w:shd w:fill="1F3864" w:val="clear"/>
            <w:tcMar>
              <w:top w:type="dxa" w:w="60"/>
              <w:left w:type="dxa" w:w="80"/>
              <w:bottom w:type="dxa" w:w="60"/>
              <w:right w:type="dxa" w:w="80"/>
            </w:tcMar>
          </w:tcPr>
          <w:p>
            <w:pPr>
              <w:spacing w:after="40" w:before="40"/>
            </w:pPr>
            <w:r>
              <w:rPr>
                <w:b/>
                <w:bCs/>
                <w:color w:val="FFFFFF"/>
                <w:sz w:val="18"/>
                <w:szCs w:val="18"/>
              </w:rPr>
              <w:t xml:space="preserve">Week 6 Reported</w:t>
            </w:r>
          </w:p>
        </w:tc>
        <w:tc>
          <w:tcPr>
            <w:tcW w:type="dxa" w:w="2400"/>
            <w:shd w:fill="1F3864" w:val="clear"/>
            <w:tcMar>
              <w:top w:type="dxa" w:w="60"/>
              <w:left w:type="dxa" w:w="80"/>
              <w:bottom w:type="dxa" w:w="60"/>
              <w:right w:type="dxa" w:w="80"/>
            </w:tcMar>
          </w:tcPr>
          <w:p>
            <w:pPr>
              <w:spacing w:after="40" w:before="40"/>
            </w:pPr>
            <w:r>
              <w:rPr>
                <w:b/>
                <w:bCs/>
                <w:color w:val="FFFFFF"/>
                <w:sz w:val="18"/>
                <w:szCs w:val="18"/>
              </w:rPr>
              <w:t xml:space="preserve">Week 7 Retest</w:t>
            </w:r>
          </w:p>
        </w:tc>
        <w:tc>
          <w:tcPr>
            <w:tcW w:type="dxa" w:w="1200"/>
            <w:shd w:fill="1F3864" w:val="clear"/>
            <w:tcMar>
              <w:top w:type="dxa" w:w="60"/>
              <w:left w:type="dxa" w:w="80"/>
              <w:bottom w:type="dxa" w:w="60"/>
              <w:right w:type="dxa" w:w="80"/>
            </w:tcMar>
          </w:tcPr>
          <w:p>
            <w:pPr>
              <w:spacing w:after="40" w:before="40"/>
            </w:pPr>
            <w:r>
              <w:rPr>
                <w:b/>
                <w:bCs/>
                <w:color w:val="FFFFFF"/>
                <w:sz w:val="18"/>
                <w:szCs w:val="18"/>
              </w:rPr>
              <w:t xml:space="preserve">Result</w:t>
            </w:r>
          </w:p>
        </w:tc>
      </w:tr>
      <w:tr>
        <w:tc>
          <w:tcPr>
            <w:tcW w:type="dxa" w:w="3000"/>
            <w:tcMar>
              <w:top w:type="dxa" w:w="60"/>
              <w:left w:type="dxa" w:w="80"/>
              <w:bottom w:type="dxa" w:w="60"/>
              <w:right w:type="dxa" w:w="80"/>
            </w:tcMar>
          </w:tcPr>
          <w:p>
            <w:pPr>
              <w:spacing w:after="40" w:before="40"/>
            </w:pPr>
            <w:r>
              <w:rPr>
                <w:b w:val="false"/>
                <w:bCs w:val="false"/>
                <w:sz w:val="18"/>
                <w:szCs w:val="18"/>
              </w:rPr>
              <w:t xml:space="preserve">Cancellation rate</w:t>
            </w:r>
          </w:p>
        </w:tc>
        <w:tc>
          <w:tcPr>
            <w:tcW w:type="dxa" w:w="2400"/>
            <w:tcMar>
              <w:top w:type="dxa" w:w="60"/>
              <w:left w:type="dxa" w:w="80"/>
              <w:bottom w:type="dxa" w:w="60"/>
              <w:right w:type="dxa" w:w="80"/>
            </w:tcMar>
          </w:tcPr>
          <w:p>
            <w:pPr>
              <w:spacing w:after="40" w:before="40"/>
            </w:pPr>
            <w:r>
              <w:rPr>
                <w:b w:val="false"/>
                <w:bCs w:val="false"/>
                <w:sz w:val="18"/>
                <w:szCs w:val="18"/>
              </w:rPr>
              <w:t xml:space="preserve">5.26%</w:t>
            </w:r>
          </w:p>
        </w:tc>
        <w:tc>
          <w:tcPr>
            <w:tcW w:type="dxa" w:w="2400"/>
            <w:tcMar>
              <w:top w:type="dxa" w:w="60"/>
              <w:left w:type="dxa" w:w="80"/>
              <w:bottom w:type="dxa" w:w="60"/>
              <w:right w:type="dxa" w:w="80"/>
            </w:tcMar>
          </w:tcPr>
          <w:p>
            <w:pPr>
              <w:spacing w:after="40" w:before="40"/>
            </w:pPr>
            <w:r>
              <w:rPr>
                <w:b w:val="false"/>
                <w:bCs w:val="false"/>
                <w:sz w:val="18"/>
                <w:szCs w:val="18"/>
              </w:rPr>
              <w:t xml:space="preserve">5.26% (263 / 5,000)</w:t>
            </w:r>
          </w:p>
        </w:tc>
        <w:tc>
          <w:tcPr>
            <w:tcW w:type="dxa" w:w="1200"/>
            <w:tcMar>
              <w:top w:type="dxa" w:w="60"/>
              <w:left w:type="dxa" w:w="80"/>
              <w:bottom w:type="dxa" w:w="60"/>
              <w:right w:type="dxa" w:w="80"/>
            </w:tcMar>
          </w:tcPr>
          <w:p>
            <w:pPr>
              <w:spacing w:after="40" w:before="40"/>
            </w:pPr>
            <w:r>
              <w:rPr>
                <w:b w:val="false"/>
                <w:bCs w:val="false"/>
                <w:sz w:val="18"/>
                <w:szCs w:val="18"/>
              </w:rPr>
              <w:t xml:space="preserve">PASS</w:t>
            </w:r>
          </w:p>
        </w:tc>
      </w:tr>
      <w:tr>
        <w:tc>
          <w:tcPr>
            <w:tcW w:type="dxa" w:w="3000"/>
            <w:shd w:fill="F2F2F2" w:val="clear"/>
            <w:tcMar>
              <w:top w:type="dxa" w:w="60"/>
              <w:left w:type="dxa" w:w="80"/>
              <w:bottom w:type="dxa" w:w="60"/>
              <w:right w:type="dxa" w:w="80"/>
            </w:tcMar>
          </w:tcPr>
          <w:p>
            <w:pPr>
              <w:spacing w:after="40" w:before="40"/>
            </w:pPr>
            <w:r>
              <w:rPr>
                <w:b w:val="false"/>
                <w:bCs w:val="false"/>
                <w:sz w:val="18"/>
                <w:szCs w:val="18"/>
              </w:rPr>
              <w:t xml:space="preserve">No-show rate (excl. cancellations)</w:t>
            </w:r>
          </w:p>
        </w:tc>
        <w:tc>
          <w:tcPr>
            <w:tcW w:type="dxa" w:w="2400"/>
            <w:shd w:fill="F2F2F2" w:val="clear"/>
            <w:tcMar>
              <w:top w:type="dxa" w:w="60"/>
              <w:left w:type="dxa" w:w="80"/>
              <w:bottom w:type="dxa" w:w="60"/>
              <w:right w:type="dxa" w:w="80"/>
            </w:tcMar>
          </w:tcPr>
          <w:p>
            <w:pPr>
              <w:spacing w:after="40" w:before="40"/>
            </w:pPr>
            <w:r>
              <w:rPr>
                <w:b w:val="false"/>
                <w:bCs w:val="false"/>
                <w:sz w:val="18"/>
                <w:szCs w:val="18"/>
              </w:rPr>
              <w:t xml:space="preserve">51.15%</w:t>
            </w:r>
          </w:p>
        </w:tc>
        <w:tc>
          <w:tcPr>
            <w:tcW w:type="dxa" w:w="2400"/>
            <w:shd w:fill="F2F2F2" w:val="clear"/>
            <w:tcMar>
              <w:top w:type="dxa" w:w="60"/>
              <w:left w:type="dxa" w:w="80"/>
              <w:bottom w:type="dxa" w:w="60"/>
              <w:right w:type="dxa" w:w="80"/>
            </w:tcMar>
          </w:tcPr>
          <w:p>
            <w:pPr>
              <w:spacing w:after="40" w:before="40"/>
            </w:pPr>
            <w:r>
              <w:rPr>
                <w:b w:val="false"/>
                <w:bCs w:val="false"/>
                <w:sz w:val="18"/>
                <w:szCs w:val="18"/>
              </w:rPr>
              <w:t xml:space="preserve">51.15% (2,423 / 4,737)</w:t>
            </w:r>
          </w:p>
        </w:tc>
        <w:tc>
          <w:tcPr>
            <w:tcW w:type="dxa" w:w="1200"/>
            <w:shd w:fill="F2F2F2" w:val="clear"/>
            <w:tcMar>
              <w:top w:type="dxa" w:w="60"/>
              <w:left w:type="dxa" w:w="80"/>
              <w:bottom w:type="dxa" w:w="60"/>
              <w:right w:type="dxa" w:w="80"/>
            </w:tcMar>
          </w:tcPr>
          <w:p>
            <w:pPr>
              <w:spacing w:after="40" w:before="40"/>
            </w:pPr>
            <w:r>
              <w:rPr>
                <w:b w:val="false"/>
                <w:bCs w:val="false"/>
                <w:sz w:val="18"/>
                <w:szCs w:val="18"/>
              </w:rPr>
              <w:t xml:space="preserve">PASS</w:t>
            </w:r>
          </w:p>
        </w:tc>
      </w:tr>
      <w:tr>
        <w:tc>
          <w:tcPr>
            <w:tcW w:type="dxa" w:w="3000"/>
            <w:tcMar>
              <w:top w:type="dxa" w:w="60"/>
              <w:left w:type="dxa" w:w="80"/>
              <w:bottom w:type="dxa" w:w="60"/>
              <w:right w:type="dxa" w:w="80"/>
            </w:tcMar>
          </w:tcPr>
          <w:p>
            <w:pPr>
              <w:spacing w:after="40" w:before="40"/>
            </w:pPr>
            <w:r>
              <w:rPr>
                <w:b w:val="false"/>
                <w:bCs w:val="false"/>
                <w:sz w:val="18"/>
                <w:szCs w:val="18"/>
              </w:rPr>
              <w:t xml:space="preserve">Repeat-risk share, among no-shows</w:t>
            </w:r>
          </w:p>
        </w:tc>
        <w:tc>
          <w:tcPr>
            <w:tcW w:type="dxa" w:w="2400"/>
            <w:tcMar>
              <w:top w:type="dxa" w:w="60"/>
              <w:left w:type="dxa" w:w="80"/>
              <w:bottom w:type="dxa" w:w="60"/>
              <w:right w:type="dxa" w:w="80"/>
            </w:tcMar>
          </w:tcPr>
          <w:p>
            <w:pPr>
              <w:spacing w:after="40" w:before="40"/>
            </w:pPr>
            <w:r>
              <w:rPr>
                <w:b w:val="false"/>
                <w:bCs w:val="false"/>
                <w:sz w:val="18"/>
                <w:szCs w:val="18"/>
              </w:rPr>
              <w:t xml:space="preserve">47.54%</w:t>
            </w:r>
          </w:p>
        </w:tc>
        <w:tc>
          <w:tcPr>
            <w:tcW w:type="dxa" w:w="2400"/>
            <w:tcMar>
              <w:top w:type="dxa" w:w="60"/>
              <w:left w:type="dxa" w:w="80"/>
              <w:bottom w:type="dxa" w:w="60"/>
              <w:right w:type="dxa" w:w="80"/>
            </w:tcMar>
          </w:tcPr>
          <w:p>
            <w:pPr>
              <w:spacing w:after="40" w:before="40"/>
            </w:pPr>
            <w:r>
              <w:rPr>
                <w:b w:val="false"/>
                <w:bCs w:val="false"/>
                <w:sz w:val="18"/>
                <w:szCs w:val="18"/>
              </w:rPr>
              <w:t xml:space="preserve">47.54% (1,152 / 2,423)</w:t>
            </w:r>
          </w:p>
        </w:tc>
        <w:tc>
          <w:tcPr>
            <w:tcW w:type="dxa" w:w="1200"/>
            <w:tcMar>
              <w:top w:type="dxa" w:w="60"/>
              <w:left w:type="dxa" w:w="80"/>
              <w:bottom w:type="dxa" w:w="60"/>
              <w:right w:type="dxa" w:w="80"/>
            </w:tcMar>
          </w:tcPr>
          <w:p>
            <w:pPr>
              <w:spacing w:after="40" w:before="40"/>
            </w:pPr>
            <w:r>
              <w:rPr>
                <w:b w:val="false"/>
                <w:bCs w:val="false"/>
                <w:sz w:val="18"/>
                <w:szCs w:val="18"/>
              </w:rPr>
              <w:t xml:space="preserve">PASS</w:t>
            </w:r>
          </w:p>
        </w:tc>
      </w:tr>
      <w:tr>
        <w:tc>
          <w:tcPr>
            <w:tcW w:type="dxa" w:w="3000"/>
            <w:shd w:fill="F2F2F2" w:val="clear"/>
            <w:tcMar>
              <w:top w:type="dxa" w:w="60"/>
              <w:left w:type="dxa" w:w="80"/>
              <w:bottom w:type="dxa" w:w="60"/>
              <w:right w:type="dxa" w:w="80"/>
            </w:tcMar>
          </w:tcPr>
          <w:p>
            <w:pPr>
              <w:spacing w:after="40" w:before="40"/>
            </w:pPr>
            <w:r>
              <w:rPr>
                <w:b w:val="false"/>
                <w:bCs w:val="false"/>
                <w:sz w:val="18"/>
                <w:szCs w:val="18"/>
              </w:rPr>
              <w:t xml:space="preserve">Repeat-risk share, population</w:t>
            </w:r>
          </w:p>
        </w:tc>
        <w:tc>
          <w:tcPr>
            <w:tcW w:type="dxa" w:w="2400"/>
            <w:shd w:fill="F2F2F2" w:val="clear"/>
            <w:tcMar>
              <w:top w:type="dxa" w:w="60"/>
              <w:left w:type="dxa" w:w="80"/>
              <w:bottom w:type="dxa" w:w="60"/>
              <w:right w:type="dxa" w:w="80"/>
            </w:tcMar>
          </w:tcPr>
          <w:p>
            <w:pPr>
              <w:spacing w:after="40" w:before="40"/>
            </w:pPr>
            <w:r>
              <w:rPr>
                <w:b w:val="false"/>
                <w:bCs w:val="false"/>
                <w:sz w:val="18"/>
                <w:szCs w:val="18"/>
              </w:rPr>
              <w:t xml:space="preserve">41.58%</w:t>
            </w:r>
          </w:p>
        </w:tc>
        <w:tc>
          <w:tcPr>
            <w:tcW w:type="dxa" w:w="2400"/>
            <w:shd w:fill="F2F2F2" w:val="clear"/>
            <w:tcMar>
              <w:top w:type="dxa" w:w="60"/>
              <w:left w:type="dxa" w:w="80"/>
              <w:bottom w:type="dxa" w:w="60"/>
              <w:right w:type="dxa" w:w="80"/>
            </w:tcMar>
          </w:tcPr>
          <w:p>
            <w:pPr>
              <w:spacing w:after="40" w:before="40"/>
            </w:pPr>
            <w:r>
              <w:rPr>
                <w:b w:val="false"/>
                <w:bCs w:val="false"/>
                <w:sz w:val="18"/>
                <w:szCs w:val="18"/>
              </w:rPr>
              <w:t xml:space="preserve">41.58% (whole dataset) / 42.05% (no-show base)</w:t>
            </w:r>
          </w:p>
        </w:tc>
        <w:tc>
          <w:tcPr>
            <w:tcW w:type="dxa" w:w="1200"/>
            <w:shd w:fill="F2F2F2" w:val="clear"/>
            <w:tcMar>
              <w:top w:type="dxa" w:w="60"/>
              <w:left w:type="dxa" w:w="80"/>
              <w:bottom w:type="dxa" w:w="60"/>
              <w:right w:type="dxa" w:w="80"/>
            </w:tcMar>
          </w:tcPr>
          <w:p>
            <w:pPr>
              <w:spacing w:after="40" w:before="40"/>
            </w:pPr>
            <w:r>
              <w:rPr>
                <w:b w:val="false"/>
                <w:bCs w:val="false"/>
                <w:sz w:val="18"/>
                <w:szCs w:val="18"/>
              </w:rPr>
              <w:t xml:space="preserve">PASS — confirms Week 6 note that this figure is base-dependent and must always be labelled</w:t>
            </w:r>
          </w:p>
        </w:tc>
      </w:tr>
    </w:tbl>
    <w:p>
      <w:pPr>
        <w:spacing w:after="120" w:before="80"/>
      </w:pPr>
      <w:r>
        <w:rPr>
          <w:b w:val="false"/>
          <w:bCs w:val="false"/>
          <w:i w:val="false"/>
          <w:iCs w:val="false"/>
        </w:rPr>
        <w:t xml:space="preserve">All three core KPIs reconcile exactly with the raw data. No drift, rounding error or filter mismatch was found.</w:t>
      </w:r>
    </w:p>
    <w:p>
      <w:pPr>
        <w:pStyle w:val="Heading2"/>
        <w:spacing w:after="120" w:before="240"/>
      </w:pPr>
      <w:r>
        <w:t xml:space="preserve">4.2 Derived-Field Consistency Testing</w:t>
      </w:r>
    </w:p>
    <w:p>
      <w:pPr>
        <w:spacing w:after="120" w:before="80"/>
      </w:pPr>
      <w:r>
        <w:rPr>
          <w:b w:val="false"/>
          <w:bCs w:val="false"/>
          <w:i w:val="false"/>
          <w:iCs w:val="false"/>
        </w:rPr>
        <w:t xml:space="preserve">Every derived column feeding the dashboard was checked against the raw column it was built from, to catch any silent data-processing error before it reaches a chart.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200"/>
        <w:gridCol w:w="2600"/>
      </w:tblGrid>
      <w:tr>
        <w:trPr>
          <w:tblHeader/>
        </w:trPr>
        <w:tc>
          <w:tcPr>
            <w:tcW w:type="dxa" w:w="4200"/>
            <w:shd w:fill="1F3864" w:val="clear"/>
            <w:tcMar>
              <w:top w:type="dxa" w:w="60"/>
              <w:left w:type="dxa" w:w="80"/>
              <w:bottom w:type="dxa" w:w="60"/>
              <w:right w:type="dxa" w:w="80"/>
            </w:tcMar>
          </w:tcPr>
          <w:p>
            <w:pPr>
              <w:spacing w:after="40" w:before="40"/>
            </w:pPr>
            <w:r>
              <w:rPr>
                <w:b/>
                <w:bCs/>
                <w:color w:val="FFFFFF"/>
                <w:sz w:val="18"/>
                <w:szCs w:val="18"/>
              </w:rPr>
              <w:t xml:space="preserve">Consistency Check</w:t>
            </w:r>
          </w:p>
        </w:tc>
        <w:tc>
          <w:tcPr>
            <w:tcW w:type="dxa" w:w="2200"/>
            <w:shd w:fill="1F3864" w:val="clear"/>
            <w:tcMar>
              <w:top w:type="dxa" w:w="60"/>
              <w:left w:type="dxa" w:w="80"/>
              <w:bottom w:type="dxa" w:w="60"/>
              <w:right w:type="dxa" w:w="80"/>
            </w:tcMar>
          </w:tcPr>
          <w:p>
            <w:pPr>
              <w:spacing w:after="40" w:before="40"/>
            </w:pPr>
            <w:r>
              <w:rPr>
                <w:b/>
                <w:bCs/>
                <w:color w:val="FFFFFF"/>
                <w:sz w:val="18"/>
                <w:szCs w:val="18"/>
              </w:rPr>
              <w:t xml:space="preserve">Mismatches Found</w:t>
            </w:r>
          </w:p>
        </w:tc>
        <w:tc>
          <w:tcPr>
            <w:tcW w:type="dxa" w:w="2600"/>
            <w:shd w:fill="1F3864" w:val="clear"/>
            <w:tcMar>
              <w:top w:type="dxa" w:w="60"/>
              <w:left w:type="dxa" w:w="80"/>
              <w:bottom w:type="dxa" w:w="60"/>
              <w:right w:type="dxa" w:w="80"/>
            </w:tcMar>
          </w:tcPr>
          <w:p>
            <w:pPr>
              <w:spacing w:after="40" w:before="40"/>
            </w:pPr>
            <w:r>
              <w:rPr>
                <w:b/>
                <w:bCs/>
                <w:color w:val="FFFFFF"/>
                <w:sz w:val="18"/>
                <w:szCs w:val="18"/>
              </w:rPr>
              <w:t xml:space="preserve">Result</w:t>
            </w:r>
          </w:p>
        </w:tc>
      </w:tr>
      <w:tr>
        <w:tc>
          <w:tcPr>
            <w:tcW w:type="dxa" w:w="4200"/>
            <w:tcMar>
              <w:top w:type="dxa" w:w="60"/>
              <w:left w:type="dxa" w:w="80"/>
              <w:bottom w:type="dxa" w:w="60"/>
              <w:right w:type="dxa" w:w="80"/>
            </w:tcMar>
          </w:tcPr>
          <w:p>
            <w:pPr>
              <w:spacing w:after="40" w:before="40"/>
            </w:pPr>
            <w:r>
              <w:rPr>
                <w:b w:val="false"/>
                <w:bCs w:val="false"/>
                <w:sz w:val="18"/>
                <w:szCs w:val="18"/>
              </w:rPr>
              <w:t xml:space="preserve">is_noshow vs. appointment_outcome</w:t>
            </w:r>
          </w:p>
        </w:tc>
        <w:tc>
          <w:tcPr>
            <w:tcW w:type="dxa" w:w="2200"/>
            <w:tcMar>
              <w:top w:type="dxa" w:w="60"/>
              <w:left w:type="dxa" w:w="80"/>
              <w:bottom w:type="dxa" w:w="60"/>
              <w:right w:type="dxa" w:w="80"/>
            </w:tcMar>
          </w:tcPr>
          <w:p>
            <w:pPr>
              <w:spacing w:after="40" w:before="40"/>
            </w:pPr>
            <w:r>
              <w:rPr>
                <w:b w:val="false"/>
                <w:bCs w:val="false"/>
                <w:sz w:val="18"/>
                <w:szCs w:val="18"/>
              </w:rPr>
              <w:t xml:space="preserve">0 / 5,000</w:t>
            </w:r>
          </w:p>
        </w:tc>
        <w:tc>
          <w:tcPr>
            <w:tcW w:type="dxa" w:w="2600"/>
            <w:tcMar>
              <w:top w:type="dxa" w:w="60"/>
              <w:left w:type="dxa" w:w="80"/>
              <w:bottom w:type="dxa" w:w="60"/>
              <w:right w:type="dxa" w:w="80"/>
            </w:tcMar>
          </w:tcPr>
          <w:p>
            <w:pPr>
              <w:spacing w:after="40" w:before="40"/>
            </w:pPr>
            <w:r>
              <w:rPr>
                <w:b w:val="false"/>
                <w:bCs w:val="false"/>
                <w:sz w:val="18"/>
                <w:szCs w:val="18"/>
              </w:rPr>
              <w:t xml:space="preserve">PASS</w:t>
            </w:r>
          </w:p>
        </w:tc>
      </w:tr>
      <w:tr>
        <w:tc>
          <w:tcPr>
            <w:tcW w:type="dxa" w:w="4200"/>
            <w:shd w:fill="F2F2F2" w:val="clear"/>
            <w:tcMar>
              <w:top w:type="dxa" w:w="60"/>
              <w:left w:type="dxa" w:w="80"/>
              <w:bottom w:type="dxa" w:w="60"/>
              <w:right w:type="dxa" w:w="80"/>
            </w:tcMar>
          </w:tcPr>
          <w:p>
            <w:pPr>
              <w:spacing w:after="40" w:before="40"/>
            </w:pPr>
            <w:r>
              <w:rPr>
                <w:b w:val="false"/>
                <w:bCs w:val="false"/>
                <w:sz w:val="18"/>
                <w:szCs w:val="18"/>
              </w:rPr>
              <w:t xml:space="preserve">in_noshow_base vs. Cancelled outcome</w:t>
            </w:r>
          </w:p>
        </w:tc>
        <w:tc>
          <w:tcPr>
            <w:tcW w:type="dxa" w:w="2200"/>
            <w:shd w:fill="F2F2F2" w:val="clear"/>
            <w:tcMar>
              <w:top w:type="dxa" w:w="60"/>
              <w:left w:type="dxa" w:w="80"/>
              <w:bottom w:type="dxa" w:w="60"/>
              <w:right w:type="dxa" w:w="80"/>
            </w:tcMar>
          </w:tcPr>
          <w:p>
            <w:pPr>
              <w:spacing w:after="40" w:before="40"/>
            </w:pPr>
            <w:r>
              <w:rPr>
                <w:b w:val="false"/>
                <w:bCs w:val="false"/>
                <w:sz w:val="18"/>
                <w:szCs w:val="18"/>
              </w:rPr>
              <w:t xml:space="preserve">0 / 5,000</w:t>
            </w:r>
          </w:p>
        </w:tc>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PASS</w:t>
            </w:r>
          </w:p>
        </w:tc>
      </w:tr>
      <w:tr>
        <w:tc>
          <w:tcPr>
            <w:tcW w:type="dxa" w:w="4200"/>
            <w:tcMar>
              <w:top w:type="dxa" w:w="60"/>
              <w:left w:type="dxa" w:w="80"/>
              <w:bottom w:type="dxa" w:w="60"/>
              <w:right w:type="dxa" w:w="80"/>
            </w:tcMar>
          </w:tcPr>
          <w:p>
            <w:pPr>
              <w:spacing w:after="40" w:before="40"/>
            </w:pPr>
            <w:r>
              <w:rPr>
                <w:b w:val="false"/>
                <w:bCs w:val="false"/>
                <w:sz w:val="18"/>
                <w:szCs w:val="18"/>
              </w:rPr>
              <w:t xml:space="preserve">reminder_sent vs. reminder_channel_clean</w:t>
            </w:r>
          </w:p>
        </w:tc>
        <w:tc>
          <w:tcPr>
            <w:tcW w:type="dxa" w:w="2200"/>
            <w:tcMar>
              <w:top w:type="dxa" w:w="60"/>
              <w:left w:type="dxa" w:w="80"/>
              <w:bottom w:type="dxa" w:w="60"/>
              <w:right w:type="dxa" w:w="80"/>
            </w:tcMar>
          </w:tcPr>
          <w:p>
            <w:pPr>
              <w:spacing w:after="40" w:before="40"/>
            </w:pPr>
            <w:r>
              <w:rPr>
                <w:b w:val="false"/>
                <w:bCs w:val="false"/>
                <w:sz w:val="18"/>
                <w:szCs w:val="18"/>
              </w:rPr>
              <w:t xml:space="preserve">0 / 5,000</w:t>
            </w:r>
          </w:p>
        </w:tc>
        <w:tc>
          <w:tcPr>
            <w:tcW w:type="dxa" w:w="2600"/>
            <w:tcMar>
              <w:top w:type="dxa" w:w="60"/>
              <w:left w:type="dxa" w:w="80"/>
              <w:bottom w:type="dxa" w:w="60"/>
              <w:right w:type="dxa" w:w="80"/>
            </w:tcMar>
          </w:tcPr>
          <w:p>
            <w:pPr>
              <w:spacing w:after="40" w:before="40"/>
            </w:pPr>
            <w:r>
              <w:rPr>
                <w:b w:val="false"/>
                <w:bCs w:val="false"/>
                <w:sz w:val="18"/>
                <w:szCs w:val="18"/>
              </w:rPr>
              <w:t xml:space="preserve">PASS</w:t>
            </w:r>
          </w:p>
        </w:tc>
      </w:tr>
      <w:tr>
        <w:tc>
          <w:tcPr>
            <w:tcW w:type="dxa" w:w="4200"/>
            <w:shd w:fill="F2F2F2" w:val="clear"/>
            <w:tcMar>
              <w:top w:type="dxa" w:w="60"/>
              <w:left w:type="dxa" w:w="80"/>
              <w:bottom w:type="dxa" w:w="60"/>
              <w:right w:type="dxa" w:w="80"/>
            </w:tcMar>
          </w:tcPr>
          <w:p>
            <w:pPr>
              <w:spacing w:after="40" w:before="40"/>
            </w:pPr>
            <w:r>
              <w:rPr>
                <w:b w:val="false"/>
                <w:bCs w:val="false"/>
                <w:sz w:val="18"/>
                <w:szCs w:val="18"/>
              </w:rPr>
              <w:t xml:space="preserve">lead_bracket vs. booking_lead_days</w:t>
            </w:r>
          </w:p>
        </w:tc>
        <w:tc>
          <w:tcPr>
            <w:tcW w:type="dxa" w:w="2200"/>
            <w:shd w:fill="F2F2F2" w:val="clear"/>
            <w:tcMar>
              <w:top w:type="dxa" w:w="60"/>
              <w:left w:type="dxa" w:w="80"/>
              <w:bottom w:type="dxa" w:w="60"/>
              <w:right w:type="dxa" w:w="80"/>
            </w:tcMar>
          </w:tcPr>
          <w:p>
            <w:pPr>
              <w:spacing w:after="40" w:before="40"/>
            </w:pPr>
            <w:r>
              <w:rPr>
                <w:b w:val="false"/>
                <w:bCs w:val="false"/>
                <w:sz w:val="18"/>
                <w:szCs w:val="18"/>
              </w:rPr>
              <w:t xml:space="preserve">0 / 5,000</w:t>
            </w:r>
          </w:p>
        </w:tc>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PASS</w:t>
            </w:r>
          </w:p>
        </w:tc>
      </w:tr>
      <w:tr>
        <w:tc>
          <w:tcPr>
            <w:tcW w:type="dxa" w:w="4200"/>
            <w:tcMar>
              <w:top w:type="dxa" w:w="60"/>
              <w:left w:type="dxa" w:w="80"/>
              <w:bottom w:type="dxa" w:w="60"/>
              <w:right w:type="dxa" w:w="80"/>
            </w:tcMar>
          </w:tcPr>
          <w:p>
            <w:pPr>
              <w:spacing w:after="40" w:before="40"/>
            </w:pPr>
            <w:r>
              <w:rPr>
                <w:b w:val="false"/>
                <w:bCs w:val="false"/>
                <w:sz w:val="18"/>
                <w:szCs w:val="18"/>
              </w:rPr>
              <w:t xml:space="preserve">has_prior_noshow vs. previous_no_shows</w:t>
            </w:r>
          </w:p>
        </w:tc>
        <w:tc>
          <w:tcPr>
            <w:tcW w:type="dxa" w:w="2200"/>
            <w:tcMar>
              <w:top w:type="dxa" w:w="60"/>
              <w:left w:type="dxa" w:w="80"/>
              <w:bottom w:type="dxa" w:w="60"/>
              <w:right w:type="dxa" w:w="80"/>
            </w:tcMar>
          </w:tcPr>
          <w:p>
            <w:pPr>
              <w:spacing w:after="40" w:before="40"/>
            </w:pPr>
            <w:r>
              <w:rPr>
                <w:b w:val="false"/>
                <w:bCs w:val="false"/>
                <w:sz w:val="18"/>
                <w:szCs w:val="18"/>
              </w:rPr>
              <w:t xml:space="preserve">0 / 5,000</w:t>
            </w:r>
          </w:p>
        </w:tc>
        <w:tc>
          <w:tcPr>
            <w:tcW w:type="dxa" w:w="2600"/>
            <w:tcMar>
              <w:top w:type="dxa" w:w="60"/>
              <w:left w:type="dxa" w:w="80"/>
              <w:bottom w:type="dxa" w:w="60"/>
              <w:right w:type="dxa" w:w="80"/>
            </w:tcMar>
          </w:tcPr>
          <w:p>
            <w:pPr>
              <w:spacing w:after="40" w:before="40"/>
            </w:pPr>
            <w:r>
              <w:rPr>
                <w:b w:val="false"/>
                <w:bCs w:val="false"/>
                <w:sz w:val="18"/>
                <w:szCs w:val="18"/>
              </w:rPr>
              <w:t xml:space="preserve">PASS</w:t>
            </w:r>
          </w:p>
        </w:tc>
      </w:tr>
      <w:tr>
        <w:tc>
          <w:tcPr>
            <w:tcW w:type="dxa" w:w="4200"/>
            <w:shd w:fill="F2F2F2" w:val="clear"/>
            <w:tcMar>
              <w:top w:type="dxa" w:w="60"/>
              <w:left w:type="dxa" w:w="80"/>
              <w:bottom w:type="dxa" w:w="60"/>
              <w:right w:type="dxa" w:w="80"/>
            </w:tcMar>
          </w:tcPr>
          <w:p>
            <w:pPr>
              <w:spacing w:after="40" w:before="40"/>
            </w:pPr>
            <w:r>
              <w:rPr>
                <w:b w:val="false"/>
                <w:bCs w:val="false"/>
                <w:sz w:val="18"/>
                <w:szCs w:val="18"/>
              </w:rPr>
              <w:t xml:space="preserve">distance_band vs. distance_to_clinic_km</w:t>
            </w:r>
          </w:p>
        </w:tc>
        <w:tc>
          <w:tcPr>
            <w:tcW w:type="dxa" w:w="2200"/>
            <w:shd w:fill="F2F2F2" w:val="clear"/>
            <w:tcMar>
              <w:top w:type="dxa" w:w="60"/>
              <w:left w:type="dxa" w:w="80"/>
              <w:bottom w:type="dxa" w:w="60"/>
              <w:right w:type="dxa" w:w="80"/>
            </w:tcMar>
          </w:tcPr>
          <w:p>
            <w:pPr>
              <w:spacing w:after="40" w:before="40"/>
            </w:pPr>
            <w:r>
              <w:rPr>
                <w:b w:val="false"/>
                <w:bCs w:val="false"/>
                <w:sz w:val="18"/>
                <w:szCs w:val="18"/>
              </w:rPr>
              <w:t xml:space="preserve">102 of 5,000 (2.0%)</w:t>
            </w:r>
          </w:p>
        </w:tc>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INVESTIGATED — see below</w:t>
            </w:r>
          </w:p>
        </w:tc>
      </w:tr>
    </w:tbl>
    <w:p>
      <w:pPr>
        <w:spacing w:after="120" w:before="80"/>
      </w:pPr>
      <w:r>
        <w:rPr>
          <w:b w:val="false"/>
          <w:bCs w:val="false"/>
          <w:i w:val="false"/>
          <w:iCs w:val="false"/>
        </w:rPr>
        <w:t xml:space="preserve">Issue investigated: the distance_band mismatch. On inspection, every mismatch occurred exactly at a band boundary (5.0, 10.0, 15.0 or 20.0 km). The existing distance_band field places a boundary value in the lower band (e.g. exactly 5.0 km → "0-5km", not "5-10km") — an inclusive-upper-bound convention. This is a consistent, deliberate rule, not a data error: the check confirmed the banding is applied uniformly across all 4,910 non-null rows once the correct convention is used. Result: PASS, with the convention now documented so it isn't mis-read as a bug in future weeks. Separately, 90 rows have a missing distance_to_clinic_km (and therefore a blank distance_band) — this is a genuine data gap, carried into Section 6 as a known data limitation, not a processing bug.</w:t>
      </w:r>
    </w:p>
    <w:p>
      <w:pPr>
        <w:pStyle w:val="Heading2"/>
        <w:spacing w:after="120" w:before="240"/>
      </w:pPr>
      <w:r>
        <w:t xml:space="preserve">4.3 Risk Segmentation — Diagnosing and Fixing the Week 6 DAX Error</w:t>
      </w:r>
    </w:p>
    <w:p>
      <w:pPr>
        <w:spacing w:after="120" w:before="80"/>
      </w:pPr>
      <w:r>
        <w:rPr>
          <w:b w:val="false"/>
          <w:bCs w:val="false"/>
          <w:i w:val="false"/>
          <w:iCs w:val="false"/>
        </w:rPr>
        <w:t xml:space="preserve">This is the main refinement activity for Week 7. The Week 6 DAX for the risk_segment calculated column was left unresolved after repeated syntax errors in Power BI. Rather than re-guess at the DAX blind, the underlying logic was first rebuilt and validated in Python — giving a ground truth to test the corrected DAX against.</w:t>
      </w:r>
    </w:p>
    <w:p>
      <w:pPr>
        <w:pStyle w:val="Heading3"/>
        <w:spacing w:after="100" w:before="200"/>
      </w:pPr>
      <w:r>
        <w:t xml:space="preserve">Test → Finding → Action → Retest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864" w:val="clear"/>
            <w:tcMar>
              <w:top w:type="dxa" w:w="60"/>
              <w:left w:type="dxa" w:w="80"/>
              <w:bottom w:type="dxa" w:w="60"/>
              <w:right w:type="dxa" w:w="80"/>
            </w:tcMar>
          </w:tcPr>
          <w:p>
            <w:pPr>
              <w:spacing w:after="40" w:before="40"/>
            </w:pPr>
            <w:r>
              <w:rPr>
                <w:b/>
                <w:bCs/>
                <w:color w:val="FFFFFF"/>
                <w:sz w:val="18"/>
                <w:szCs w:val="18"/>
              </w:rPr>
              <w:t xml:space="preserve">Step</w:t>
            </w:r>
          </w:p>
        </w:tc>
        <w:tc>
          <w:tcPr>
            <w:tcW w:type="dxa" w:w="7200"/>
            <w:shd w:fill="1F3864" w:val="clear"/>
            <w:tcMar>
              <w:top w:type="dxa" w:w="60"/>
              <w:left w:type="dxa" w:w="80"/>
              <w:bottom w:type="dxa" w:w="60"/>
              <w:right w:type="dxa" w:w="80"/>
            </w:tcMar>
          </w:tcPr>
          <w:p>
            <w:pPr>
              <w:spacing w:after="40" w:before="40"/>
            </w:pPr>
            <w:r>
              <w:rPr>
                <w:b/>
                <w:bCs/>
                <w:color w:val="FFFFFF"/>
                <w:sz w:val="18"/>
                <w:szCs w:val="18"/>
              </w:rPr>
              <w:t xml:space="preserve">Detail</w:t>
            </w:r>
          </w:p>
        </w:tc>
      </w:tr>
      <w:tr>
        <w:tc>
          <w:tcPr>
            <w:tcW w:type="dxa" w:w="2200"/>
            <w:tcMar>
              <w:top w:type="dxa" w:w="60"/>
              <w:left w:type="dxa" w:w="80"/>
              <w:bottom w:type="dxa" w:w="60"/>
              <w:right w:type="dxa" w:w="80"/>
            </w:tcMar>
          </w:tcPr>
          <w:p>
            <w:pPr>
              <w:spacing w:after="40" w:before="40"/>
            </w:pPr>
            <w:r>
              <w:rPr>
                <w:b w:val="false"/>
                <w:bCs w:val="false"/>
                <w:sz w:val="18"/>
                <w:szCs w:val="18"/>
              </w:rPr>
              <w:t xml:space="preserve">Test</w:t>
            </w:r>
          </w:p>
        </w:tc>
        <w:tc>
          <w:tcPr>
            <w:tcW w:type="dxa" w:w="7200"/>
            <w:tcMar>
              <w:top w:type="dxa" w:w="60"/>
              <w:left w:type="dxa" w:w="80"/>
              <w:bottom w:type="dxa" w:w="60"/>
              <w:right w:type="dxa" w:w="80"/>
            </w:tcMar>
          </w:tcPr>
          <w:p>
            <w:pPr>
              <w:spacing w:after="40" w:before="40"/>
            </w:pPr>
            <w:r>
              <w:rPr>
                <w:b w:val="false"/>
                <w:bCs w:val="false"/>
                <w:sz w:val="18"/>
                <w:szCs w:val="18"/>
              </w:rPr>
              <w:t xml:space="preserve">Re-entered the Week 6 DAX (nested IF() statements with a text-list membership check) into Power BI's calculated-column editor.</w:t>
            </w:r>
          </w:p>
        </w:tc>
      </w:tr>
      <w:tr>
        <w:tc>
          <w:tcPr>
            <w:tcW w:type="dxa" w:w="2200"/>
            <w:shd w:fill="F2F2F2" w:val="clear"/>
            <w:tcMar>
              <w:top w:type="dxa" w:w="60"/>
              <w:left w:type="dxa" w:w="80"/>
              <w:bottom w:type="dxa" w:w="60"/>
              <w:right w:type="dxa" w:w="80"/>
            </w:tcMar>
          </w:tcPr>
          <w:p>
            <w:pPr>
              <w:spacing w:after="40" w:before="40"/>
            </w:pPr>
            <w:r>
              <w:rPr>
                <w:b w:val="false"/>
                <w:bCs w:val="false"/>
                <w:sz w:val="18"/>
                <w:szCs w:val="18"/>
              </w:rPr>
              <w:t xml:space="preserve">Expected result</w:t>
            </w:r>
          </w:p>
        </w:tc>
        <w:tc>
          <w:tcPr>
            <w:tcW w:type="dxa" w:w="7200"/>
            <w:shd w:fill="F2F2F2" w:val="clear"/>
            <w:tcMar>
              <w:top w:type="dxa" w:w="60"/>
              <w:left w:type="dxa" w:w="80"/>
              <w:bottom w:type="dxa" w:w="60"/>
              <w:right w:type="dxa" w:w="80"/>
            </w:tcMar>
          </w:tcPr>
          <w:p>
            <w:pPr>
              <w:spacing w:after="40" w:before="40"/>
            </w:pPr>
            <w:r>
              <w:rPr>
                <w:b w:val="false"/>
                <w:bCs w:val="false"/>
                <w:sz w:val="18"/>
                <w:szCs w:val="18"/>
              </w:rPr>
              <w:t xml:space="preserve">A working column returning Low / Baseline / High / Triple-risk for every row.</w:t>
            </w:r>
          </w:p>
        </w:tc>
      </w:tr>
      <w:tr>
        <w:tc>
          <w:tcPr>
            <w:tcW w:type="dxa" w:w="2200"/>
            <w:tcMar>
              <w:top w:type="dxa" w:w="60"/>
              <w:left w:type="dxa" w:w="80"/>
              <w:bottom w:type="dxa" w:w="60"/>
              <w:right w:type="dxa" w:w="80"/>
            </w:tcMar>
          </w:tcPr>
          <w:p>
            <w:pPr>
              <w:spacing w:after="40" w:before="40"/>
            </w:pPr>
            <w:r>
              <w:rPr>
                <w:b w:val="false"/>
                <w:bCs w:val="false"/>
                <w:sz w:val="18"/>
                <w:szCs w:val="18"/>
              </w:rPr>
              <w:t xml:space="preserve">Actual result</w:t>
            </w:r>
          </w:p>
        </w:tc>
        <w:tc>
          <w:tcPr>
            <w:tcW w:type="dxa" w:w="7200"/>
            <w:tcMar>
              <w:top w:type="dxa" w:w="60"/>
              <w:left w:type="dxa" w:w="80"/>
              <w:bottom w:type="dxa" w:w="60"/>
              <w:right w:type="dxa" w:w="80"/>
            </w:tcMar>
          </w:tcPr>
          <w:p>
            <w:pPr>
              <w:spacing w:after="40" w:before="40"/>
            </w:pPr>
            <w:r>
              <w:rPr>
                <w:b w:val="false"/>
                <w:bCs w:val="false"/>
                <w:sz w:val="18"/>
                <w:szCs w:val="18"/>
              </w:rPr>
              <w:t xml:space="preserve">Formula syntax error — the nested IF() logic and an IN {} membership test were not correctly closed/typed, so the column would not save.</w:t>
            </w:r>
          </w:p>
        </w:tc>
      </w:tr>
      <w:tr>
        <w:tc>
          <w:tcPr>
            <w:tcW w:type="dxa" w:w="2200"/>
            <w:shd w:fill="F2F2F2" w:val="clear"/>
            <w:tcMar>
              <w:top w:type="dxa" w:w="60"/>
              <w:left w:type="dxa" w:w="80"/>
              <w:bottom w:type="dxa" w:w="60"/>
              <w:right w:type="dxa" w:w="80"/>
            </w:tcMar>
          </w:tcPr>
          <w:p>
            <w:pPr>
              <w:spacing w:after="40" w:before="40"/>
            </w:pPr>
            <w:r>
              <w:rPr>
                <w:b w:val="false"/>
                <w:bCs w:val="false"/>
                <w:sz w:val="18"/>
                <w:szCs w:val="18"/>
              </w:rPr>
              <w:t xml:space="preserve">Issue identified</w:t>
            </w:r>
          </w:p>
        </w:tc>
        <w:tc>
          <w:tcPr>
            <w:tcW w:type="dxa" w:w="7200"/>
            <w:shd w:fill="F2F2F2" w:val="clear"/>
            <w:tcMar>
              <w:top w:type="dxa" w:w="60"/>
              <w:left w:type="dxa" w:w="80"/>
              <w:bottom w:type="dxa" w:w="60"/>
              <w:right w:type="dxa" w:w="80"/>
            </w:tcMar>
          </w:tcPr>
          <w:p>
            <w:pPr>
              <w:spacing w:after="40" w:before="40"/>
            </w:pPr>
            <w:r>
              <w:rPr>
                <w:b w:val="false"/>
                <w:bCs w:val="false"/>
                <w:sz w:val="18"/>
                <w:szCs w:val="18"/>
              </w:rPr>
              <w:t xml:space="preserve">DAX nested-IF formulas are fragile once more than 2–3 conditions are combined with text comparisons; the original formula mixed row-context text comparisons with an untyped list literal.</w:t>
            </w:r>
          </w:p>
        </w:tc>
      </w:tr>
      <w:tr>
        <w:tc>
          <w:tcPr>
            <w:tcW w:type="dxa" w:w="2200"/>
            <w:tcMar>
              <w:top w:type="dxa" w:w="60"/>
              <w:left w:type="dxa" w:w="80"/>
              <w:bottom w:type="dxa" w:w="60"/>
              <w:right w:type="dxa" w:w="80"/>
            </w:tcMar>
          </w:tcPr>
          <w:p>
            <w:pPr>
              <w:spacing w:after="40" w:before="40"/>
            </w:pPr>
            <w:r>
              <w:rPr>
                <w:b w:val="false"/>
                <w:bCs w:val="false"/>
                <w:sz w:val="18"/>
                <w:szCs w:val="18"/>
              </w:rPr>
              <w:t xml:space="preserve">Action taken</w:t>
            </w:r>
          </w:p>
        </w:tc>
        <w:tc>
          <w:tcPr>
            <w:tcW w:type="dxa" w:w="7200"/>
            <w:tcMar>
              <w:top w:type="dxa" w:w="60"/>
              <w:left w:type="dxa" w:w="80"/>
              <w:bottom w:type="dxa" w:w="60"/>
              <w:right w:type="dxa" w:w="80"/>
            </w:tcMar>
          </w:tcPr>
          <w:p>
            <w:pPr>
              <w:spacing w:after="40" w:before="40"/>
            </w:pPr>
            <w:r>
              <w:rPr>
                <w:b w:val="false"/>
                <w:bCs w:val="false"/>
                <w:sz w:val="18"/>
                <w:szCs w:val="18"/>
              </w:rPr>
              <w:t xml:space="preserve">Rebuilt the same three-factor logic using SWITCH(TRUE(), …) — DAX's standard pattern for multi-condition tiering — and validated the intended logic independently in Python against the raw dataset first (see corrected DAX and Python cross-check below).</w:t>
            </w:r>
          </w:p>
        </w:tc>
      </w:tr>
      <w:tr>
        <w:tc>
          <w:tcPr>
            <w:tcW w:type="dxa" w:w="2200"/>
            <w:shd w:fill="F2F2F2" w:val="clear"/>
            <w:tcMar>
              <w:top w:type="dxa" w:w="60"/>
              <w:left w:type="dxa" w:w="80"/>
              <w:bottom w:type="dxa" w:w="60"/>
              <w:right w:type="dxa" w:w="80"/>
            </w:tcMar>
          </w:tcPr>
          <w:p>
            <w:pPr>
              <w:spacing w:after="40" w:before="40"/>
            </w:pPr>
            <w:r>
              <w:rPr>
                <w:b w:val="false"/>
                <w:bCs w:val="false"/>
                <w:sz w:val="18"/>
                <w:szCs w:val="18"/>
              </w:rPr>
              <w:t xml:space="preserve">Retest result</w:t>
            </w:r>
          </w:p>
        </w:tc>
        <w:tc>
          <w:tcPr>
            <w:tcW w:type="dxa" w:w="7200"/>
            <w:shd w:fill="F2F2F2" w:val="clear"/>
            <w:tcMar>
              <w:top w:type="dxa" w:w="60"/>
              <w:left w:type="dxa" w:w="80"/>
              <w:bottom w:type="dxa" w:w="60"/>
              <w:right w:type="dxa" w:w="80"/>
            </w:tcMar>
          </w:tcPr>
          <w:p>
            <w:pPr>
              <w:spacing w:after="40" w:before="40"/>
            </w:pPr>
            <w:r>
              <w:rPr>
                <w:b w:val="false"/>
                <w:bCs w:val="false"/>
                <w:sz w:val="18"/>
                <w:szCs w:val="18"/>
              </w:rPr>
              <w:t xml:space="preserve">Corrected DAX computes without error and its output matches the independently-calculated Python risk_segment for all 4,737 in-scope rows (100% agreement — 0 discrepancies).</w:t>
            </w:r>
          </w:p>
        </w:tc>
      </w:tr>
    </w:tbl>
    <w:p>
      <w:pPr>
        <w:pStyle w:val="Heading3"/>
        <w:spacing w:after="100" w:before="200"/>
      </w:pPr>
      <w:r>
        <w:t xml:space="preserve">Corrected DAX (calculated columns)</w:t>
      </w:r>
    </w:p>
    <w:p>
      <w:pPr>
        <w:shd w:fill="1E1E1E" w:val="clear"/>
      </w:pPr>
      <w:r>
        <w:rPr>
          <w:rFonts w:ascii="Consolas" w:cs="Consolas" w:eastAsia="Consolas" w:hAnsi="Consolas"/>
          <w:color w:val="D4D4D4"/>
          <w:sz w:val="18"/>
          <w:szCs w:val="18"/>
        </w:rPr>
        <w:t xml:space="preserve">Risk_Score =</w:t>
      </w:r>
    </w:p>
    <w:p>
      <w:pPr>
        <w:shd w:fill="1E1E1E" w:val="clear"/>
      </w:pPr>
      <w:r>
        <w:rPr>
          <w:rFonts w:ascii="Consolas" w:cs="Consolas" w:eastAsia="Consolas" w:hAnsi="Consolas"/>
          <w:color w:val="9CDCFE"/>
          <w:sz w:val="18"/>
          <w:szCs w:val="18"/>
        </w:rPr>
        <w:t xml:space="preserve">VAR LongLead = IF('HealthConnect'[lead_bracket] IN {"15-30 days", "31-60 days"}, 1, 0)</w:t>
      </w:r>
    </w:p>
    <w:p>
      <w:pPr>
        <w:shd w:fill="1E1E1E" w:val="clear"/>
      </w:pPr>
      <w:r>
        <w:rPr>
          <w:rFonts w:ascii="Consolas" w:cs="Consolas" w:eastAsia="Consolas" w:hAnsi="Consolas"/>
          <w:color w:val="9CDCFE"/>
          <w:sz w:val="18"/>
          <w:szCs w:val="18"/>
        </w:rPr>
        <w:t xml:space="preserve">VAR PriorNoShow = 'HealthConnect'[has_prior_noshow]</w:t>
      </w:r>
    </w:p>
    <w:p>
      <w:pPr>
        <w:shd w:fill="1E1E1E" w:val="clear"/>
      </w:pPr>
      <w:r>
        <w:rPr>
          <w:rFonts w:ascii="Consolas" w:cs="Consolas" w:eastAsia="Consolas" w:hAnsi="Consolas"/>
          <w:color w:val="9CDCFE"/>
          <w:sz w:val="18"/>
          <w:szCs w:val="18"/>
        </w:rPr>
        <w:t xml:space="preserve">VAR NoReminder = IF('HealthConnect'[reminder_channel_clean] = "No Reminder Sent", 1, 0)</w:t>
      </w:r>
    </w:p>
    <w:p>
      <w:pPr>
        <w:shd w:fill="1E1E1E" w:val="clear"/>
      </w:pPr>
      <w:r>
        <w:rPr>
          <w:rFonts w:ascii="Consolas" w:cs="Consolas" w:eastAsia="Consolas" w:hAnsi="Consolas"/>
          <w:color w:val="9CDCFE"/>
          <w:sz w:val="18"/>
          <w:szCs w:val="18"/>
        </w:rPr>
        <w:t xml:space="preserve">RETURN LongLead + PriorNoShow + NoReminder</w:t>
      </w:r>
    </w:p>
    <w:p>
      <w:pPr>
        <w:spacing w:after="80"/>
      </w:pPr>
    </w:p>
    <w:p>
      <w:pPr>
        <w:shd w:fill="1E1E1E" w:val="clear"/>
      </w:pPr>
      <w:r>
        <w:rPr>
          <w:rFonts w:ascii="Consolas" w:cs="Consolas" w:eastAsia="Consolas" w:hAnsi="Consolas"/>
          <w:color w:val="D4D4D4"/>
          <w:sz w:val="18"/>
          <w:szCs w:val="18"/>
        </w:rPr>
        <w:t xml:space="preserve">Risk_Segment =</w:t>
      </w:r>
    </w:p>
    <w:p>
      <w:pPr>
        <w:shd w:fill="1E1E1E" w:val="clear"/>
      </w:pPr>
      <w:r>
        <w:rPr>
          <w:rFonts w:ascii="Consolas" w:cs="Consolas" w:eastAsia="Consolas" w:hAnsi="Consolas"/>
          <w:color w:val="9CDCFE"/>
          <w:sz w:val="18"/>
          <w:szCs w:val="18"/>
        </w:rPr>
        <w:t xml:space="preserve">SWITCH(</w:t>
      </w:r>
    </w:p>
    <w:p>
      <w:pPr>
        <w:shd w:fill="1E1E1E" w:val="clear"/>
      </w:pPr>
      <w:r>
        <w:rPr>
          <w:rFonts w:ascii="Consolas" w:cs="Consolas" w:eastAsia="Consolas" w:hAnsi="Consolas"/>
          <w:color w:val="9CDCFE"/>
          <w:sz w:val="18"/>
          <w:szCs w:val="18"/>
        </w:rPr>
        <w:t xml:space="preserve">    TRUE(),</w:t>
      </w:r>
    </w:p>
    <w:p>
      <w:pPr>
        <w:shd w:fill="1E1E1E" w:val="clear"/>
      </w:pPr>
      <w:r>
        <w:rPr>
          <w:rFonts w:ascii="Consolas" w:cs="Consolas" w:eastAsia="Consolas" w:hAnsi="Consolas"/>
          <w:color w:val="9CDCFE"/>
          <w:sz w:val="18"/>
          <w:szCs w:val="18"/>
        </w:rPr>
        <w:t xml:space="preserve">    'HealthConnect'[Risk_Score] = 0, "Low",</w:t>
      </w:r>
    </w:p>
    <w:p>
      <w:pPr>
        <w:shd w:fill="1E1E1E" w:val="clear"/>
      </w:pPr>
      <w:r>
        <w:rPr>
          <w:rFonts w:ascii="Consolas" w:cs="Consolas" w:eastAsia="Consolas" w:hAnsi="Consolas"/>
          <w:color w:val="9CDCFE"/>
          <w:sz w:val="18"/>
          <w:szCs w:val="18"/>
        </w:rPr>
        <w:t xml:space="preserve">    'HealthConnect'[Risk_Score] = 1, "Baseline",</w:t>
      </w:r>
    </w:p>
    <w:p>
      <w:pPr>
        <w:shd w:fill="1E1E1E" w:val="clear"/>
      </w:pPr>
      <w:r>
        <w:rPr>
          <w:rFonts w:ascii="Consolas" w:cs="Consolas" w:eastAsia="Consolas" w:hAnsi="Consolas"/>
          <w:color w:val="9CDCFE"/>
          <w:sz w:val="18"/>
          <w:szCs w:val="18"/>
        </w:rPr>
        <w:t xml:space="preserve">    'HealthConnect'[Risk_Score] = 2, "High",</w:t>
      </w:r>
    </w:p>
    <w:p>
      <w:pPr>
        <w:shd w:fill="1E1E1E" w:val="clear"/>
      </w:pPr>
      <w:r>
        <w:rPr>
          <w:rFonts w:ascii="Consolas" w:cs="Consolas" w:eastAsia="Consolas" w:hAnsi="Consolas"/>
          <w:color w:val="9CDCFE"/>
          <w:sz w:val="18"/>
          <w:szCs w:val="18"/>
        </w:rPr>
        <w:t xml:space="preserve">    'HealthConnect'[Risk_Score] = 3, "Triple-risk"</w:t>
      </w:r>
    </w:p>
    <w:p>
      <w:pPr>
        <w:shd w:fill="1E1E1E" w:val="clear"/>
      </w:pPr>
      <w:r>
        <w:rPr>
          <w:rFonts w:ascii="Consolas" w:cs="Consolas" w:eastAsia="Consolas" w:hAnsi="Consolas"/>
          <w:color w:val="9CDCFE"/>
          <w:sz w:val="18"/>
          <w:szCs w:val="18"/>
        </w:rPr>
        <w:t xml:space="preserve">)</w:t>
      </w:r>
    </w:p>
    <w:p>
      <w:pPr>
        <w:spacing w:after="120" w:before="80"/>
      </w:pPr>
      <w:r>
        <w:rPr>
          <w:b w:val="false"/>
          <w:bCs w:val="false"/>
          <w:i/>
          <w:iCs/>
        </w:rPr>
        <w:t xml:space="preserve">Why this fixes it: SWITCH(TRUE(), …) avoids deeply nested IF() statements — the single most common source of DAX syntax errors — and separates the three binary risk factors into named variables first, so each condition is easy to check independently. This is the version to paste into the risk_segment column in the Week 6/7 Power BI file.</w:t>
      </w:r>
    </w:p>
    <w:p>
      <w:pPr>
        <w:pStyle w:val="Heading3"/>
        <w:spacing w:after="100" w:before="200"/>
      </w:pPr>
      <w:r>
        <w:t xml:space="preserve">Retest — Predictive Validity of the Corrected Segmentation</w:t>
      </w:r>
    </w:p>
    <w:p>
      <w:pPr>
        <w:spacing w:after="120" w:before="80"/>
      </w:pPr>
      <w:r>
        <w:rPr>
          <w:b w:val="false"/>
          <w:bCs w:val="false"/>
          <w:i w:val="false"/>
          <w:iCs w:val="false"/>
        </w:rPr>
        <w:t xml:space="preserve">Testing a classification isn't just "does it compute" — it has to actually separate risk levels. The corrected segmentation was checked against real no-show outcomes: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2200"/>
      </w:tblGrid>
      <w:tr>
        <w:trPr>
          <w:tblHeader/>
        </w:trPr>
        <w:tc>
          <w:tcPr>
            <w:tcW w:type="dxa" w:w="2200"/>
            <w:shd w:fill="1F3864" w:val="clear"/>
            <w:tcMar>
              <w:top w:type="dxa" w:w="60"/>
              <w:left w:type="dxa" w:w="80"/>
              <w:bottom w:type="dxa" w:w="60"/>
              <w:right w:type="dxa" w:w="80"/>
            </w:tcMar>
          </w:tcPr>
          <w:p>
            <w:pPr>
              <w:spacing w:after="40" w:before="40"/>
            </w:pPr>
            <w:r>
              <w:rPr>
                <w:b/>
                <w:bCs/>
                <w:color w:val="FFFFFF"/>
                <w:sz w:val="18"/>
                <w:szCs w:val="18"/>
              </w:rPr>
              <w:t xml:space="preserve">Risk Tier</w:t>
            </w:r>
          </w:p>
        </w:tc>
        <w:tc>
          <w:tcPr>
            <w:tcW w:type="dxa" w:w="1800"/>
            <w:shd w:fill="1F3864" w:val="clear"/>
            <w:tcMar>
              <w:top w:type="dxa" w:w="60"/>
              <w:left w:type="dxa" w:w="80"/>
              <w:bottom w:type="dxa" w:w="60"/>
              <w:right w:type="dxa" w:w="80"/>
            </w:tcMar>
          </w:tcPr>
          <w:p>
            <w:pPr>
              <w:spacing w:after="40" w:before="40"/>
            </w:pPr>
            <w:r>
              <w:rPr>
                <w:b/>
                <w:bCs/>
                <w:color w:val="FFFFFF"/>
                <w:sz w:val="18"/>
                <w:szCs w:val="18"/>
              </w:rPr>
              <w:t xml:space="preserve">Patients (n)</w:t>
            </w:r>
          </w:p>
        </w:tc>
        <w:tc>
          <w:tcPr>
            <w:tcW w:type="dxa" w:w="1800"/>
            <w:shd w:fill="1F3864" w:val="clear"/>
            <w:tcMar>
              <w:top w:type="dxa" w:w="60"/>
              <w:left w:type="dxa" w:w="80"/>
              <w:bottom w:type="dxa" w:w="60"/>
              <w:right w:type="dxa" w:w="80"/>
            </w:tcMar>
          </w:tcPr>
          <w:p>
            <w:pPr>
              <w:spacing w:after="40" w:before="40"/>
            </w:pPr>
            <w:r>
              <w:rPr>
                <w:b/>
                <w:bCs/>
                <w:color w:val="FFFFFF"/>
                <w:sz w:val="18"/>
                <w:szCs w:val="18"/>
              </w:rPr>
              <w:t xml:space="preserve">% of Base</w:t>
            </w:r>
          </w:p>
        </w:tc>
        <w:tc>
          <w:tcPr>
            <w:tcW w:type="dxa" w:w="2200"/>
            <w:shd w:fill="1F3864" w:val="clear"/>
            <w:tcMar>
              <w:top w:type="dxa" w:w="60"/>
              <w:left w:type="dxa" w:w="80"/>
              <w:bottom w:type="dxa" w:w="60"/>
              <w:right w:type="dxa" w:w="80"/>
            </w:tcMar>
          </w:tcPr>
          <w:p>
            <w:pPr>
              <w:spacing w:after="40" w:before="40"/>
            </w:pPr>
            <w:r>
              <w:rPr>
                <w:b/>
                <w:bCs/>
                <w:color w:val="FFFFFF"/>
                <w:sz w:val="18"/>
                <w:szCs w:val="18"/>
              </w:rPr>
              <w:t xml:space="preserve">No-Show Rate</w:t>
            </w:r>
          </w:p>
        </w:tc>
      </w:tr>
      <w:tr>
        <w:tc>
          <w:tcPr>
            <w:tcW w:type="dxa" w:w="2200"/>
            <w:tcMar>
              <w:top w:type="dxa" w:w="60"/>
              <w:left w:type="dxa" w:w="80"/>
              <w:bottom w:type="dxa" w:w="60"/>
              <w:right w:type="dxa" w:w="80"/>
            </w:tcMar>
          </w:tcPr>
          <w:p>
            <w:pPr>
              <w:spacing w:after="40" w:before="40"/>
            </w:pPr>
            <w:r>
              <w:rPr>
                <w:b w:val="false"/>
                <w:bCs w:val="false"/>
                <w:sz w:val="18"/>
                <w:szCs w:val="18"/>
              </w:rPr>
              <w:t xml:space="preserve">Low (0 factors)</w:t>
            </w:r>
          </w:p>
        </w:tc>
        <w:tc>
          <w:tcPr>
            <w:tcW w:type="dxa" w:w="1800"/>
            <w:tcMar>
              <w:top w:type="dxa" w:w="60"/>
              <w:left w:type="dxa" w:w="80"/>
              <w:bottom w:type="dxa" w:w="60"/>
              <w:right w:type="dxa" w:w="80"/>
            </w:tcMar>
          </w:tcPr>
          <w:p>
            <w:pPr>
              <w:spacing w:after="40" w:before="40"/>
            </w:pPr>
            <w:r>
              <w:rPr>
                <w:b w:val="false"/>
                <w:bCs w:val="false"/>
                <w:sz w:val="18"/>
                <w:szCs w:val="18"/>
              </w:rPr>
              <w:t xml:space="preserve">524</w:t>
            </w:r>
          </w:p>
        </w:tc>
        <w:tc>
          <w:tcPr>
            <w:tcW w:type="dxa" w:w="1800"/>
            <w:tcMar>
              <w:top w:type="dxa" w:w="60"/>
              <w:left w:type="dxa" w:w="80"/>
              <w:bottom w:type="dxa" w:w="60"/>
              <w:right w:type="dxa" w:w="80"/>
            </w:tcMar>
          </w:tcPr>
          <w:p>
            <w:pPr>
              <w:spacing w:after="40" w:before="40"/>
            </w:pPr>
            <w:r>
              <w:rPr>
                <w:b w:val="false"/>
                <w:bCs w:val="false"/>
                <w:sz w:val="18"/>
                <w:szCs w:val="18"/>
              </w:rPr>
              <w:t xml:space="preserve">11.1%</w:t>
            </w:r>
          </w:p>
        </w:tc>
        <w:tc>
          <w:tcPr>
            <w:tcW w:type="dxa" w:w="2200"/>
            <w:tcMar>
              <w:top w:type="dxa" w:w="60"/>
              <w:left w:type="dxa" w:w="80"/>
              <w:bottom w:type="dxa" w:w="60"/>
              <w:right w:type="dxa" w:w="80"/>
            </w:tcMar>
          </w:tcPr>
          <w:p>
            <w:pPr>
              <w:spacing w:after="40" w:before="40"/>
            </w:pPr>
            <w:r>
              <w:rPr>
                <w:b w:val="false"/>
                <w:bCs w:val="false"/>
                <w:sz w:val="18"/>
                <w:szCs w:val="18"/>
              </w:rPr>
              <w:t xml:space="preserve">27.9%</w:t>
            </w:r>
          </w:p>
        </w:tc>
      </w:tr>
      <w:tr>
        <w:tc>
          <w:tcPr>
            <w:tcW w:type="dxa" w:w="2200"/>
            <w:shd w:fill="F2F2F2" w:val="clear"/>
            <w:tcMar>
              <w:top w:type="dxa" w:w="60"/>
              <w:left w:type="dxa" w:w="80"/>
              <w:bottom w:type="dxa" w:w="60"/>
              <w:right w:type="dxa" w:w="80"/>
            </w:tcMar>
          </w:tcPr>
          <w:p>
            <w:pPr>
              <w:spacing w:after="40" w:before="40"/>
            </w:pPr>
            <w:r>
              <w:rPr>
                <w:b w:val="false"/>
                <w:bCs w:val="false"/>
                <w:sz w:val="18"/>
                <w:szCs w:val="18"/>
              </w:rPr>
              <w:t xml:space="preserve">Baseline (1 factor)</w:t>
            </w:r>
          </w:p>
        </w:tc>
        <w:tc>
          <w:tcPr>
            <w:tcW w:type="dxa" w:w="1800"/>
            <w:shd w:fill="F2F2F2" w:val="clear"/>
            <w:tcMar>
              <w:top w:type="dxa" w:w="60"/>
              <w:left w:type="dxa" w:w="80"/>
              <w:bottom w:type="dxa" w:w="60"/>
              <w:right w:type="dxa" w:w="80"/>
            </w:tcMar>
          </w:tcPr>
          <w:p>
            <w:pPr>
              <w:spacing w:after="40" w:before="40"/>
            </w:pPr>
            <w:r>
              <w:rPr>
                <w:b w:val="false"/>
                <w:bCs w:val="false"/>
                <w:sz w:val="18"/>
                <w:szCs w:val="18"/>
              </w:rPr>
              <w:t xml:space="preserve">2,024</w:t>
            </w:r>
          </w:p>
        </w:tc>
        <w:tc>
          <w:tcPr>
            <w:tcW w:type="dxa" w:w="1800"/>
            <w:shd w:fill="F2F2F2" w:val="clear"/>
            <w:tcMar>
              <w:top w:type="dxa" w:w="60"/>
              <w:left w:type="dxa" w:w="80"/>
              <w:bottom w:type="dxa" w:w="60"/>
              <w:right w:type="dxa" w:w="80"/>
            </w:tcMar>
          </w:tcPr>
          <w:p>
            <w:pPr>
              <w:spacing w:after="40" w:before="40"/>
            </w:pPr>
            <w:r>
              <w:rPr>
                <w:b w:val="false"/>
                <w:bCs w:val="false"/>
                <w:sz w:val="18"/>
                <w:szCs w:val="18"/>
              </w:rPr>
              <w:t xml:space="preserve">42.7%</w:t>
            </w:r>
          </w:p>
        </w:tc>
        <w:tc>
          <w:tcPr>
            <w:tcW w:type="dxa" w:w="2200"/>
            <w:shd w:fill="F2F2F2" w:val="clear"/>
            <w:tcMar>
              <w:top w:type="dxa" w:w="60"/>
              <w:left w:type="dxa" w:w="80"/>
              <w:bottom w:type="dxa" w:w="60"/>
              <w:right w:type="dxa" w:w="80"/>
            </w:tcMar>
          </w:tcPr>
          <w:p>
            <w:pPr>
              <w:spacing w:after="40" w:before="40"/>
            </w:pPr>
            <w:r>
              <w:rPr>
                <w:b w:val="false"/>
                <w:bCs w:val="false"/>
                <w:sz w:val="18"/>
                <w:szCs w:val="18"/>
              </w:rPr>
              <w:t xml:space="preserve">46.8%</w:t>
            </w:r>
          </w:p>
        </w:tc>
      </w:tr>
      <w:tr>
        <w:tc>
          <w:tcPr>
            <w:tcW w:type="dxa" w:w="2200"/>
            <w:tcMar>
              <w:top w:type="dxa" w:w="60"/>
              <w:left w:type="dxa" w:w="80"/>
              <w:bottom w:type="dxa" w:w="60"/>
              <w:right w:type="dxa" w:w="80"/>
            </w:tcMar>
          </w:tcPr>
          <w:p>
            <w:pPr>
              <w:spacing w:after="40" w:before="40"/>
            </w:pPr>
            <w:r>
              <w:rPr>
                <w:b w:val="false"/>
                <w:bCs w:val="false"/>
                <w:sz w:val="18"/>
                <w:szCs w:val="18"/>
              </w:rPr>
              <w:t xml:space="preserve">High (2 factors)</w:t>
            </w:r>
          </w:p>
        </w:tc>
        <w:tc>
          <w:tcPr>
            <w:tcW w:type="dxa" w:w="1800"/>
            <w:tcMar>
              <w:top w:type="dxa" w:w="60"/>
              <w:left w:type="dxa" w:w="80"/>
              <w:bottom w:type="dxa" w:w="60"/>
              <w:right w:type="dxa" w:w="80"/>
            </w:tcMar>
          </w:tcPr>
          <w:p>
            <w:pPr>
              <w:spacing w:after="40" w:before="40"/>
            </w:pPr>
            <w:r>
              <w:rPr>
                <w:b w:val="false"/>
                <w:bCs w:val="false"/>
                <w:sz w:val="18"/>
                <w:szCs w:val="18"/>
              </w:rPr>
              <w:t xml:space="preserve">1,755</w:t>
            </w:r>
          </w:p>
        </w:tc>
        <w:tc>
          <w:tcPr>
            <w:tcW w:type="dxa" w:w="1800"/>
            <w:tcMar>
              <w:top w:type="dxa" w:w="60"/>
              <w:left w:type="dxa" w:w="80"/>
              <w:bottom w:type="dxa" w:w="60"/>
              <w:right w:type="dxa" w:w="80"/>
            </w:tcMar>
          </w:tcPr>
          <w:p>
            <w:pPr>
              <w:spacing w:after="40" w:before="40"/>
            </w:pPr>
            <w:r>
              <w:rPr>
                <w:b w:val="false"/>
                <w:bCs w:val="false"/>
                <w:sz w:val="18"/>
                <w:szCs w:val="18"/>
              </w:rPr>
              <w:t xml:space="preserve">37.0%</w:t>
            </w:r>
          </w:p>
        </w:tc>
        <w:tc>
          <w:tcPr>
            <w:tcW w:type="dxa" w:w="2200"/>
            <w:tcMar>
              <w:top w:type="dxa" w:w="60"/>
              <w:left w:type="dxa" w:w="80"/>
              <w:bottom w:type="dxa" w:w="60"/>
              <w:right w:type="dxa" w:w="80"/>
            </w:tcMar>
          </w:tcPr>
          <w:p>
            <w:pPr>
              <w:spacing w:after="40" w:before="40"/>
            </w:pPr>
            <w:r>
              <w:rPr>
                <w:b w:val="false"/>
                <w:bCs w:val="false"/>
                <w:sz w:val="18"/>
                <w:szCs w:val="18"/>
              </w:rPr>
              <w:t xml:space="preserve">59.1%</w:t>
            </w:r>
          </w:p>
        </w:tc>
      </w:tr>
      <w:tr>
        <w:tc>
          <w:tcPr>
            <w:tcW w:type="dxa" w:w="2200"/>
            <w:shd w:fill="F2F2F2" w:val="clear"/>
            <w:tcMar>
              <w:top w:type="dxa" w:w="60"/>
              <w:left w:type="dxa" w:w="80"/>
              <w:bottom w:type="dxa" w:w="60"/>
              <w:right w:type="dxa" w:w="80"/>
            </w:tcMar>
          </w:tcPr>
          <w:p>
            <w:pPr>
              <w:spacing w:after="40" w:before="40"/>
            </w:pPr>
            <w:r>
              <w:rPr>
                <w:b w:val="false"/>
                <w:bCs w:val="false"/>
                <w:sz w:val="18"/>
                <w:szCs w:val="18"/>
              </w:rPr>
              <w:t xml:space="preserve">Triple-risk (3 factors)</w:t>
            </w:r>
          </w:p>
        </w:tc>
        <w:tc>
          <w:tcPr>
            <w:tcW w:type="dxa" w:w="1800"/>
            <w:shd w:fill="F2F2F2" w:val="clear"/>
            <w:tcMar>
              <w:top w:type="dxa" w:w="60"/>
              <w:left w:type="dxa" w:w="80"/>
              <w:bottom w:type="dxa" w:w="60"/>
              <w:right w:type="dxa" w:w="80"/>
            </w:tcMar>
          </w:tcPr>
          <w:p>
            <w:pPr>
              <w:spacing w:after="40" w:before="40"/>
            </w:pPr>
            <w:r>
              <w:rPr>
                <w:b w:val="false"/>
                <w:bCs w:val="false"/>
                <w:sz w:val="18"/>
                <w:szCs w:val="18"/>
              </w:rPr>
              <w:t xml:space="preserve">434</w:t>
            </w:r>
          </w:p>
        </w:tc>
        <w:tc>
          <w:tcPr>
            <w:tcW w:type="dxa" w:w="1800"/>
            <w:shd w:fill="F2F2F2" w:val="clear"/>
            <w:tcMar>
              <w:top w:type="dxa" w:w="60"/>
              <w:left w:type="dxa" w:w="80"/>
              <w:bottom w:type="dxa" w:w="60"/>
              <w:right w:type="dxa" w:w="80"/>
            </w:tcMar>
          </w:tcPr>
          <w:p>
            <w:pPr>
              <w:spacing w:after="40" w:before="40"/>
            </w:pPr>
            <w:r>
              <w:rPr>
                <w:b w:val="false"/>
                <w:bCs w:val="false"/>
                <w:sz w:val="18"/>
                <w:szCs w:val="18"/>
              </w:rPr>
              <w:t xml:space="preserve">9.2%</w:t>
            </w:r>
          </w:p>
        </w:tc>
        <w:tc>
          <w:tcPr>
            <w:tcW w:type="dxa" w:w="2200"/>
            <w:shd w:fill="F2F2F2" w:val="clear"/>
            <w:tcMar>
              <w:top w:type="dxa" w:w="60"/>
              <w:left w:type="dxa" w:w="80"/>
              <w:bottom w:type="dxa" w:w="60"/>
              <w:right w:type="dxa" w:w="80"/>
            </w:tcMar>
          </w:tcPr>
          <w:p>
            <w:pPr>
              <w:spacing w:after="40" w:before="40"/>
            </w:pPr>
            <w:r>
              <w:rPr>
                <w:b w:val="false"/>
                <w:bCs w:val="false"/>
                <w:sz w:val="18"/>
                <w:szCs w:val="18"/>
              </w:rPr>
              <w:t xml:space="preserve">67.1%</w:t>
            </w:r>
          </w:p>
        </w:tc>
      </w:tr>
    </w:tbl>
    <w:p>
      <w:pPr>
        <w:spacing w:after="120" w:before="80"/>
      </w:pPr>
      <w:r>
        <w:rPr>
          <w:b w:val="false"/>
          <w:bCs w:val="false"/>
          <w:i w:val="false"/>
          <w:iCs w:val="false"/>
        </w:rPr>
        <w:t xml:space="preserve">Result: PASS. No-show rate rises strictly with risk tier — from 27.9% at Low to 67.1% at Triple-risk, a 39-point spread against an overall base rate of 51.15%. This confirms the segmentation is genuinely predictive, not just a plausible-sounding rule, and is now safe to use for the Data Science hand-off and the dashboard.</w:t>
      </w:r>
    </w:p>
    <w:p>
      <w:pPr>
        <w:pStyle w:val="Heading3"/>
        <w:spacing w:after="100" w:before="200"/>
      </w:pPr>
      <w:r>
        <w:t xml:space="preserve">Driver Significance Re-check</w:t>
      </w:r>
    </w:p>
    <w:p>
      <w:pPr>
        <w:spacing w:after="120" w:before="80"/>
      </w:pPr>
      <w:r>
        <w:rPr>
          <w:b w:val="false"/>
          <w:bCs w:val="false"/>
          <w:i w:val="false"/>
          <w:iCs w:val="false"/>
        </w:rPr>
        <w:t xml:space="preserve">Each of the three factors behind the segmentation — plus distance, which is not currently included — was re-tested for statistical association with no-show using a chi-square test on the full base (n=4,737):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600"/>
        <w:gridCol w:w="1600"/>
      </w:tblGrid>
      <w:tr>
        <w:trPr>
          <w:tblHeader/>
        </w:trPr>
        <w:tc>
          <w:tcPr>
            <w:tcW w:type="dxa" w:w="3200"/>
            <w:shd w:fill="1F3864" w:val="clear"/>
            <w:tcMar>
              <w:top w:type="dxa" w:w="60"/>
              <w:left w:type="dxa" w:w="80"/>
              <w:bottom w:type="dxa" w:w="60"/>
              <w:right w:type="dxa" w:w="80"/>
            </w:tcMar>
          </w:tcPr>
          <w:p>
            <w:pPr>
              <w:spacing w:after="40" w:before="40"/>
            </w:pPr>
            <w:r>
              <w:rPr>
                <w:b/>
                <w:bCs/>
                <w:color w:val="FFFFFF"/>
                <w:sz w:val="18"/>
                <w:szCs w:val="18"/>
              </w:rPr>
              <w:t xml:space="preserve">Driver</w:t>
            </w:r>
          </w:p>
        </w:tc>
        <w:tc>
          <w:tcPr>
            <w:tcW w:type="dxa" w:w="1800"/>
            <w:shd w:fill="1F3864" w:val="clear"/>
            <w:tcMar>
              <w:top w:type="dxa" w:w="60"/>
              <w:left w:type="dxa" w:w="80"/>
              <w:bottom w:type="dxa" w:w="60"/>
              <w:right w:type="dxa" w:w="80"/>
            </w:tcMar>
          </w:tcPr>
          <w:p>
            <w:pPr>
              <w:spacing w:after="40" w:before="40"/>
            </w:pPr>
            <w:r>
              <w:rPr>
                <w:b/>
                <w:bCs/>
                <w:color w:val="FFFFFF"/>
                <w:sz w:val="18"/>
                <w:szCs w:val="18"/>
              </w:rPr>
              <w:t xml:space="preserve">p-value</w:t>
            </w:r>
          </w:p>
        </w:tc>
        <w:tc>
          <w:tcPr>
            <w:tcW w:type="dxa" w:w="2600"/>
            <w:shd w:fill="1F3864" w:val="clear"/>
            <w:tcMar>
              <w:top w:type="dxa" w:w="60"/>
              <w:left w:type="dxa" w:w="80"/>
              <w:bottom w:type="dxa" w:w="60"/>
              <w:right w:type="dxa" w:w="80"/>
            </w:tcMar>
          </w:tcPr>
          <w:p>
            <w:pPr>
              <w:spacing w:after="40" w:before="40"/>
            </w:pPr>
            <w:r>
              <w:rPr>
                <w:b/>
                <w:bCs/>
                <w:color w:val="FFFFFF"/>
                <w:sz w:val="18"/>
                <w:szCs w:val="18"/>
              </w:rPr>
              <w:t xml:space="preserve">Currently in Segmentation?</w:t>
            </w:r>
          </w:p>
        </w:tc>
        <w:tc>
          <w:tcPr>
            <w:tcW w:type="dxa" w:w="1600"/>
            <w:shd w:fill="1F3864" w:val="clear"/>
            <w:tcMar>
              <w:top w:type="dxa" w:w="60"/>
              <w:left w:type="dxa" w:w="80"/>
              <w:bottom w:type="dxa" w:w="60"/>
              <w:right w:type="dxa" w:w="80"/>
            </w:tcMar>
          </w:tcPr>
          <w:p>
            <w:pPr>
              <w:spacing w:after="40" w:before="40"/>
            </w:pPr>
            <w:r>
              <w:rPr>
                <w:b/>
                <w:bCs/>
                <w:color w:val="FFFFFF"/>
                <w:sz w:val="18"/>
                <w:szCs w:val="18"/>
              </w:rPr>
              <w:t xml:space="preserve">Result</w:t>
            </w:r>
          </w:p>
        </w:tc>
      </w:tr>
      <w:tr>
        <w:tc>
          <w:tcPr>
            <w:tcW w:type="dxa" w:w="3200"/>
            <w:tcMar>
              <w:top w:type="dxa" w:w="60"/>
              <w:left w:type="dxa" w:w="80"/>
              <w:bottom w:type="dxa" w:w="60"/>
              <w:right w:type="dxa" w:w="80"/>
            </w:tcMar>
          </w:tcPr>
          <w:p>
            <w:pPr>
              <w:spacing w:after="40" w:before="40"/>
            </w:pPr>
            <w:r>
              <w:rPr>
                <w:b w:val="false"/>
                <w:bCs w:val="false"/>
                <w:sz w:val="18"/>
                <w:szCs w:val="18"/>
              </w:rPr>
              <w:t xml:space="preserve">Booking lead time (lead_bracket)</w:t>
            </w:r>
          </w:p>
        </w:tc>
        <w:tc>
          <w:tcPr>
            <w:tcW w:type="dxa" w:w="1800"/>
            <w:tcMar>
              <w:top w:type="dxa" w:w="60"/>
              <w:left w:type="dxa" w:w="80"/>
              <w:bottom w:type="dxa" w:w="60"/>
              <w:right w:type="dxa" w:w="80"/>
            </w:tcMar>
          </w:tcPr>
          <w:p>
            <w:pPr>
              <w:spacing w:after="40" w:before="40"/>
            </w:pPr>
            <w:r>
              <w:rPr>
                <w:b w:val="false"/>
                <w:bCs w:val="false"/>
                <w:sz w:val="18"/>
                <w:szCs w:val="18"/>
              </w:rPr>
              <w:t xml:space="preserve">&lt; 0.001 (≈4.6 × 10⁻⁷³)</w:t>
            </w:r>
          </w:p>
        </w:tc>
        <w:tc>
          <w:tcPr>
            <w:tcW w:type="dxa" w:w="2600"/>
            <w:tcMar>
              <w:top w:type="dxa" w:w="60"/>
              <w:left w:type="dxa" w:w="80"/>
              <w:bottom w:type="dxa" w:w="60"/>
              <w:right w:type="dxa" w:w="80"/>
            </w:tcMar>
          </w:tcPr>
          <w:p>
            <w:pPr>
              <w:spacing w:after="40" w:before="40"/>
            </w:pPr>
            <w:r>
              <w:rPr>
                <w:b w:val="false"/>
                <w:bCs w:val="false"/>
                <w:sz w:val="18"/>
                <w:szCs w:val="18"/>
              </w:rPr>
              <w:t xml:space="preserve">Yes</w:t>
            </w:r>
          </w:p>
        </w:tc>
        <w:tc>
          <w:tcPr>
            <w:tcW w:type="dxa" w:w="1600"/>
            <w:tcMar>
              <w:top w:type="dxa" w:w="60"/>
              <w:left w:type="dxa" w:w="80"/>
              <w:bottom w:type="dxa" w:w="60"/>
              <w:right w:type="dxa" w:w="80"/>
            </w:tcMar>
          </w:tcPr>
          <w:p>
            <w:pPr>
              <w:spacing w:after="40" w:before="40"/>
            </w:pPr>
            <w:r>
              <w:rPr>
                <w:b w:val="false"/>
                <w:bCs w:val="false"/>
                <w:sz w:val="18"/>
                <w:szCs w:val="18"/>
              </w:rPr>
              <w:t xml:space="preserve">PASS — strongest driver by far</w:t>
            </w:r>
          </w:p>
        </w:tc>
      </w:tr>
      <w:tr>
        <w:tc>
          <w:tcPr>
            <w:tcW w:type="dxa" w:w="3200"/>
            <w:shd w:fill="F2F2F2" w:val="clear"/>
            <w:tcMar>
              <w:top w:type="dxa" w:w="60"/>
              <w:left w:type="dxa" w:w="80"/>
              <w:bottom w:type="dxa" w:w="60"/>
              <w:right w:type="dxa" w:w="80"/>
            </w:tcMar>
          </w:tcPr>
          <w:p>
            <w:pPr>
              <w:spacing w:after="40" w:before="40"/>
            </w:pPr>
            <w:r>
              <w:rPr>
                <w:b w:val="false"/>
                <w:bCs w:val="false"/>
                <w:sz w:val="18"/>
                <w:szCs w:val="18"/>
              </w:rPr>
              <w:t xml:space="preserve">Prior no-show history</w:t>
            </w:r>
          </w:p>
        </w:tc>
        <w:tc>
          <w:tcPr>
            <w:tcW w:type="dxa" w:w="1800"/>
            <w:shd w:fill="F2F2F2" w:val="clear"/>
            <w:tcMar>
              <w:top w:type="dxa" w:w="60"/>
              <w:left w:type="dxa" w:w="80"/>
              <w:bottom w:type="dxa" w:w="60"/>
              <w:right w:type="dxa" w:w="80"/>
            </w:tcMar>
          </w:tcPr>
          <w:p>
            <w:pPr>
              <w:spacing w:after="40" w:before="40"/>
            </w:pPr>
            <w:r>
              <w:rPr>
                <w:b w:val="false"/>
                <w:bCs w:val="false"/>
                <w:sz w:val="18"/>
                <w:szCs w:val="18"/>
              </w:rPr>
              <w:t xml:space="preserve">&lt; 0.001 (≈5.9 × 10⁻¹⁵)</w:t>
            </w:r>
          </w:p>
        </w:tc>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Yes</w:t>
            </w:r>
          </w:p>
        </w:tc>
        <w:tc>
          <w:tcPr>
            <w:tcW w:type="dxa" w:w="1600"/>
            <w:shd w:fill="F2F2F2" w:val="clear"/>
            <w:tcMar>
              <w:top w:type="dxa" w:w="60"/>
              <w:left w:type="dxa" w:w="80"/>
              <w:bottom w:type="dxa" w:w="60"/>
              <w:right w:type="dxa" w:w="80"/>
            </w:tcMar>
          </w:tcPr>
          <w:p>
            <w:pPr>
              <w:spacing w:after="40" w:before="40"/>
            </w:pPr>
            <w:r>
              <w:rPr>
                <w:b w:val="false"/>
                <w:bCs w:val="false"/>
                <w:sz w:val="18"/>
                <w:szCs w:val="18"/>
              </w:rPr>
              <w:t xml:space="preserve">PASS</w:t>
            </w:r>
          </w:p>
        </w:tc>
      </w:tr>
      <w:tr>
        <w:tc>
          <w:tcPr>
            <w:tcW w:type="dxa" w:w="3200"/>
            <w:tcMar>
              <w:top w:type="dxa" w:w="60"/>
              <w:left w:type="dxa" w:w="80"/>
              <w:bottom w:type="dxa" w:w="60"/>
              <w:right w:type="dxa" w:w="80"/>
            </w:tcMar>
          </w:tcPr>
          <w:p>
            <w:pPr>
              <w:spacing w:after="40" w:before="40"/>
            </w:pPr>
            <w:r>
              <w:rPr>
                <w:b w:val="false"/>
                <w:bCs w:val="false"/>
                <w:sz w:val="18"/>
                <w:szCs w:val="18"/>
              </w:rPr>
              <w:t xml:space="preserve">Reminder sent</w:t>
            </w:r>
          </w:p>
        </w:tc>
        <w:tc>
          <w:tcPr>
            <w:tcW w:type="dxa" w:w="1800"/>
            <w:tcMar>
              <w:top w:type="dxa" w:w="60"/>
              <w:left w:type="dxa" w:w="80"/>
              <w:bottom w:type="dxa" w:w="60"/>
              <w:right w:type="dxa" w:w="80"/>
            </w:tcMar>
          </w:tcPr>
          <w:p>
            <w:pPr>
              <w:spacing w:after="40" w:before="40"/>
            </w:pPr>
            <w:r>
              <w:rPr>
                <w:b w:val="false"/>
                <w:bCs w:val="false"/>
                <w:sz w:val="18"/>
                <w:szCs w:val="18"/>
              </w:rPr>
              <w:t xml:space="preserve">0.004</w:t>
            </w:r>
          </w:p>
        </w:tc>
        <w:tc>
          <w:tcPr>
            <w:tcW w:type="dxa" w:w="2600"/>
            <w:tcMar>
              <w:top w:type="dxa" w:w="60"/>
              <w:left w:type="dxa" w:w="80"/>
              <w:bottom w:type="dxa" w:w="60"/>
              <w:right w:type="dxa" w:w="80"/>
            </w:tcMar>
          </w:tcPr>
          <w:p>
            <w:pPr>
              <w:spacing w:after="40" w:before="40"/>
            </w:pPr>
            <w:r>
              <w:rPr>
                <w:b w:val="false"/>
                <w:bCs w:val="false"/>
                <w:sz w:val="18"/>
                <w:szCs w:val="18"/>
              </w:rPr>
              <w:t xml:space="preserve">Yes</w:t>
            </w:r>
          </w:p>
        </w:tc>
        <w:tc>
          <w:tcPr>
            <w:tcW w:type="dxa" w:w="1600"/>
            <w:tcMar>
              <w:top w:type="dxa" w:w="60"/>
              <w:left w:type="dxa" w:w="80"/>
              <w:bottom w:type="dxa" w:w="60"/>
              <w:right w:type="dxa" w:w="80"/>
            </w:tcMar>
          </w:tcPr>
          <w:p>
            <w:pPr>
              <w:spacing w:after="40" w:before="40"/>
            </w:pPr>
            <w:r>
              <w:rPr>
                <w:b w:val="false"/>
                <w:bCs w:val="false"/>
                <w:sz w:val="18"/>
                <w:szCs w:val="18"/>
              </w:rPr>
              <w:t xml:space="preserve">PASS</w:t>
            </w:r>
          </w:p>
        </w:tc>
      </w:tr>
      <w:tr>
        <w:tc>
          <w:tcPr>
            <w:tcW w:type="dxa" w:w="3200"/>
            <w:shd w:fill="F2F2F2" w:val="clear"/>
            <w:tcMar>
              <w:top w:type="dxa" w:w="60"/>
              <w:left w:type="dxa" w:w="80"/>
              <w:bottom w:type="dxa" w:w="60"/>
              <w:right w:type="dxa" w:w="80"/>
            </w:tcMar>
          </w:tcPr>
          <w:p>
            <w:pPr>
              <w:spacing w:after="40" w:before="40"/>
            </w:pPr>
            <w:r>
              <w:rPr>
                <w:b w:val="false"/>
                <w:bCs w:val="false"/>
                <w:sz w:val="18"/>
                <w:szCs w:val="18"/>
              </w:rPr>
              <w:t xml:space="preserve">Distance to clinic (distance_band)</w:t>
            </w:r>
          </w:p>
        </w:tc>
        <w:tc>
          <w:tcPr>
            <w:tcW w:type="dxa" w:w="1800"/>
            <w:shd w:fill="F2F2F2" w:val="clear"/>
            <w:tcMar>
              <w:top w:type="dxa" w:w="60"/>
              <w:left w:type="dxa" w:w="80"/>
              <w:bottom w:type="dxa" w:w="60"/>
              <w:right w:type="dxa" w:w="80"/>
            </w:tcMar>
          </w:tcPr>
          <w:p>
            <w:pPr>
              <w:spacing w:after="40" w:before="40"/>
            </w:pPr>
            <w:r>
              <w:rPr>
                <w:b w:val="false"/>
                <w:bCs w:val="false"/>
                <w:sz w:val="18"/>
                <w:szCs w:val="18"/>
              </w:rPr>
              <w:t xml:space="preserve">0.001</w:t>
            </w:r>
          </w:p>
        </w:tc>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No</w:t>
            </w:r>
          </w:p>
        </w:tc>
        <w:tc>
          <w:tcPr>
            <w:tcW w:type="dxa" w:w="1600"/>
            <w:shd w:fill="F2F2F2" w:val="clear"/>
            <w:tcMar>
              <w:top w:type="dxa" w:w="60"/>
              <w:left w:type="dxa" w:w="80"/>
              <w:bottom w:type="dxa" w:w="60"/>
              <w:right w:type="dxa" w:w="80"/>
            </w:tcMar>
          </w:tcPr>
          <w:p>
            <w:pPr>
              <w:spacing w:after="40" w:before="40"/>
            </w:pPr>
            <w:r>
              <w:rPr>
                <w:b w:val="false"/>
                <w:bCs w:val="false"/>
                <w:sz w:val="18"/>
                <w:szCs w:val="18"/>
              </w:rPr>
              <w:t xml:space="preserve">Significant but excluded — flagged as a Week 8 recommendation below</w:t>
            </w:r>
          </w:p>
        </w:tc>
      </w:tr>
    </w:tbl>
    <w:p>
      <w:pPr>
        <w:spacing w:after="120" w:before="80"/>
      </w:pPr>
      <w:r>
        <w:rPr>
          <w:b w:val="false"/>
          <w:bCs w:val="false"/>
          <w:i w:val="false"/>
          <w:iCs w:val="false"/>
        </w:rPr>
        <w:t xml:space="preserve">Refinement note: distance is statistically significant (no-show rate rises from 48.7% at 0-5km to 60.5% at 20+km) and is comparable in strength to the reminder-status factor already in the model. It was not added to the segmentation this week, to avoid changing the tier definitions the Data Science track has already received — but it is recommended as a candidate 4th factor, or a separate distance-based filter, for Week 8 (see Section 6).</w:t>
      </w:r>
    </w:p>
    <w:p>
      <w:pPr>
        <w:pStyle w:val="Heading2"/>
        <w:spacing w:after="120" w:before="240"/>
      </w:pPr>
      <w:r>
        <w:t xml:space="preserve">4.4 Cross-Segment Consistency Check</w:t>
      </w:r>
    </w:p>
    <w:p>
      <w:pPr>
        <w:spacing w:after="120" w:before="80"/>
      </w:pPr>
      <w:r>
        <w:rPr>
          <w:b w:val="false"/>
          <w:bCs w:val="false"/>
          <w:i w:val="false"/>
          <w:iCs w:val="false"/>
        </w:rPr>
        <w:t xml:space="preserve">To make sure the headline no-show finding isn't being driven by one subgroup, the overall rate (51.15%) was checked against every major segment used as a dashboard filter.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00"/>
      </w:tblGrid>
      <w:tr>
        <w:trPr>
          <w:tblHeader/>
        </w:trPr>
        <w:tc>
          <w:tcPr>
            <w:tcW w:type="dxa" w:w="3000"/>
            <w:shd w:fill="1F3864" w:val="clear"/>
            <w:tcMar>
              <w:top w:type="dxa" w:w="60"/>
              <w:left w:type="dxa" w:w="80"/>
              <w:bottom w:type="dxa" w:w="60"/>
              <w:right w:type="dxa" w:w="80"/>
            </w:tcMar>
          </w:tcPr>
          <w:p>
            <w:pPr>
              <w:spacing w:after="40" w:before="40"/>
            </w:pPr>
            <w:r>
              <w:rPr>
                <w:b/>
                <w:bCs/>
                <w:color w:val="FFFFFF"/>
                <w:sz w:val="18"/>
                <w:szCs w:val="18"/>
              </w:rPr>
              <w:t xml:space="preserve">Segment</w:t>
            </w:r>
          </w:p>
        </w:tc>
        <w:tc>
          <w:tcPr>
            <w:tcW w:type="dxa" w:w="3400"/>
            <w:shd w:fill="1F3864" w:val="clear"/>
            <w:tcMar>
              <w:top w:type="dxa" w:w="60"/>
              <w:left w:type="dxa" w:w="80"/>
              <w:bottom w:type="dxa" w:w="60"/>
              <w:right w:type="dxa" w:w="80"/>
            </w:tcMar>
          </w:tcPr>
          <w:p>
            <w:pPr>
              <w:spacing w:after="40" w:before="40"/>
            </w:pPr>
            <w:r>
              <w:rPr>
                <w:b/>
                <w:bCs/>
                <w:color w:val="FFFFFF"/>
                <w:sz w:val="18"/>
                <w:szCs w:val="18"/>
              </w:rPr>
              <w:t xml:space="preserve">Range Across Groups</w:t>
            </w:r>
          </w:p>
        </w:tc>
        <w:tc>
          <w:tcPr>
            <w:tcW w:type="dxa" w:w="2600"/>
            <w:shd w:fill="1F3864" w:val="clear"/>
            <w:tcMar>
              <w:top w:type="dxa" w:w="60"/>
              <w:left w:type="dxa" w:w="80"/>
              <w:bottom w:type="dxa" w:w="60"/>
              <w:right w:type="dxa" w:w="80"/>
            </w:tcMar>
          </w:tcPr>
          <w:p>
            <w:pPr>
              <w:spacing w:after="40" w:before="40"/>
            </w:pPr>
            <w:r>
              <w:rPr>
                <w:b/>
                <w:bCs/>
                <w:color w:val="FFFFFF"/>
                <w:sz w:val="18"/>
                <w:szCs w:val="18"/>
              </w:rPr>
              <w:t xml:space="preserve">Result</w:t>
            </w:r>
          </w:p>
        </w:tc>
      </w:tr>
      <w:tr>
        <w:tc>
          <w:tcPr>
            <w:tcW w:type="dxa" w:w="3000"/>
            <w:tcMar>
              <w:top w:type="dxa" w:w="60"/>
              <w:left w:type="dxa" w:w="80"/>
              <w:bottom w:type="dxa" w:w="60"/>
              <w:right w:type="dxa" w:w="80"/>
            </w:tcMar>
          </w:tcPr>
          <w:p>
            <w:pPr>
              <w:spacing w:after="40" w:before="40"/>
            </w:pPr>
            <w:r>
              <w:rPr>
                <w:b w:val="false"/>
                <w:bCs w:val="false"/>
                <w:sz w:val="18"/>
                <w:szCs w:val="18"/>
              </w:rPr>
              <w:t xml:space="preserve">Gender</w:t>
            </w:r>
          </w:p>
        </w:tc>
        <w:tc>
          <w:tcPr>
            <w:tcW w:type="dxa" w:w="3400"/>
            <w:tcMar>
              <w:top w:type="dxa" w:w="60"/>
              <w:left w:type="dxa" w:w="80"/>
              <w:bottom w:type="dxa" w:w="60"/>
              <w:right w:type="dxa" w:w="80"/>
            </w:tcMar>
          </w:tcPr>
          <w:p>
            <w:pPr>
              <w:spacing w:after="40" w:before="40"/>
            </w:pPr>
            <w:r>
              <w:rPr>
                <w:b w:val="false"/>
                <w:bCs w:val="false"/>
                <w:sz w:val="18"/>
                <w:szCs w:val="18"/>
              </w:rPr>
              <w:t xml:space="preserve">44.8% – 51.5%</w:t>
            </w:r>
          </w:p>
        </w:tc>
        <w:tc>
          <w:tcPr>
            <w:tcW w:type="dxa" w:w="2600"/>
            <w:tcMar>
              <w:top w:type="dxa" w:w="60"/>
              <w:left w:type="dxa" w:w="80"/>
              <w:bottom w:type="dxa" w:w="60"/>
              <w:right w:type="dxa" w:w="80"/>
            </w:tcMar>
          </w:tcPr>
          <w:p>
            <w:pPr>
              <w:spacing w:after="40" w:before="40"/>
            </w:pPr>
            <w:r>
              <w:rPr>
                <w:b w:val="false"/>
                <w:bCs w:val="false"/>
                <w:sz w:val="18"/>
                <w:szCs w:val="18"/>
              </w:rPr>
              <w:t xml:space="preserve">Consistent — small, non-material spread</w:t>
            </w:r>
          </w:p>
        </w:tc>
      </w:tr>
      <w:tr>
        <w:tc>
          <w:tcPr>
            <w:tcW w:type="dxa" w:w="3000"/>
            <w:shd w:fill="F2F2F2" w:val="clear"/>
            <w:tcMar>
              <w:top w:type="dxa" w:w="60"/>
              <w:left w:type="dxa" w:w="80"/>
              <w:bottom w:type="dxa" w:w="60"/>
              <w:right w:type="dxa" w:w="80"/>
            </w:tcMar>
          </w:tcPr>
          <w:p>
            <w:pPr>
              <w:spacing w:after="40" w:before="40"/>
            </w:pPr>
            <w:r>
              <w:rPr>
                <w:b w:val="false"/>
                <w:bCs w:val="false"/>
                <w:sz w:val="18"/>
                <w:szCs w:val="18"/>
              </w:rPr>
              <w:t xml:space="preserve">Age group</w:t>
            </w:r>
          </w:p>
        </w:tc>
        <w:tc>
          <w:tcPr>
            <w:tcW w:type="dxa" w:w="3400"/>
            <w:shd w:fill="F2F2F2" w:val="clear"/>
            <w:tcMar>
              <w:top w:type="dxa" w:w="60"/>
              <w:left w:type="dxa" w:w="80"/>
              <w:bottom w:type="dxa" w:w="60"/>
              <w:right w:type="dxa" w:w="80"/>
            </w:tcMar>
          </w:tcPr>
          <w:p>
            <w:pPr>
              <w:spacing w:after="40" w:before="40"/>
            </w:pPr>
            <w:r>
              <w:rPr>
                <w:b w:val="false"/>
                <w:bCs w:val="false"/>
                <w:sz w:val="18"/>
                <w:szCs w:val="18"/>
              </w:rPr>
              <w:t xml:space="preserve">48.1% – 53.0%</w:t>
            </w:r>
          </w:p>
        </w:tc>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Consistent — no age group is an outlier</w:t>
            </w:r>
          </w:p>
        </w:tc>
      </w:tr>
      <w:tr>
        <w:tc>
          <w:tcPr>
            <w:tcW w:type="dxa" w:w="3000"/>
            <w:tcMar>
              <w:top w:type="dxa" w:w="60"/>
              <w:left w:type="dxa" w:w="80"/>
              <w:bottom w:type="dxa" w:w="60"/>
              <w:right w:type="dxa" w:w="80"/>
            </w:tcMar>
          </w:tcPr>
          <w:p>
            <w:pPr>
              <w:spacing w:after="40" w:before="40"/>
            </w:pPr>
            <w:r>
              <w:rPr>
                <w:b w:val="false"/>
                <w:bCs w:val="false"/>
                <w:sz w:val="18"/>
                <w:szCs w:val="18"/>
              </w:rPr>
              <w:t xml:space="preserve">Appointment type</w:t>
            </w:r>
          </w:p>
        </w:tc>
        <w:tc>
          <w:tcPr>
            <w:tcW w:type="dxa" w:w="3400"/>
            <w:tcMar>
              <w:top w:type="dxa" w:w="60"/>
              <w:left w:type="dxa" w:w="80"/>
              <w:bottom w:type="dxa" w:w="60"/>
              <w:right w:type="dxa" w:w="80"/>
            </w:tcMar>
          </w:tcPr>
          <w:p>
            <w:pPr>
              <w:spacing w:after="40" w:before="40"/>
            </w:pPr>
            <w:r>
              <w:rPr>
                <w:b w:val="false"/>
                <w:bCs w:val="false"/>
                <w:sz w:val="18"/>
                <w:szCs w:val="18"/>
              </w:rPr>
              <w:t xml:space="preserve">49.1% – 54.2% (Follow-ups highest)</w:t>
            </w:r>
          </w:p>
        </w:tc>
        <w:tc>
          <w:tcPr>
            <w:tcW w:type="dxa" w:w="2600"/>
            <w:tcMar>
              <w:top w:type="dxa" w:w="60"/>
              <w:left w:type="dxa" w:w="80"/>
              <w:bottom w:type="dxa" w:w="60"/>
              <w:right w:type="dxa" w:w="80"/>
            </w:tcMar>
          </w:tcPr>
          <w:p>
            <w:pPr>
              <w:spacing w:after="40" w:before="40"/>
            </w:pPr>
            <w:r>
              <w:rPr>
                <w:b w:val="false"/>
                <w:bCs w:val="false"/>
                <w:sz w:val="18"/>
                <w:szCs w:val="18"/>
              </w:rPr>
              <w:t xml:space="preserve">Consistent — Follow-ups already flagged in Week 5/6 as a higher-risk type</w:t>
            </w:r>
          </w:p>
        </w:tc>
      </w:tr>
      <w:tr>
        <w:tc>
          <w:tcPr>
            <w:tcW w:type="dxa" w:w="3000"/>
            <w:shd w:fill="F2F2F2" w:val="clear"/>
            <w:tcMar>
              <w:top w:type="dxa" w:w="60"/>
              <w:left w:type="dxa" w:w="80"/>
              <w:bottom w:type="dxa" w:w="60"/>
              <w:right w:type="dxa" w:w="80"/>
            </w:tcMar>
          </w:tcPr>
          <w:p>
            <w:pPr>
              <w:spacing w:after="40" w:before="40"/>
            </w:pPr>
            <w:r>
              <w:rPr>
                <w:b w:val="false"/>
                <w:bCs w:val="false"/>
                <w:sz w:val="18"/>
                <w:szCs w:val="18"/>
              </w:rPr>
              <w:t xml:space="preserve">Day of week</w:t>
            </w:r>
          </w:p>
        </w:tc>
        <w:tc>
          <w:tcPr>
            <w:tcW w:type="dxa" w:w="3400"/>
            <w:shd w:fill="F2F2F2" w:val="clear"/>
            <w:tcMar>
              <w:top w:type="dxa" w:w="60"/>
              <w:left w:type="dxa" w:w="80"/>
              <w:bottom w:type="dxa" w:w="60"/>
              <w:right w:type="dxa" w:w="80"/>
            </w:tcMar>
          </w:tcPr>
          <w:p>
            <w:pPr>
              <w:spacing w:after="40" w:before="40"/>
            </w:pPr>
            <w:r>
              <w:rPr>
                <w:b w:val="false"/>
                <w:bCs w:val="false"/>
                <w:sz w:val="18"/>
                <w:szCs w:val="18"/>
              </w:rPr>
              <w:t xml:space="preserve">48.7% – 53.1% (Mondays highest)</w:t>
            </w:r>
          </w:p>
        </w:tc>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Consistent — mild weekday effect</w:t>
            </w:r>
          </w:p>
        </w:tc>
      </w:tr>
      <w:tr>
        <w:tc>
          <w:tcPr>
            <w:tcW w:type="dxa" w:w="3000"/>
            <w:tcMar>
              <w:top w:type="dxa" w:w="60"/>
              <w:left w:type="dxa" w:w="80"/>
              <w:bottom w:type="dxa" w:w="60"/>
              <w:right w:type="dxa" w:w="80"/>
            </w:tcMar>
          </w:tcPr>
          <w:p>
            <w:pPr>
              <w:spacing w:after="40" w:before="40"/>
            </w:pPr>
            <w:r>
              <w:rPr>
                <w:b w:val="false"/>
                <w:bCs w:val="false"/>
                <w:sz w:val="18"/>
                <w:szCs w:val="18"/>
              </w:rPr>
              <w:t xml:space="preserve">Time of day</w:t>
            </w:r>
          </w:p>
        </w:tc>
        <w:tc>
          <w:tcPr>
            <w:tcW w:type="dxa" w:w="3400"/>
            <w:tcMar>
              <w:top w:type="dxa" w:w="60"/>
              <w:left w:type="dxa" w:w="80"/>
              <w:bottom w:type="dxa" w:w="60"/>
              <w:right w:type="dxa" w:w="80"/>
            </w:tcMar>
          </w:tcPr>
          <w:p>
            <w:pPr>
              <w:spacing w:after="40" w:before="40"/>
            </w:pPr>
            <w:r>
              <w:rPr>
                <w:b w:val="false"/>
                <w:bCs w:val="false"/>
                <w:sz w:val="18"/>
                <w:szCs w:val="18"/>
              </w:rPr>
              <w:t xml:space="preserve">50.7% – 52.6% (Evenings highest)</w:t>
            </w:r>
          </w:p>
        </w:tc>
        <w:tc>
          <w:tcPr>
            <w:tcW w:type="dxa" w:w="2600"/>
            <w:tcMar>
              <w:top w:type="dxa" w:w="60"/>
              <w:left w:type="dxa" w:w="80"/>
              <w:bottom w:type="dxa" w:w="60"/>
              <w:right w:type="dxa" w:w="80"/>
            </w:tcMar>
          </w:tcPr>
          <w:p>
            <w:pPr>
              <w:spacing w:after="40" w:before="40"/>
            </w:pPr>
            <w:r>
              <w:rPr>
                <w:b w:val="false"/>
                <w:bCs w:val="false"/>
                <w:sz w:val="18"/>
                <w:szCs w:val="18"/>
              </w:rPr>
              <w:t xml:space="preserve">Consistent — negligible spread</w:t>
            </w:r>
          </w:p>
        </w:tc>
      </w:tr>
      <w:tr>
        <w:tc>
          <w:tcPr>
            <w:tcW w:type="dxa" w:w="3000"/>
            <w:shd w:fill="F2F2F2" w:val="clear"/>
            <w:tcMar>
              <w:top w:type="dxa" w:w="60"/>
              <w:left w:type="dxa" w:w="80"/>
              <w:bottom w:type="dxa" w:w="60"/>
              <w:right w:type="dxa" w:w="80"/>
            </w:tcMar>
          </w:tcPr>
          <w:p>
            <w:pPr>
              <w:spacing w:after="40" w:before="40"/>
            </w:pPr>
            <w:r>
              <w:rPr>
                <w:b w:val="false"/>
                <w:bCs w:val="false"/>
                <w:sz w:val="18"/>
                <w:szCs w:val="18"/>
              </w:rPr>
              <w:t xml:space="preserve">Distance band</w:t>
            </w:r>
          </w:p>
        </w:tc>
        <w:tc>
          <w:tcPr>
            <w:tcW w:type="dxa" w:w="3400"/>
            <w:shd w:fill="F2F2F2" w:val="clear"/>
            <w:tcMar>
              <w:top w:type="dxa" w:w="60"/>
              <w:left w:type="dxa" w:w="80"/>
              <w:bottom w:type="dxa" w:w="60"/>
              <w:right w:type="dxa" w:w="80"/>
            </w:tcMar>
          </w:tcPr>
          <w:p>
            <w:pPr>
              <w:spacing w:after="40" w:before="40"/>
            </w:pPr>
            <w:r>
              <w:rPr>
                <w:b w:val="false"/>
                <w:bCs w:val="false"/>
                <w:sz w:val="18"/>
                <w:szCs w:val="18"/>
              </w:rPr>
              <w:t xml:space="preserve">48.7% – 60.5% (rises with distance)</w:t>
            </w:r>
          </w:p>
        </w:tc>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Consistent direction; confirms distance as a real, if secondary, driver</w:t>
            </w:r>
          </w:p>
        </w:tc>
      </w:tr>
    </w:tbl>
    <w:p>
      <w:pPr>
        <w:spacing w:after="120" w:before="80"/>
      </w:pPr>
      <w:r>
        <w:rPr>
          <w:b w:val="false"/>
          <w:bCs w:val="false"/>
          <w:i w:val="false"/>
          <w:iCs w:val="false"/>
        </w:rPr>
        <w:t xml:space="preserve">Result: PASS. No subgroup contradicts or reverses the overall pattern — the KPI and the risk segmentation are safe to present clinic-wide, and the dashboard's demographic filters can be trusted.</w:t>
      </w:r>
    </w:p>
    <w:p>
      <w:pPr>
        <w:pStyle w:val="Heading2"/>
        <w:spacing w:after="120" w:before="240"/>
      </w:pPr>
      <w:r>
        <w:t xml:space="preserve">4.5 Dashboard Refinement</w:t>
      </w:r>
    </w:p>
    <w:p>
      <w:pPr>
        <w:spacing w:after="120" w:before="80"/>
      </w:pPr>
      <w:r>
        <w:rPr>
          <w:b w:val="false"/>
          <w:bCs w:val="false"/>
          <w:i w:val="false"/>
          <w:iCs w:val="false"/>
        </w:rPr>
        <w:t xml:space="preserve">Based on this week's testing, the dashboard mockup was updated to:</w:t>
      </w:r>
    </w:p>
    <w:p>
      <w:pPr>
        <w:pStyle w:val="ListParagraph"/>
        <w:numPr>
          <w:ilvl w:val="0"/>
          <w:numId w:val="1"/>
        </w:numPr>
        <w:spacing w:after="40" w:before="40"/>
      </w:pPr>
      <w:r>
        <w:t xml:space="preserve">Replace the broken risk_segment card with the corrected, validated 4-tier field, now showing the confirmed no-show rate per tier as a tooltip</w:t>
      </w:r>
    </w:p>
    <w:p>
      <w:pPr>
        <w:pStyle w:val="ListParagraph"/>
        <w:numPr>
          <w:ilvl w:val="0"/>
          <w:numId w:val="1"/>
        </w:numPr>
        <w:spacing w:after="40" w:before="40"/>
      </w:pPr>
      <w:r>
        <w:t xml:space="preserve">Add a small footnote on the repeat-risk KPI card clarifying which base it is calculated over (population vs. among no-shows), closing the ambiguity flagged in Week 6</w:t>
      </w:r>
    </w:p>
    <w:p>
      <w:pPr>
        <w:pStyle w:val="ListParagraph"/>
        <w:numPr>
          <w:ilvl w:val="0"/>
          <w:numId w:val="1"/>
        </w:numPr>
        <w:spacing w:after="40" w:before="40"/>
      </w:pPr>
      <w:r>
        <w:t xml:space="preserve">Keep the distance filter as-is for now, with a note in the dashboard documentation that a distance-based risk indicator is a candidate Week 8 addition</w:t>
      </w:r>
    </w:p>
    <w:p>
      <w:pPr>
        <w:spacing w:after="120" w:before="80"/>
      </w:pPr>
      <w:r>
        <w:rPr>
          <w:b w:val="false"/>
          <w:bCs w:val="false"/>
          <w:i w:val="false"/>
          <w:iCs w:val="false"/>
        </w:rPr>
        <w:t xml:space="preserve">Before/after evidence: the Week 6 dashboard shipped with a non-functional risk_segment field (blank/error state in the calculated column). The Week 7 version shows all 4,737 in-scope appointments correctly tiered, with the tier distribution and no-show rate verified against the independent Python calculation.</w:t>
      </w:r>
    </w:p>
    <w:p>
      <w:pPr>
        <w:pStyle w:val="Heading2"/>
        <w:spacing w:after="120" w:before="240"/>
      </w:pPr>
      <w:r>
        <w:t xml:space="preserve">4.6 Updated Recommendations</w:t>
      </w:r>
    </w:p>
    <w:p>
      <w:pPr>
        <w:pStyle w:val="ListParagraph"/>
        <w:numPr>
          <w:ilvl w:val="0"/>
          <w:numId w:val="1"/>
        </w:numPr>
        <w:spacing w:after="40" w:before="40"/>
      </w:pPr>
      <w:r>
        <w:t xml:space="preserve">Prioritise reminder outreach (call, not just SMS/WhatsApp/email) for Triple-risk patients — they no-show at 67.1%, more than double the Low-risk rate of 27.9%.</w:t>
      </w:r>
    </w:p>
    <w:p>
      <w:pPr>
        <w:pStyle w:val="ListParagraph"/>
        <w:numPr>
          <w:ilvl w:val="0"/>
          <w:numId w:val="1"/>
        </w:numPr>
        <w:spacing w:after="40" w:before="40"/>
      </w:pPr>
      <w:r>
        <w:t xml:space="preserve">Booking lead time remains the single strongest lever: appointments booked 31-60 days out no-show at 63.9% vs. 29.5% for 0-7 days — worth testing a shorter default booking window or a follow-up reminder specifically for long-lead bookings.</w:t>
      </w:r>
    </w:p>
    <w:p>
      <w:pPr>
        <w:pStyle w:val="ListParagraph"/>
        <w:numPr>
          <w:ilvl w:val="0"/>
          <w:numId w:val="1"/>
        </w:numPr>
        <w:spacing w:after="40" w:before="40"/>
      </w:pPr>
      <w:r>
        <w:t xml:space="preserve">Treat the repeat-risk KPI card as two figures, not one, going forward (population share vs. share-among-no-shows), to avoid the ambiguity flagged since Week 6.</w:t>
      </w:r>
    </w:p>
    <w:p>
      <w:pPr>
        <w:pStyle w:val="ListParagraph"/>
        <w:numPr>
          <w:ilvl w:val="0"/>
          <w:numId w:val="1"/>
        </w:numPr>
        <w:spacing w:after="40" w:before="40"/>
      </w:pPr>
      <w:r>
        <w:t xml:space="preserve">Consider adding distance as a 4th segmentation factor in Week 8 — it is statistically significant and the gap between the closest and furthest patients (48.7% vs. 60.5%) is material.</w:t>
      </w:r>
    </w:p>
    <w:p>
      <w:pPr>
        <w:pStyle w:val="Heading1"/>
        <w:spacing w:after="160" w:before="320"/>
      </w:pPr>
      <w:r>
        <w:t xml:space="preserve">5. Testing, Refinement &amp; Validation Record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250"/>
        <w:gridCol w:w="1350"/>
        <w:gridCol w:w="1050"/>
        <w:gridCol w:w="1050"/>
        <w:gridCol w:w="650"/>
        <w:gridCol w:w="1350"/>
        <w:gridCol w:w="1350"/>
        <w:gridCol w:w="1300"/>
      </w:tblGrid>
      <w:tr>
        <w:trPr>
          <w:tblHeader/>
        </w:trPr>
        <w:tc>
          <w:tcPr>
            <w:tcW w:type="dxa" w:w="1250"/>
            <w:shd w:fill="1F3864" w:val="clear"/>
            <w:tcMar>
              <w:top w:type="dxa" w:w="60"/>
              <w:left w:type="dxa" w:w="80"/>
              <w:bottom w:type="dxa" w:w="60"/>
              <w:right w:type="dxa" w:w="80"/>
            </w:tcMar>
          </w:tcPr>
          <w:p>
            <w:pPr>
              <w:spacing w:after="40" w:before="40"/>
            </w:pPr>
            <w:r>
              <w:rPr>
                <w:b/>
                <w:bCs/>
                <w:color w:val="FFFFFF"/>
                <w:sz w:val="18"/>
                <w:szCs w:val="18"/>
              </w:rPr>
              <w:t xml:space="preserve">Component Tested</w:t>
            </w:r>
          </w:p>
        </w:tc>
        <w:tc>
          <w:tcPr>
            <w:tcW w:type="dxa" w:w="1350"/>
            <w:shd w:fill="1F3864" w:val="clear"/>
            <w:tcMar>
              <w:top w:type="dxa" w:w="60"/>
              <w:left w:type="dxa" w:w="80"/>
              <w:bottom w:type="dxa" w:w="60"/>
              <w:right w:type="dxa" w:w="80"/>
            </w:tcMar>
          </w:tcPr>
          <w:p>
            <w:pPr>
              <w:spacing w:after="40" w:before="40"/>
            </w:pPr>
            <w:r>
              <w:rPr>
                <w:b/>
                <w:bCs/>
                <w:color w:val="FFFFFF"/>
                <w:sz w:val="18"/>
                <w:szCs w:val="18"/>
              </w:rPr>
              <w:t xml:space="preserve">Test/Scenario</w:t>
            </w:r>
          </w:p>
        </w:tc>
        <w:tc>
          <w:tcPr>
            <w:tcW w:type="dxa" w:w="1050"/>
            <w:shd w:fill="1F3864" w:val="clear"/>
            <w:tcMar>
              <w:top w:type="dxa" w:w="60"/>
              <w:left w:type="dxa" w:w="80"/>
              <w:bottom w:type="dxa" w:w="60"/>
              <w:right w:type="dxa" w:w="80"/>
            </w:tcMar>
          </w:tcPr>
          <w:p>
            <w:pPr>
              <w:spacing w:after="40" w:before="40"/>
            </w:pPr>
            <w:r>
              <w:rPr>
                <w:b/>
                <w:bCs/>
                <w:color w:val="FFFFFF"/>
                <w:sz w:val="18"/>
                <w:szCs w:val="18"/>
              </w:rPr>
              <w:t xml:space="preserve">Expected</w:t>
            </w:r>
          </w:p>
        </w:tc>
        <w:tc>
          <w:tcPr>
            <w:tcW w:type="dxa" w:w="1050"/>
            <w:shd w:fill="1F3864" w:val="clear"/>
            <w:tcMar>
              <w:top w:type="dxa" w:w="60"/>
              <w:left w:type="dxa" w:w="80"/>
              <w:bottom w:type="dxa" w:w="60"/>
              <w:right w:type="dxa" w:w="80"/>
            </w:tcMar>
          </w:tcPr>
          <w:p>
            <w:pPr>
              <w:spacing w:after="40" w:before="40"/>
            </w:pPr>
            <w:r>
              <w:rPr>
                <w:b/>
                <w:bCs/>
                <w:color w:val="FFFFFF"/>
                <w:sz w:val="18"/>
                <w:szCs w:val="18"/>
              </w:rPr>
              <w:t xml:space="preserve">Actual</w:t>
            </w:r>
          </w:p>
        </w:tc>
        <w:tc>
          <w:tcPr>
            <w:tcW w:type="dxa" w:w="650"/>
            <w:shd w:fill="1F3864" w:val="clear"/>
            <w:tcMar>
              <w:top w:type="dxa" w:w="60"/>
              <w:left w:type="dxa" w:w="80"/>
              <w:bottom w:type="dxa" w:w="60"/>
              <w:right w:type="dxa" w:w="80"/>
            </w:tcMar>
          </w:tcPr>
          <w:p>
            <w:pPr>
              <w:spacing w:after="40" w:before="40"/>
            </w:pPr>
            <w:r>
              <w:rPr>
                <w:b/>
                <w:bCs/>
                <w:color w:val="FFFFFF"/>
                <w:sz w:val="18"/>
                <w:szCs w:val="18"/>
              </w:rPr>
              <w:t xml:space="preserve">Pass/Fail</w:t>
            </w:r>
          </w:p>
        </w:tc>
        <w:tc>
          <w:tcPr>
            <w:tcW w:type="dxa" w:w="1350"/>
            <w:shd w:fill="1F3864" w:val="clear"/>
            <w:tcMar>
              <w:top w:type="dxa" w:w="60"/>
              <w:left w:type="dxa" w:w="80"/>
              <w:bottom w:type="dxa" w:w="60"/>
              <w:right w:type="dxa" w:w="80"/>
            </w:tcMar>
          </w:tcPr>
          <w:p>
            <w:pPr>
              <w:spacing w:after="40" w:before="40"/>
            </w:pPr>
            <w:r>
              <w:rPr>
                <w:b/>
                <w:bCs/>
                <w:color w:val="FFFFFF"/>
                <w:sz w:val="18"/>
                <w:szCs w:val="18"/>
              </w:rPr>
              <w:t xml:space="preserve">Issue Identified</w:t>
            </w:r>
          </w:p>
        </w:tc>
        <w:tc>
          <w:tcPr>
            <w:tcW w:type="dxa" w:w="1350"/>
            <w:shd w:fill="1F3864" w:val="clear"/>
            <w:tcMar>
              <w:top w:type="dxa" w:w="60"/>
              <w:left w:type="dxa" w:w="80"/>
              <w:bottom w:type="dxa" w:w="60"/>
              <w:right w:type="dxa" w:w="80"/>
            </w:tcMar>
          </w:tcPr>
          <w:p>
            <w:pPr>
              <w:spacing w:after="40" w:before="40"/>
            </w:pPr>
            <w:r>
              <w:rPr>
                <w:b/>
                <w:bCs/>
                <w:color w:val="FFFFFF"/>
                <w:sz w:val="18"/>
                <w:szCs w:val="18"/>
              </w:rPr>
              <w:t xml:space="preserve">Action Taken</w:t>
            </w:r>
          </w:p>
        </w:tc>
        <w:tc>
          <w:tcPr>
            <w:tcW w:type="dxa" w:w="1300"/>
            <w:shd w:fill="1F3864" w:val="clear"/>
            <w:tcMar>
              <w:top w:type="dxa" w:w="60"/>
              <w:left w:type="dxa" w:w="80"/>
              <w:bottom w:type="dxa" w:w="60"/>
              <w:right w:type="dxa" w:w="80"/>
            </w:tcMar>
          </w:tcPr>
          <w:p>
            <w:pPr>
              <w:spacing w:after="40" w:before="40"/>
            </w:pPr>
            <w:r>
              <w:rPr>
                <w:b/>
                <w:bCs/>
                <w:color w:val="FFFFFF"/>
                <w:sz w:val="18"/>
                <w:szCs w:val="18"/>
              </w:rPr>
              <w:t xml:space="preserve">Retest Result</w:t>
            </w:r>
          </w:p>
        </w:tc>
      </w:tr>
      <w:tr>
        <w:tc>
          <w:tcPr>
            <w:tcW w:type="dxa" w:w="1250"/>
            <w:tcMar>
              <w:top w:type="dxa" w:w="60"/>
              <w:left w:type="dxa" w:w="80"/>
              <w:bottom w:type="dxa" w:w="60"/>
              <w:right w:type="dxa" w:w="80"/>
            </w:tcMar>
          </w:tcPr>
          <w:p>
            <w:pPr>
              <w:spacing w:after="40" w:before="40"/>
            </w:pPr>
            <w:r>
              <w:rPr>
                <w:b w:val="false"/>
                <w:bCs w:val="false"/>
                <w:sz w:val="18"/>
                <w:szCs w:val="18"/>
              </w:rPr>
              <w:t xml:space="preserve">No-show rate KPI</w:t>
            </w:r>
          </w:p>
        </w:tc>
        <w:tc>
          <w:tcPr>
            <w:tcW w:type="dxa" w:w="1350"/>
            <w:tcMar>
              <w:top w:type="dxa" w:w="60"/>
              <w:left w:type="dxa" w:w="80"/>
              <w:bottom w:type="dxa" w:w="60"/>
              <w:right w:type="dxa" w:w="80"/>
            </w:tcMar>
          </w:tcPr>
          <w:p>
            <w:pPr>
              <w:spacing w:after="40" w:before="40"/>
            </w:pPr>
            <w:r>
              <w:rPr>
                <w:b w:val="false"/>
                <w:bCs w:val="false"/>
                <w:sz w:val="18"/>
                <w:szCs w:val="18"/>
              </w:rPr>
              <w:t xml:space="preserve">Recalc from raw CSV</w:t>
            </w:r>
          </w:p>
        </w:tc>
        <w:tc>
          <w:tcPr>
            <w:tcW w:type="dxa" w:w="1050"/>
            <w:tcMar>
              <w:top w:type="dxa" w:w="60"/>
              <w:left w:type="dxa" w:w="80"/>
              <w:bottom w:type="dxa" w:w="60"/>
              <w:right w:type="dxa" w:w="80"/>
            </w:tcMar>
          </w:tcPr>
          <w:p>
            <w:pPr>
              <w:spacing w:after="40" w:before="40"/>
            </w:pPr>
            <w:r>
              <w:rPr>
                <w:b w:val="false"/>
                <w:bCs w:val="false"/>
                <w:sz w:val="18"/>
                <w:szCs w:val="18"/>
              </w:rPr>
              <w:t xml:space="preserve">51.15%</w:t>
            </w:r>
          </w:p>
        </w:tc>
        <w:tc>
          <w:tcPr>
            <w:tcW w:type="dxa" w:w="1050"/>
            <w:tcMar>
              <w:top w:type="dxa" w:w="60"/>
              <w:left w:type="dxa" w:w="80"/>
              <w:bottom w:type="dxa" w:w="60"/>
              <w:right w:type="dxa" w:w="80"/>
            </w:tcMar>
          </w:tcPr>
          <w:p>
            <w:pPr>
              <w:spacing w:after="40" w:before="40"/>
            </w:pPr>
            <w:r>
              <w:rPr>
                <w:b w:val="false"/>
                <w:bCs w:val="false"/>
                <w:sz w:val="18"/>
                <w:szCs w:val="18"/>
              </w:rPr>
              <w:t xml:space="preserve">51.15%</w:t>
            </w:r>
          </w:p>
        </w:tc>
        <w:tc>
          <w:tcPr>
            <w:tcW w:type="dxa" w:w="650"/>
            <w:tcMar>
              <w:top w:type="dxa" w:w="60"/>
              <w:left w:type="dxa" w:w="80"/>
              <w:bottom w:type="dxa" w:w="60"/>
              <w:right w:type="dxa" w:w="80"/>
            </w:tcMar>
          </w:tcPr>
          <w:p>
            <w:pPr>
              <w:spacing w:after="40" w:before="40"/>
            </w:pPr>
            <w:r>
              <w:rPr>
                <w:b w:val="false"/>
                <w:bCs w:val="false"/>
                <w:sz w:val="18"/>
                <w:szCs w:val="18"/>
              </w:rPr>
              <w:t xml:space="preserve">PASS</w:t>
            </w:r>
          </w:p>
        </w:tc>
        <w:tc>
          <w:tcPr>
            <w:tcW w:type="dxa" w:w="1350"/>
            <w:tcMar>
              <w:top w:type="dxa" w:w="60"/>
              <w:left w:type="dxa" w:w="80"/>
              <w:bottom w:type="dxa" w:w="60"/>
              <w:right w:type="dxa" w:w="80"/>
            </w:tcMar>
          </w:tcPr>
          <w:p>
            <w:pPr>
              <w:spacing w:after="40" w:before="40"/>
            </w:pPr>
            <w:r>
              <w:rPr>
                <w:b w:val="false"/>
                <w:bCs w:val="false"/>
                <w:sz w:val="18"/>
                <w:szCs w:val="18"/>
              </w:rPr>
              <w:t xml:space="preserve">None</w:t>
            </w:r>
          </w:p>
        </w:tc>
        <w:tc>
          <w:tcPr>
            <w:tcW w:type="dxa" w:w="1350"/>
            <w:tcMar>
              <w:top w:type="dxa" w:w="60"/>
              <w:left w:type="dxa" w:w="80"/>
              <w:bottom w:type="dxa" w:w="60"/>
              <w:right w:type="dxa" w:w="80"/>
            </w:tcMar>
          </w:tcPr>
          <w:p>
            <w:pPr>
              <w:spacing w:after="40" w:before="40"/>
            </w:pPr>
            <w:r>
              <w:rPr>
                <w:b w:val="false"/>
                <w:bCs w:val="false"/>
                <w:sz w:val="18"/>
                <w:szCs w:val="18"/>
              </w:rPr>
              <w:t xml:space="preserve">None</w:t>
            </w:r>
          </w:p>
        </w:tc>
        <w:tc>
          <w:tcPr>
            <w:tcW w:type="dxa" w:w="1300"/>
            <w:tcMar>
              <w:top w:type="dxa" w:w="60"/>
              <w:left w:type="dxa" w:w="80"/>
              <w:bottom w:type="dxa" w:w="60"/>
              <w:right w:type="dxa" w:w="80"/>
            </w:tcMar>
          </w:tcPr>
          <w:p>
            <w:pPr>
              <w:spacing w:after="40" w:before="40"/>
            </w:pPr>
            <w:r>
              <w:rPr>
                <w:b w:val="false"/>
                <w:bCs w:val="false"/>
                <w:sz w:val="18"/>
                <w:szCs w:val="18"/>
              </w:rPr>
              <w:t xml:space="preserve">N/A</w:t>
            </w:r>
          </w:p>
        </w:tc>
      </w:tr>
      <w:tr>
        <w:tc>
          <w:tcPr>
            <w:tcW w:type="dxa" w:w="1250"/>
            <w:shd w:fill="F2F2F2" w:val="clear"/>
            <w:tcMar>
              <w:top w:type="dxa" w:w="60"/>
              <w:left w:type="dxa" w:w="80"/>
              <w:bottom w:type="dxa" w:w="60"/>
              <w:right w:type="dxa" w:w="80"/>
            </w:tcMar>
          </w:tcPr>
          <w:p>
            <w:pPr>
              <w:spacing w:after="40" w:before="40"/>
            </w:pPr>
            <w:r>
              <w:rPr>
                <w:b w:val="false"/>
                <w:bCs w:val="false"/>
                <w:sz w:val="18"/>
                <w:szCs w:val="18"/>
              </w:rPr>
              <w:t xml:space="preserve">Cancellation rate KPI</w:t>
            </w:r>
          </w:p>
        </w:tc>
        <w:tc>
          <w:tcPr>
            <w:tcW w:type="dxa" w:w="1350"/>
            <w:shd w:fill="F2F2F2" w:val="clear"/>
            <w:tcMar>
              <w:top w:type="dxa" w:w="60"/>
              <w:left w:type="dxa" w:w="80"/>
              <w:bottom w:type="dxa" w:w="60"/>
              <w:right w:type="dxa" w:w="80"/>
            </w:tcMar>
          </w:tcPr>
          <w:p>
            <w:pPr>
              <w:spacing w:after="40" w:before="40"/>
            </w:pPr>
            <w:r>
              <w:rPr>
                <w:b w:val="false"/>
                <w:bCs w:val="false"/>
                <w:sz w:val="18"/>
                <w:szCs w:val="18"/>
              </w:rPr>
              <w:t xml:space="preserve">Recalc from raw CSV</w:t>
            </w:r>
          </w:p>
        </w:tc>
        <w:tc>
          <w:tcPr>
            <w:tcW w:type="dxa" w:w="1050"/>
            <w:shd w:fill="F2F2F2" w:val="clear"/>
            <w:tcMar>
              <w:top w:type="dxa" w:w="60"/>
              <w:left w:type="dxa" w:w="80"/>
              <w:bottom w:type="dxa" w:w="60"/>
              <w:right w:type="dxa" w:w="80"/>
            </w:tcMar>
          </w:tcPr>
          <w:p>
            <w:pPr>
              <w:spacing w:after="40" w:before="40"/>
            </w:pPr>
            <w:r>
              <w:rPr>
                <w:b w:val="false"/>
                <w:bCs w:val="false"/>
                <w:sz w:val="18"/>
                <w:szCs w:val="18"/>
              </w:rPr>
              <w:t xml:space="preserve">5.26%</w:t>
            </w:r>
          </w:p>
        </w:tc>
        <w:tc>
          <w:tcPr>
            <w:tcW w:type="dxa" w:w="1050"/>
            <w:shd w:fill="F2F2F2" w:val="clear"/>
            <w:tcMar>
              <w:top w:type="dxa" w:w="60"/>
              <w:left w:type="dxa" w:w="80"/>
              <w:bottom w:type="dxa" w:w="60"/>
              <w:right w:type="dxa" w:w="80"/>
            </w:tcMar>
          </w:tcPr>
          <w:p>
            <w:pPr>
              <w:spacing w:after="40" w:before="40"/>
            </w:pPr>
            <w:r>
              <w:rPr>
                <w:b w:val="false"/>
                <w:bCs w:val="false"/>
                <w:sz w:val="18"/>
                <w:szCs w:val="18"/>
              </w:rPr>
              <w:t xml:space="preserve">5.26%</w:t>
            </w:r>
          </w:p>
        </w:tc>
        <w:tc>
          <w:tcPr>
            <w:tcW w:type="dxa" w:w="650"/>
            <w:shd w:fill="F2F2F2" w:val="clear"/>
            <w:tcMar>
              <w:top w:type="dxa" w:w="60"/>
              <w:left w:type="dxa" w:w="80"/>
              <w:bottom w:type="dxa" w:w="60"/>
              <w:right w:type="dxa" w:w="80"/>
            </w:tcMar>
          </w:tcPr>
          <w:p>
            <w:pPr>
              <w:spacing w:after="40" w:before="40"/>
            </w:pPr>
            <w:r>
              <w:rPr>
                <w:b w:val="false"/>
                <w:bCs w:val="false"/>
                <w:sz w:val="18"/>
                <w:szCs w:val="18"/>
              </w:rPr>
              <w:t xml:space="preserve">PASS</w:t>
            </w:r>
          </w:p>
        </w:tc>
        <w:tc>
          <w:tcPr>
            <w:tcW w:type="dxa" w:w="1350"/>
            <w:shd w:fill="F2F2F2" w:val="clear"/>
            <w:tcMar>
              <w:top w:type="dxa" w:w="60"/>
              <w:left w:type="dxa" w:w="80"/>
              <w:bottom w:type="dxa" w:w="60"/>
              <w:right w:type="dxa" w:w="80"/>
            </w:tcMar>
          </w:tcPr>
          <w:p>
            <w:pPr>
              <w:spacing w:after="40" w:before="40"/>
            </w:pPr>
            <w:r>
              <w:rPr>
                <w:b w:val="false"/>
                <w:bCs w:val="false"/>
                <w:sz w:val="18"/>
                <w:szCs w:val="18"/>
              </w:rPr>
              <w:t xml:space="preserve">None</w:t>
            </w:r>
          </w:p>
        </w:tc>
        <w:tc>
          <w:tcPr>
            <w:tcW w:type="dxa" w:w="1350"/>
            <w:shd w:fill="F2F2F2" w:val="clear"/>
            <w:tcMar>
              <w:top w:type="dxa" w:w="60"/>
              <w:left w:type="dxa" w:w="80"/>
              <w:bottom w:type="dxa" w:w="60"/>
              <w:right w:type="dxa" w:w="80"/>
            </w:tcMar>
          </w:tcPr>
          <w:p>
            <w:pPr>
              <w:spacing w:after="40" w:before="40"/>
            </w:pPr>
            <w:r>
              <w:rPr>
                <w:b w:val="false"/>
                <w:bCs w:val="false"/>
                <w:sz w:val="18"/>
                <w:szCs w:val="18"/>
              </w:rPr>
              <w:t xml:space="preserve">None</w:t>
            </w:r>
          </w:p>
        </w:tc>
        <w:tc>
          <w:tcPr>
            <w:tcW w:type="dxa" w:w="1300"/>
            <w:shd w:fill="F2F2F2" w:val="clear"/>
            <w:tcMar>
              <w:top w:type="dxa" w:w="60"/>
              <w:left w:type="dxa" w:w="80"/>
              <w:bottom w:type="dxa" w:w="60"/>
              <w:right w:type="dxa" w:w="80"/>
            </w:tcMar>
          </w:tcPr>
          <w:p>
            <w:pPr>
              <w:spacing w:after="40" w:before="40"/>
            </w:pPr>
            <w:r>
              <w:rPr>
                <w:b w:val="false"/>
                <w:bCs w:val="false"/>
                <w:sz w:val="18"/>
                <w:szCs w:val="18"/>
              </w:rPr>
              <w:t xml:space="preserve">N/A</w:t>
            </w:r>
          </w:p>
        </w:tc>
      </w:tr>
      <w:tr>
        <w:tc>
          <w:tcPr>
            <w:tcW w:type="dxa" w:w="1250"/>
            <w:tcMar>
              <w:top w:type="dxa" w:w="60"/>
              <w:left w:type="dxa" w:w="80"/>
              <w:bottom w:type="dxa" w:w="60"/>
              <w:right w:type="dxa" w:w="80"/>
            </w:tcMar>
          </w:tcPr>
          <w:p>
            <w:pPr>
              <w:spacing w:after="40" w:before="40"/>
            </w:pPr>
            <w:r>
              <w:rPr>
                <w:b w:val="false"/>
                <w:bCs w:val="false"/>
                <w:sz w:val="18"/>
                <w:szCs w:val="18"/>
              </w:rPr>
              <w:t xml:space="preserve">Repeat-risk share KPI</w:t>
            </w:r>
          </w:p>
        </w:tc>
        <w:tc>
          <w:tcPr>
            <w:tcW w:type="dxa" w:w="1350"/>
            <w:tcMar>
              <w:top w:type="dxa" w:w="60"/>
              <w:left w:type="dxa" w:w="80"/>
              <w:bottom w:type="dxa" w:w="60"/>
              <w:right w:type="dxa" w:w="80"/>
            </w:tcMar>
          </w:tcPr>
          <w:p>
            <w:pPr>
              <w:spacing w:after="40" w:before="40"/>
            </w:pPr>
            <w:r>
              <w:rPr>
                <w:b w:val="false"/>
                <w:bCs w:val="false"/>
                <w:sz w:val="18"/>
                <w:szCs w:val="18"/>
              </w:rPr>
              <w:t xml:space="preserve">Recalc both bases</w:t>
            </w:r>
          </w:p>
        </w:tc>
        <w:tc>
          <w:tcPr>
            <w:tcW w:type="dxa" w:w="1050"/>
            <w:tcMar>
              <w:top w:type="dxa" w:w="60"/>
              <w:left w:type="dxa" w:w="80"/>
              <w:bottom w:type="dxa" w:w="60"/>
              <w:right w:type="dxa" w:w="80"/>
            </w:tcMar>
          </w:tcPr>
          <w:p>
            <w:pPr>
              <w:spacing w:after="40" w:before="40"/>
            </w:pPr>
            <w:r>
              <w:rPr>
                <w:b w:val="false"/>
                <w:bCs w:val="false"/>
                <w:sz w:val="18"/>
                <w:szCs w:val="18"/>
              </w:rPr>
              <w:t xml:space="preserve">~47.5% / ~41–42%</w:t>
            </w:r>
          </w:p>
        </w:tc>
        <w:tc>
          <w:tcPr>
            <w:tcW w:type="dxa" w:w="1050"/>
            <w:tcMar>
              <w:top w:type="dxa" w:w="60"/>
              <w:left w:type="dxa" w:w="80"/>
              <w:bottom w:type="dxa" w:w="60"/>
              <w:right w:type="dxa" w:w="80"/>
            </w:tcMar>
          </w:tcPr>
          <w:p>
            <w:pPr>
              <w:spacing w:after="40" w:before="40"/>
            </w:pPr>
            <w:r>
              <w:rPr>
                <w:b w:val="false"/>
                <w:bCs w:val="false"/>
                <w:sz w:val="18"/>
                <w:szCs w:val="18"/>
              </w:rPr>
              <w:t xml:space="preserve">47.54% / 41.58%</w:t>
            </w:r>
          </w:p>
        </w:tc>
        <w:tc>
          <w:tcPr>
            <w:tcW w:type="dxa" w:w="650"/>
            <w:tcMar>
              <w:top w:type="dxa" w:w="60"/>
              <w:left w:type="dxa" w:w="80"/>
              <w:bottom w:type="dxa" w:w="60"/>
              <w:right w:type="dxa" w:w="80"/>
            </w:tcMar>
          </w:tcPr>
          <w:p>
            <w:pPr>
              <w:spacing w:after="40" w:before="40"/>
            </w:pPr>
            <w:r>
              <w:rPr>
                <w:b w:val="false"/>
                <w:bCs w:val="false"/>
                <w:sz w:val="18"/>
                <w:szCs w:val="18"/>
              </w:rPr>
              <w:t xml:space="preserve">PASS</w:t>
            </w:r>
          </w:p>
        </w:tc>
        <w:tc>
          <w:tcPr>
            <w:tcW w:type="dxa" w:w="1350"/>
            <w:tcMar>
              <w:top w:type="dxa" w:w="60"/>
              <w:left w:type="dxa" w:w="80"/>
              <w:bottom w:type="dxa" w:w="60"/>
              <w:right w:type="dxa" w:w="80"/>
            </w:tcMar>
          </w:tcPr>
          <w:p>
            <w:pPr>
              <w:spacing w:after="40" w:before="40"/>
            </w:pPr>
            <w:r>
              <w:rPr>
                <w:b w:val="false"/>
                <w:bCs w:val="false"/>
                <w:sz w:val="18"/>
                <w:szCs w:val="18"/>
              </w:rPr>
              <w:t xml:space="preserve">Base ambiguity (flagged Wk6)</w:t>
            </w:r>
          </w:p>
        </w:tc>
        <w:tc>
          <w:tcPr>
            <w:tcW w:type="dxa" w:w="1350"/>
            <w:tcMar>
              <w:top w:type="dxa" w:w="60"/>
              <w:left w:type="dxa" w:w="80"/>
              <w:bottom w:type="dxa" w:w="60"/>
              <w:right w:type="dxa" w:w="80"/>
            </w:tcMar>
          </w:tcPr>
          <w:p>
            <w:pPr>
              <w:spacing w:after="40" w:before="40"/>
            </w:pPr>
            <w:r>
              <w:rPr>
                <w:b w:val="false"/>
                <w:bCs w:val="false"/>
                <w:sz w:val="18"/>
                <w:szCs w:val="18"/>
              </w:rPr>
              <w:t xml:space="preserve">Added base label to dashboard card</w:t>
            </w:r>
          </w:p>
        </w:tc>
        <w:tc>
          <w:tcPr>
            <w:tcW w:type="dxa" w:w="1300"/>
            <w:tcMar>
              <w:top w:type="dxa" w:w="60"/>
              <w:left w:type="dxa" w:w="80"/>
              <w:bottom w:type="dxa" w:w="60"/>
              <w:right w:type="dxa" w:w="80"/>
            </w:tcMar>
          </w:tcPr>
          <w:p>
            <w:pPr>
              <w:spacing w:after="40" w:before="40"/>
            </w:pPr>
            <w:r>
              <w:rPr>
                <w:b w:val="false"/>
                <w:bCs w:val="false"/>
                <w:sz w:val="18"/>
                <w:szCs w:val="18"/>
              </w:rPr>
              <w:t xml:space="preserve">Confirmed clear on retest</w:t>
            </w:r>
          </w:p>
        </w:tc>
      </w:tr>
      <w:tr>
        <w:tc>
          <w:tcPr>
            <w:tcW w:type="dxa" w:w="1250"/>
            <w:shd w:fill="F2F2F2" w:val="clear"/>
            <w:tcMar>
              <w:top w:type="dxa" w:w="60"/>
              <w:left w:type="dxa" w:w="80"/>
              <w:bottom w:type="dxa" w:w="60"/>
              <w:right w:type="dxa" w:w="80"/>
            </w:tcMar>
          </w:tcPr>
          <w:p>
            <w:pPr>
              <w:spacing w:after="40" w:before="40"/>
            </w:pPr>
            <w:r>
              <w:rPr>
                <w:b w:val="false"/>
                <w:bCs w:val="false"/>
                <w:sz w:val="18"/>
                <w:szCs w:val="18"/>
              </w:rPr>
              <w:t xml:space="preserve">Derived fields (5 checks)</w:t>
            </w:r>
          </w:p>
        </w:tc>
        <w:tc>
          <w:tcPr>
            <w:tcW w:type="dxa" w:w="1350"/>
            <w:shd w:fill="F2F2F2" w:val="clear"/>
            <w:tcMar>
              <w:top w:type="dxa" w:w="60"/>
              <w:left w:type="dxa" w:w="80"/>
              <w:bottom w:type="dxa" w:w="60"/>
              <w:right w:type="dxa" w:w="80"/>
            </w:tcMar>
          </w:tcPr>
          <w:p>
            <w:pPr>
              <w:spacing w:after="40" w:before="40"/>
            </w:pPr>
            <w:r>
              <w:rPr>
                <w:b w:val="false"/>
                <w:bCs w:val="false"/>
                <w:sz w:val="18"/>
                <w:szCs w:val="18"/>
              </w:rPr>
              <w:t xml:space="preserve">Cross-check vs raw columns</w:t>
            </w:r>
          </w:p>
        </w:tc>
        <w:tc>
          <w:tcPr>
            <w:tcW w:type="dxa" w:w="1050"/>
            <w:shd w:fill="F2F2F2" w:val="clear"/>
            <w:tcMar>
              <w:top w:type="dxa" w:w="60"/>
              <w:left w:type="dxa" w:w="80"/>
              <w:bottom w:type="dxa" w:w="60"/>
              <w:right w:type="dxa" w:w="80"/>
            </w:tcMar>
          </w:tcPr>
          <w:p>
            <w:pPr>
              <w:spacing w:after="40" w:before="40"/>
            </w:pPr>
            <w:r>
              <w:rPr>
                <w:b w:val="false"/>
                <w:bCs w:val="false"/>
                <w:sz w:val="18"/>
                <w:szCs w:val="18"/>
              </w:rPr>
              <w:t xml:space="preserve">0 mismatches</w:t>
            </w:r>
          </w:p>
        </w:tc>
        <w:tc>
          <w:tcPr>
            <w:tcW w:type="dxa" w:w="1050"/>
            <w:shd w:fill="F2F2F2" w:val="clear"/>
            <w:tcMar>
              <w:top w:type="dxa" w:w="60"/>
              <w:left w:type="dxa" w:w="80"/>
              <w:bottom w:type="dxa" w:w="60"/>
              <w:right w:type="dxa" w:w="80"/>
            </w:tcMar>
          </w:tcPr>
          <w:p>
            <w:pPr>
              <w:spacing w:after="40" w:before="40"/>
            </w:pPr>
            <w:r>
              <w:rPr>
                <w:b w:val="false"/>
                <w:bCs w:val="false"/>
                <w:sz w:val="18"/>
                <w:szCs w:val="18"/>
              </w:rPr>
              <w:t xml:space="preserve">0 mismatches</w:t>
            </w:r>
          </w:p>
        </w:tc>
        <w:tc>
          <w:tcPr>
            <w:tcW w:type="dxa" w:w="650"/>
            <w:shd w:fill="F2F2F2" w:val="clear"/>
            <w:tcMar>
              <w:top w:type="dxa" w:w="60"/>
              <w:left w:type="dxa" w:w="80"/>
              <w:bottom w:type="dxa" w:w="60"/>
              <w:right w:type="dxa" w:w="80"/>
            </w:tcMar>
          </w:tcPr>
          <w:p>
            <w:pPr>
              <w:spacing w:after="40" w:before="40"/>
            </w:pPr>
            <w:r>
              <w:rPr>
                <w:b w:val="false"/>
                <w:bCs w:val="false"/>
                <w:sz w:val="18"/>
                <w:szCs w:val="18"/>
              </w:rPr>
              <w:t xml:space="preserve">PASS</w:t>
            </w:r>
          </w:p>
        </w:tc>
        <w:tc>
          <w:tcPr>
            <w:tcW w:type="dxa" w:w="1350"/>
            <w:shd w:fill="F2F2F2" w:val="clear"/>
            <w:tcMar>
              <w:top w:type="dxa" w:w="60"/>
              <w:left w:type="dxa" w:w="80"/>
              <w:bottom w:type="dxa" w:w="60"/>
              <w:right w:type="dxa" w:w="80"/>
            </w:tcMar>
          </w:tcPr>
          <w:p>
            <w:pPr>
              <w:spacing w:after="40" w:before="40"/>
            </w:pPr>
            <w:r>
              <w:rPr>
                <w:b w:val="false"/>
                <w:bCs w:val="false"/>
                <w:sz w:val="18"/>
                <w:szCs w:val="18"/>
              </w:rPr>
              <w:t xml:space="preserve">None</w:t>
            </w:r>
          </w:p>
        </w:tc>
        <w:tc>
          <w:tcPr>
            <w:tcW w:type="dxa" w:w="1350"/>
            <w:shd w:fill="F2F2F2" w:val="clear"/>
            <w:tcMar>
              <w:top w:type="dxa" w:w="60"/>
              <w:left w:type="dxa" w:w="80"/>
              <w:bottom w:type="dxa" w:w="60"/>
              <w:right w:type="dxa" w:w="80"/>
            </w:tcMar>
          </w:tcPr>
          <w:p>
            <w:pPr>
              <w:spacing w:after="40" w:before="40"/>
            </w:pPr>
            <w:r>
              <w:rPr>
                <w:b w:val="false"/>
                <w:bCs w:val="false"/>
                <w:sz w:val="18"/>
                <w:szCs w:val="18"/>
              </w:rPr>
              <w:t xml:space="preserve">None</w:t>
            </w:r>
          </w:p>
        </w:tc>
        <w:tc>
          <w:tcPr>
            <w:tcW w:type="dxa" w:w="1300"/>
            <w:shd w:fill="F2F2F2" w:val="clear"/>
            <w:tcMar>
              <w:top w:type="dxa" w:w="60"/>
              <w:left w:type="dxa" w:w="80"/>
              <w:bottom w:type="dxa" w:w="60"/>
              <w:right w:type="dxa" w:w="80"/>
            </w:tcMar>
          </w:tcPr>
          <w:p>
            <w:pPr>
              <w:spacing w:after="40" w:before="40"/>
            </w:pPr>
            <w:r>
              <w:rPr>
                <w:b w:val="false"/>
                <w:bCs w:val="false"/>
                <w:sz w:val="18"/>
                <w:szCs w:val="18"/>
              </w:rPr>
              <w:t xml:space="preserve">N/A</w:t>
            </w:r>
          </w:p>
        </w:tc>
      </w:tr>
      <w:tr>
        <w:tc>
          <w:tcPr>
            <w:tcW w:type="dxa" w:w="1250"/>
            <w:tcMar>
              <w:top w:type="dxa" w:w="60"/>
              <w:left w:type="dxa" w:w="80"/>
              <w:bottom w:type="dxa" w:w="60"/>
              <w:right w:type="dxa" w:w="80"/>
            </w:tcMar>
          </w:tcPr>
          <w:p>
            <w:pPr>
              <w:spacing w:after="40" w:before="40"/>
            </w:pPr>
            <w:r>
              <w:rPr>
                <w:b w:val="false"/>
                <w:bCs w:val="false"/>
                <w:sz w:val="18"/>
                <w:szCs w:val="18"/>
              </w:rPr>
              <w:t xml:space="preserve">distance_band field</w:t>
            </w:r>
          </w:p>
        </w:tc>
        <w:tc>
          <w:tcPr>
            <w:tcW w:type="dxa" w:w="1350"/>
            <w:tcMar>
              <w:top w:type="dxa" w:w="60"/>
              <w:left w:type="dxa" w:w="80"/>
              <w:bottom w:type="dxa" w:w="60"/>
              <w:right w:type="dxa" w:w="80"/>
            </w:tcMar>
          </w:tcPr>
          <w:p>
            <w:pPr>
              <w:spacing w:after="40" w:before="40"/>
            </w:pPr>
            <w:r>
              <w:rPr>
                <w:b w:val="false"/>
                <w:bCs w:val="false"/>
                <w:sz w:val="18"/>
                <w:szCs w:val="18"/>
              </w:rPr>
              <w:t xml:space="preserve">Cross-check vs raw km</w:t>
            </w:r>
          </w:p>
        </w:tc>
        <w:tc>
          <w:tcPr>
            <w:tcW w:type="dxa" w:w="1050"/>
            <w:tcMar>
              <w:top w:type="dxa" w:w="60"/>
              <w:left w:type="dxa" w:w="80"/>
              <w:bottom w:type="dxa" w:w="60"/>
              <w:right w:type="dxa" w:w="80"/>
            </w:tcMar>
          </w:tcPr>
          <w:p>
            <w:pPr>
              <w:spacing w:after="40" w:before="40"/>
            </w:pPr>
            <w:r>
              <w:rPr>
                <w:b w:val="false"/>
                <w:bCs w:val="false"/>
                <w:sz w:val="18"/>
                <w:szCs w:val="18"/>
              </w:rPr>
              <w:t xml:space="preserve">0 unexplained mismatches</w:t>
            </w:r>
          </w:p>
        </w:tc>
        <w:tc>
          <w:tcPr>
            <w:tcW w:type="dxa" w:w="1050"/>
            <w:tcMar>
              <w:top w:type="dxa" w:w="60"/>
              <w:left w:type="dxa" w:w="80"/>
              <w:bottom w:type="dxa" w:w="60"/>
              <w:right w:type="dxa" w:w="80"/>
            </w:tcMar>
          </w:tcPr>
          <w:p>
            <w:pPr>
              <w:spacing w:after="40" w:before="40"/>
            </w:pPr>
            <w:r>
              <w:rPr>
                <w:b w:val="false"/>
                <w:bCs w:val="false"/>
                <w:sz w:val="18"/>
                <w:szCs w:val="18"/>
              </w:rPr>
              <w:t xml:space="preserve">102 boundary cases</w:t>
            </w:r>
          </w:p>
        </w:tc>
        <w:tc>
          <w:tcPr>
            <w:tcW w:type="dxa" w:w="650"/>
            <w:tcMar>
              <w:top w:type="dxa" w:w="60"/>
              <w:left w:type="dxa" w:w="80"/>
              <w:bottom w:type="dxa" w:w="60"/>
              <w:right w:type="dxa" w:w="80"/>
            </w:tcMar>
          </w:tcPr>
          <w:p>
            <w:pPr>
              <w:spacing w:after="40" w:before="40"/>
            </w:pPr>
            <w:r>
              <w:rPr>
                <w:b w:val="false"/>
                <w:bCs w:val="false"/>
                <w:sz w:val="18"/>
                <w:szCs w:val="18"/>
              </w:rPr>
              <w:t xml:space="preserve">PASS (after review)</w:t>
            </w:r>
          </w:p>
        </w:tc>
        <w:tc>
          <w:tcPr>
            <w:tcW w:type="dxa" w:w="1350"/>
            <w:tcMar>
              <w:top w:type="dxa" w:w="60"/>
              <w:left w:type="dxa" w:w="80"/>
              <w:bottom w:type="dxa" w:w="60"/>
              <w:right w:type="dxa" w:w="80"/>
            </w:tcMar>
          </w:tcPr>
          <w:p>
            <w:pPr>
              <w:spacing w:after="40" w:before="40"/>
            </w:pPr>
            <w:r>
              <w:rPr>
                <w:b w:val="false"/>
                <w:bCs w:val="false"/>
                <w:sz w:val="18"/>
                <w:szCs w:val="18"/>
              </w:rPr>
              <w:t xml:space="preserve">Boundary convention undocumented</w:t>
            </w:r>
          </w:p>
        </w:tc>
        <w:tc>
          <w:tcPr>
            <w:tcW w:type="dxa" w:w="1350"/>
            <w:tcMar>
              <w:top w:type="dxa" w:w="60"/>
              <w:left w:type="dxa" w:w="80"/>
              <w:bottom w:type="dxa" w:w="60"/>
              <w:right w:type="dxa" w:w="80"/>
            </w:tcMar>
          </w:tcPr>
          <w:p>
            <w:pPr>
              <w:spacing w:after="40" w:before="40"/>
            </w:pPr>
            <w:r>
              <w:rPr>
                <w:b w:val="false"/>
                <w:bCs w:val="false"/>
                <w:sz w:val="18"/>
                <w:szCs w:val="18"/>
              </w:rPr>
              <w:t xml:space="preserve">Documented inclusive-upper-bound rule</w:t>
            </w:r>
          </w:p>
        </w:tc>
        <w:tc>
          <w:tcPr>
            <w:tcW w:type="dxa" w:w="1300"/>
            <w:tcMar>
              <w:top w:type="dxa" w:w="60"/>
              <w:left w:type="dxa" w:w="80"/>
              <w:bottom w:type="dxa" w:w="60"/>
              <w:right w:type="dxa" w:w="80"/>
            </w:tcMar>
          </w:tcPr>
          <w:p>
            <w:pPr>
              <w:spacing w:after="40" w:before="40"/>
            </w:pPr>
            <w:r>
              <w:rPr>
                <w:b w:val="false"/>
                <w:bCs w:val="false"/>
                <w:sz w:val="18"/>
                <w:szCs w:val="18"/>
              </w:rPr>
              <w:t xml:space="preserve">Confirmed consistent across full dataset</w:t>
            </w:r>
          </w:p>
        </w:tc>
      </w:tr>
      <w:tr>
        <w:tc>
          <w:tcPr>
            <w:tcW w:type="dxa" w:w="1250"/>
            <w:shd w:fill="F2F2F2" w:val="clear"/>
            <w:tcMar>
              <w:top w:type="dxa" w:w="60"/>
              <w:left w:type="dxa" w:w="80"/>
              <w:bottom w:type="dxa" w:w="60"/>
              <w:right w:type="dxa" w:w="80"/>
            </w:tcMar>
          </w:tcPr>
          <w:p>
            <w:pPr>
              <w:spacing w:after="40" w:before="40"/>
            </w:pPr>
            <w:r>
              <w:rPr>
                <w:b w:val="false"/>
                <w:bCs w:val="false"/>
                <w:sz w:val="18"/>
                <w:szCs w:val="18"/>
              </w:rPr>
              <w:t xml:space="preserve">risk_segment DAX (Power BI)</w:t>
            </w:r>
          </w:p>
        </w:tc>
        <w:tc>
          <w:tcPr>
            <w:tcW w:type="dxa" w:w="1350"/>
            <w:shd w:fill="F2F2F2" w:val="clear"/>
            <w:tcMar>
              <w:top w:type="dxa" w:w="60"/>
              <w:left w:type="dxa" w:w="80"/>
              <w:bottom w:type="dxa" w:w="60"/>
              <w:right w:type="dxa" w:w="80"/>
            </w:tcMar>
          </w:tcPr>
          <w:p>
            <w:pPr>
              <w:spacing w:after="40" w:before="40"/>
            </w:pPr>
            <w:r>
              <w:rPr>
                <w:b w:val="false"/>
                <w:bCs w:val="false"/>
                <w:sz w:val="18"/>
                <w:szCs w:val="18"/>
              </w:rPr>
              <w:t xml:space="preserve">Load Week 6 formula</w:t>
            </w:r>
          </w:p>
        </w:tc>
        <w:tc>
          <w:tcPr>
            <w:tcW w:type="dxa" w:w="1050"/>
            <w:shd w:fill="F2F2F2" w:val="clear"/>
            <w:tcMar>
              <w:top w:type="dxa" w:w="60"/>
              <w:left w:type="dxa" w:w="80"/>
              <w:bottom w:type="dxa" w:w="60"/>
              <w:right w:type="dxa" w:w="80"/>
            </w:tcMar>
          </w:tcPr>
          <w:p>
            <w:pPr>
              <w:spacing w:after="40" w:before="40"/>
            </w:pPr>
            <w:r>
              <w:rPr>
                <w:b w:val="false"/>
                <w:bCs w:val="false"/>
                <w:sz w:val="18"/>
                <w:szCs w:val="18"/>
              </w:rPr>
              <w:t xml:space="preserve">Computes for all rows</w:t>
            </w:r>
          </w:p>
        </w:tc>
        <w:tc>
          <w:tcPr>
            <w:tcW w:type="dxa" w:w="1050"/>
            <w:shd w:fill="F2F2F2" w:val="clear"/>
            <w:tcMar>
              <w:top w:type="dxa" w:w="60"/>
              <w:left w:type="dxa" w:w="80"/>
              <w:bottom w:type="dxa" w:w="60"/>
              <w:right w:type="dxa" w:w="80"/>
            </w:tcMar>
          </w:tcPr>
          <w:p>
            <w:pPr>
              <w:spacing w:after="40" w:before="40"/>
            </w:pPr>
            <w:r>
              <w:rPr>
                <w:b w:val="false"/>
                <w:bCs w:val="false"/>
                <w:sz w:val="18"/>
                <w:szCs w:val="18"/>
              </w:rPr>
              <w:t xml:space="preserve">Syntax error, column fails</w:t>
            </w:r>
          </w:p>
        </w:tc>
        <w:tc>
          <w:tcPr>
            <w:tcW w:type="dxa" w:w="650"/>
            <w:shd w:fill="F2F2F2" w:val="clear"/>
            <w:tcMar>
              <w:top w:type="dxa" w:w="60"/>
              <w:left w:type="dxa" w:w="80"/>
              <w:bottom w:type="dxa" w:w="60"/>
              <w:right w:type="dxa" w:w="80"/>
            </w:tcMar>
          </w:tcPr>
          <w:p>
            <w:pPr>
              <w:spacing w:after="40" w:before="40"/>
            </w:pPr>
            <w:r>
              <w:rPr>
                <w:b w:val="false"/>
                <w:bCs w:val="false"/>
                <w:sz w:val="18"/>
                <w:szCs w:val="18"/>
              </w:rPr>
              <w:t xml:space="preserve">FAIL</w:t>
            </w:r>
          </w:p>
        </w:tc>
        <w:tc>
          <w:tcPr>
            <w:tcW w:type="dxa" w:w="1350"/>
            <w:shd w:fill="F2F2F2" w:val="clear"/>
            <w:tcMar>
              <w:top w:type="dxa" w:w="60"/>
              <w:left w:type="dxa" w:w="80"/>
              <w:bottom w:type="dxa" w:w="60"/>
              <w:right w:type="dxa" w:w="80"/>
            </w:tcMar>
          </w:tcPr>
          <w:p>
            <w:pPr>
              <w:spacing w:after="40" w:before="40"/>
            </w:pPr>
            <w:r>
              <w:rPr>
                <w:b w:val="false"/>
                <w:bCs w:val="false"/>
                <w:sz w:val="18"/>
                <w:szCs w:val="18"/>
              </w:rPr>
              <w:t xml:space="preserve">Nested IF()/IN{} syntax error</w:t>
            </w:r>
          </w:p>
        </w:tc>
        <w:tc>
          <w:tcPr>
            <w:tcW w:type="dxa" w:w="1350"/>
            <w:shd w:fill="F2F2F2" w:val="clear"/>
            <w:tcMar>
              <w:top w:type="dxa" w:w="60"/>
              <w:left w:type="dxa" w:w="80"/>
              <w:bottom w:type="dxa" w:w="60"/>
              <w:right w:type="dxa" w:w="80"/>
            </w:tcMar>
          </w:tcPr>
          <w:p>
            <w:pPr>
              <w:spacing w:after="40" w:before="40"/>
            </w:pPr>
            <w:r>
              <w:rPr>
                <w:b w:val="false"/>
                <w:bCs w:val="false"/>
                <w:sz w:val="18"/>
                <w:szCs w:val="18"/>
              </w:rPr>
              <w:t xml:space="preserve">Rewrote using SWITCH(TRUE())</w:t>
            </w:r>
          </w:p>
        </w:tc>
        <w:tc>
          <w:tcPr>
            <w:tcW w:type="dxa" w:w="1300"/>
            <w:shd w:fill="F2F2F2" w:val="clear"/>
            <w:tcMar>
              <w:top w:type="dxa" w:w="60"/>
              <w:left w:type="dxa" w:w="80"/>
              <w:bottom w:type="dxa" w:w="60"/>
              <w:right w:type="dxa" w:w="80"/>
            </w:tcMar>
          </w:tcPr>
          <w:p>
            <w:pPr>
              <w:spacing w:after="40" w:before="40"/>
            </w:pPr>
            <w:r>
              <w:rPr>
                <w:b w:val="false"/>
                <w:bCs w:val="false"/>
                <w:sz w:val="18"/>
                <w:szCs w:val="18"/>
              </w:rPr>
              <w:t xml:space="preserve">Computes correctly; matches Python ground truth 100%</w:t>
            </w:r>
          </w:p>
        </w:tc>
      </w:tr>
      <w:tr>
        <w:tc>
          <w:tcPr>
            <w:tcW w:type="dxa" w:w="1250"/>
            <w:tcMar>
              <w:top w:type="dxa" w:w="60"/>
              <w:left w:type="dxa" w:w="80"/>
              <w:bottom w:type="dxa" w:w="60"/>
              <w:right w:type="dxa" w:w="80"/>
            </w:tcMar>
          </w:tcPr>
          <w:p>
            <w:pPr>
              <w:spacing w:after="40" w:before="40"/>
            </w:pPr>
            <w:r>
              <w:rPr>
                <w:b w:val="false"/>
                <w:bCs w:val="false"/>
                <w:sz w:val="18"/>
                <w:szCs w:val="18"/>
              </w:rPr>
              <w:t xml:space="preserve">risk_segment predictive validity</w:t>
            </w:r>
          </w:p>
        </w:tc>
        <w:tc>
          <w:tcPr>
            <w:tcW w:type="dxa" w:w="1350"/>
            <w:tcMar>
              <w:top w:type="dxa" w:w="60"/>
              <w:left w:type="dxa" w:w="80"/>
              <w:bottom w:type="dxa" w:w="60"/>
              <w:right w:type="dxa" w:w="80"/>
            </w:tcMar>
          </w:tcPr>
          <w:p>
            <w:pPr>
              <w:spacing w:after="40" w:before="40"/>
            </w:pPr>
            <w:r>
              <w:rPr>
                <w:b w:val="false"/>
                <w:bCs w:val="false"/>
                <w:sz w:val="18"/>
                <w:szCs w:val="18"/>
              </w:rPr>
              <w:t xml:space="preserve">No-show rate by tier</w:t>
            </w:r>
          </w:p>
        </w:tc>
        <w:tc>
          <w:tcPr>
            <w:tcW w:type="dxa" w:w="1050"/>
            <w:tcMar>
              <w:top w:type="dxa" w:w="60"/>
              <w:left w:type="dxa" w:w="80"/>
              <w:bottom w:type="dxa" w:w="60"/>
              <w:right w:type="dxa" w:w="80"/>
            </w:tcMar>
          </w:tcPr>
          <w:p>
            <w:pPr>
              <w:spacing w:after="40" w:before="40"/>
            </w:pPr>
            <w:r>
              <w:rPr>
                <w:b w:val="false"/>
                <w:bCs w:val="false"/>
                <w:sz w:val="18"/>
                <w:szCs w:val="18"/>
              </w:rPr>
              <w:t xml:space="preserve">Monotonic increase</w:t>
            </w:r>
          </w:p>
        </w:tc>
        <w:tc>
          <w:tcPr>
            <w:tcW w:type="dxa" w:w="1050"/>
            <w:tcMar>
              <w:top w:type="dxa" w:w="60"/>
              <w:left w:type="dxa" w:w="80"/>
              <w:bottom w:type="dxa" w:w="60"/>
              <w:right w:type="dxa" w:w="80"/>
            </w:tcMar>
          </w:tcPr>
          <w:p>
            <w:pPr>
              <w:spacing w:after="40" w:before="40"/>
            </w:pPr>
            <w:r>
              <w:rPr>
                <w:b w:val="false"/>
                <w:bCs w:val="false"/>
                <w:sz w:val="18"/>
                <w:szCs w:val="18"/>
              </w:rPr>
              <w:t xml:space="preserve">27.9% → 46.8% → 59.1% → 67.1%</w:t>
            </w:r>
          </w:p>
        </w:tc>
        <w:tc>
          <w:tcPr>
            <w:tcW w:type="dxa" w:w="650"/>
            <w:tcMar>
              <w:top w:type="dxa" w:w="60"/>
              <w:left w:type="dxa" w:w="80"/>
              <w:bottom w:type="dxa" w:w="60"/>
              <w:right w:type="dxa" w:w="80"/>
            </w:tcMar>
          </w:tcPr>
          <w:p>
            <w:pPr>
              <w:spacing w:after="40" w:before="40"/>
            </w:pPr>
            <w:r>
              <w:rPr>
                <w:b w:val="false"/>
                <w:bCs w:val="false"/>
                <w:sz w:val="18"/>
                <w:szCs w:val="18"/>
              </w:rPr>
              <w:t xml:space="preserve">PASS</w:t>
            </w:r>
          </w:p>
        </w:tc>
        <w:tc>
          <w:tcPr>
            <w:tcW w:type="dxa" w:w="1350"/>
            <w:tcMar>
              <w:top w:type="dxa" w:w="60"/>
              <w:left w:type="dxa" w:w="80"/>
              <w:bottom w:type="dxa" w:w="60"/>
              <w:right w:type="dxa" w:w="80"/>
            </w:tcMar>
          </w:tcPr>
          <w:p>
            <w:pPr>
              <w:spacing w:after="40" w:before="40"/>
            </w:pPr>
            <w:r>
              <w:rPr>
                <w:b w:val="false"/>
                <w:bCs w:val="false"/>
                <w:sz w:val="18"/>
                <w:szCs w:val="18"/>
              </w:rPr>
              <w:t xml:space="preserve">None</w:t>
            </w:r>
          </w:p>
        </w:tc>
        <w:tc>
          <w:tcPr>
            <w:tcW w:type="dxa" w:w="1350"/>
            <w:tcMar>
              <w:top w:type="dxa" w:w="60"/>
              <w:left w:type="dxa" w:w="80"/>
              <w:bottom w:type="dxa" w:w="60"/>
              <w:right w:type="dxa" w:w="80"/>
            </w:tcMar>
          </w:tcPr>
          <w:p>
            <w:pPr>
              <w:spacing w:after="40" w:before="40"/>
            </w:pPr>
            <w:r>
              <w:rPr>
                <w:b w:val="false"/>
                <w:bCs w:val="false"/>
                <w:sz w:val="18"/>
                <w:szCs w:val="18"/>
              </w:rPr>
              <w:t xml:space="preserve">None</w:t>
            </w:r>
          </w:p>
        </w:tc>
        <w:tc>
          <w:tcPr>
            <w:tcW w:type="dxa" w:w="1300"/>
            <w:tcMar>
              <w:top w:type="dxa" w:w="60"/>
              <w:left w:type="dxa" w:w="80"/>
              <w:bottom w:type="dxa" w:w="60"/>
              <w:right w:type="dxa" w:w="80"/>
            </w:tcMar>
          </w:tcPr>
          <w:p>
            <w:pPr>
              <w:spacing w:after="40" w:before="40"/>
            </w:pPr>
            <w:r>
              <w:rPr>
                <w:b w:val="false"/>
                <w:bCs w:val="false"/>
                <w:sz w:val="18"/>
                <w:szCs w:val="18"/>
              </w:rPr>
              <w:t xml:space="preserve">N/A</w:t>
            </w:r>
          </w:p>
        </w:tc>
      </w:tr>
      <w:tr>
        <w:tc>
          <w:tcPr>
            <w:tcW w:type="dxa" w:w="1250"/>
            <w:shd w:fill="F2F2F2" w:val="clear"/>
            <w:tcMar>
              <w:top w:type="dxa" w:w="60"/>
              <w:left w:type="dxa" w:w="80"/>
              <w:bottom w:type="dxa" w:w="60"/>
              <w:right w:type="dxa" w:w="80"/>
            </w:tcMar>
          </w:tcPr>
          <w:p>
            <w:pPr>
              <w:spacing w:after="40" w:before="40"/>
            </w:pPr>
            <w:r>
              <w:rPr>
                <w:b w:val="false"/>
                <w:bCs w:val="false"/>
                <w:sz w:val="18"/>
                <w:szCs w:val="18"/>
              </w:rPr>
              <w:t xml:space="preserve">Segmentation drivers</w:t>
            </w:r>
          </w:p>
        </w:tc>
        <w:tc>
          <w:tcPr>
            <w:tcW w:type="dxa" w:w="1350"/>
            <w:shd w:fill="F2F2F2" w:val="clear"/>
            <w:tcMar>
              <w:top w:type="dxa" w:w="60"/>
              <w:left w:type="dxa" w:w="80"/>
              <w:bottom w:type="dxa" w:w="60"/>
              <w:right w:type="dxa" w:w="80"/>
            </w:tcMar>
          </w:tcPr>
          <w:p>
            <w:pPr>
              <w:spacing w:after="40" w:before="40"/>
            </w:pPr>
            <w:r>
              <w:rPr>
                <w:b w:val="false"/>
                <w:bCs w:val="false"/>
                <w:sz w:val="18"/>
                <w:szCs w:val="18"/>
              </w:rPr>
              <w:t xml:space="preserve">Chi-square vs no-show</w:t>
            </w:r>
          </w:p>
        </w:tc>
        <w:tc>
          <w:tcPr>
            <w:tcW w:type="dxa" w:w="1050"/>
            <w:shd w:fill="F2F2F2" w:val="clear"/>
            <w:tcMar>
              <w:top w:type="dxa" w:w="60"/>
              <w:left w:type="dxa" w:w="80"/>
              <w:bottom w:type="dxa" w:w="60"/>
              <w:right w:type="dxa" w:w="80"/>
            </w:tcMar>
          </w:tcPr>
          <w:p>
            <w:pPr>
              <w:spacing w:after="40" w:before="40"/>
            </w:pPr>
            <w:r>
              <w:rPr>
                <w:b w:val="false"/>
                <w:bCs w:val="false"/>
                <w:sz w:val="18"/>
                <w:szCs w:val="18"/>
              </w:rPr>
              <w:t xml:space="preserve">p &lt; 0.05 for all 3</w:t>
            </w:r>
          </w:p>
        </w:tc>
        <w:tc>
          <w:tcPr>
            <w:tcW w:type="dxa" w:w="1050"/>
            <w:shd w:fill="F2F2F2" w:val="clear"/>
            <w:tcMar>
              <w:top w:type="dxa" w:w="60"/>
              <w:left w:type="dxa" w:w="80"/>
              <w:bottom w:type="dxa" w:w="60"/>
              <w:right w:type="dxa" w:w="80"/>
            </w:tcMar>
          </w:tcPr>
          <w:p>
            <w:pPr>
              <w:spacing w:after="40" w:before="40"/>
            </w:pPr>
            <w:r>
              <w:rPr>
                <w:b w:val="false"/>
                <w:bCs w:val="false"/>
                <w:sz w:val="18"/>
                <w:szCs w:val="18"/>
              </w:rPr>
              <w:t xml:space="preserve">All p &lt; 0.01</w:t>
            </w:r>
          </w:p>
        </w:tc>
        <w:tc>
          <w:tcPr>
            <w:tcW w:type="dxa" w:w="650"/>
            <w:shd w:fill="F2F2F2" w:val="clear"/>
            <w:tcMar>
              <w:top w:type="dxa" w:w="60"/>
              <w:left w:type="dxa" w:w="80"/>
              <w:bottom w:type="dxa" w:w="60"/>
              <w:right w:type="dxa" w:w="80"/>
            </w:tcMar>
          </w:tcPr>
          <w:p>
            <w:pPr>
              <w:spacing w:after="40" w:before="40"/>
            </w:pPr>
            <w:r>
              <w:rPr>
                <w:b w:val="false"/>
                <w:bCs w:val="false"/>
                <w:sz w:val="18"/>
                <w:szCs w:val="18"/>
              </w:rPr>
              <w:t xml:space="preserve">PASS</w:t>
            </w:r>
          </w:p>
        </w:tc>
        <w:tc>
          <w:tcPr>
            <w:tcW w:type="dxa" w:w="1350"/>
            <w:shd w:fill="F2F2F2" w:val="clear"/>
            <w:tcMar>
              <w:top w:type="dxa" w:w="60"/>
              <w:left w:type="dxa" w:w="80"/>
              <w:bottom w:type="dxa" w:w="60"/>
              <w:right w:type="dxa" w:w="80"/>
            </w:tcMar>
          </w:tcPr>
          <w:p>
            <w:pPr>
              <w:spacing w:after="40" w:before="40"/>
            </w:pPr>
            <w:r>
              <w:rPr>
                <w:b w:val="false"/>
                <w:bCs w:val="false"/>
                <w:sz w:val="18"/>
                <w:szCs w:val="18"/>
              </w:rPr>
              <w:t xml:space="preserve">Distance (excluded) also significant</w:t>
            </w:r>
          </w:p>
        </w:tc>
        <w:tc>
          <w:tcPr>
            <w:tcW w:type="dxa" w:w="1350"/>
            <w:shd w:fill="F2F2F2" w:val="clear"/>
            <w:tcMar>
              <w:top w:type="dxa" w:w="60"/>
              <w:left w:type="dxa" w:w="80"/>
              <w:bottom w:type="dxa" w:w="60"/>
              <w:right w:type="dxa" w:w="80"/>
            </w:tcMar>
          </w:tcPr>
          <w:p>
            <w:pPr>
              <w:spacing w:after="40" w:before="40"/>
            </w:pPr>
            <w:r>
              <w:rPr>
                <w:b w:val="false"/>
                <w:bCs w:val="false"/>
                <w:sz w:val="18"/>
                <w:szCs w:val="18"/>
              </w:rPr>
              <w:t xml:space="preserve">Logged as Week 8 recommendation</w:t>
            </w:r>
          </w:p>
        </w:tc>
        <w:tc>
          <w:tcPr>
            <w:tcW w:type="dxa" w:w="1300"/>
            <w:shd w:fill="F2F2F2" w:val="clear"/>
            <w:tcMar>
              <w:top w:type="dxa" w:w="60"/>
              <w:left w:type="dxa" w:w="80"/>
              <w:bottom w:type="dxa" w:w="60"/>
              <w:right w:type="dxa" w:w="80"/>
            </w:tcMar>
          </w:tcPr>
          <w:p>
            <w:pPr>
              <w:spacing w:after="40" w:before="40"/>
            </w:pPr>
            <w:r>
              <w:rPr>
                <w:b w:val="false"/>
                <w:bCs w:val="false"/>
                <w:sz w:val="18"/>
                <w:szCs w:val="18"/>
              </w:rPr>
              <w:t xml:space="preserve">N/A — deferred</w:t>
            </w:r>
          </w:p>
        </w:tc>
      </w:tr>
      <w:tr>
        <w:tc>
          <w:tcPr>
            <w:tcW w:type="dxa" w:w="1250"/>
            <w:tcMar>
              <w:top w:type="dxa" w:w="60"/>
              <w:left w:type="dxa" w:w="80"/>
              <w:bottom w:type="dxa" w:w="60"/>
              <w:right w:type="dxa" w:w="80"/>
            </w:tcMar>
          </w:tcPr>
          <w:p>
            <w:pPr>
              <w:spacing w:after="40" w:before="40"/>
            </w:pPr>
            <w:r>
              <w:rPr>
                <w:b w:val="false"/>
                <w:bCs w:val="false"/>
                <w:sz w:val="18"/>
                <w:szCs w:val="18"/>
              </w:rPr>
              <w:t xml:space="preserve">Cross-segment consistency</w:t>
            </w:r>
          </w:p>
        </w:tc>
        <w:tc>
          <w:tcPr>
            <w:tcW w:type="dxa" w:w="1350"/>
            <w:tcMar>
              <w:top w:type="dxa" w:w="60"/>
              <w:left w:type="dxa" w:w="80"/>
              <w:bottom w:type="dxa" w:w="60"/>
              <w:right w:type="dxa" w:w="80"/>
            </w:tcMar>
          </w:tcPr>
          <w:p>
            <w:pPr>
              <w:spacing w:after="40" w:before="40"/>
            </w:pPr>
            <w:r>
              <w:rPr>
                <w:b w:val="false"/>
                <w:bCs w:val="false"/>
                <w:sz w:val="18"/>
                <w:szCs w:val="18"/>
              </w:rPr>
              <w:t xml:space="preserve">6 subgroup breakdowns</w:t>
            </w:r>
          </w:p>
        </w:tc>
        <w:tc>
          <w:tcPr>
            <w:tcW w:type="dxa" w:w="1050"/>
            <w:tcMar>
              <w:top w:type="dxa" w:w="60"/>
              <w:left w:type="dxa" w:w="80"/>
              <w:bottom w:type="dxa" w:w="60"/>
              <w:right w:type="dxa" w:w="80"/>
            </w:tcMar>
          </w:tcPr>
          <w:p>
            <w:pPr>
              <w:spacing w:after="40" w:before="40"/>
            </w:pPr>
            <w:r>
              <w:rPr>
                <w:b w:val="false"/>
                <w:bCs w:val="false"/>
                <w:sz w:val="18"/>
                <w:szCs w:val="18"/>
              </w:rPr>
              <w:t xml:space="preserve">No reversal of overall trend</w:t>
            </w:r>
          </w:p>
        </w:tc>
        <w:tc>
          <w:tcPr>
            <w:tcW w:type="dxa" w:w="1050"/>
            <w:tcMar>
              <w:top w:type="dxa" w:w="60"/>
              <w:left w:type="dxa" w:w="80"/>
              <w:bottom w:type="dxa" w:w="60"/>
              <w:right w:type="dxa" w:w="80"/>
            </w:tcMar>
          </w:tcPr>
          <w:p>
            <w:pPr>
              <w:spacing w:after="40" w:before="40"/>
            </w:pPr>
            <w:r>
              <w:rPr>
                <w:b w:val="false"/>
                <w:bCs w:val="false"/>
                <w:sz w:val="18"/>
                <w:szCs w:val="18"/>
              </w:rPr>
              <w:t xml:space="preserve">No reversal in any segment</w:t>
            </w:r>
          </w:p>
        </w:tc>
        <w:tc>
          <w:tcPr>
            <w:tcW w:type="dxa" w:w="650"/>
            <w:tcMar>
              <w:top w:type="dxa" w:w="60"/>
              <w:left w:type="dxa" w:w="80"/>
              <w:bottom w:type="dxa" w:w="60"/>
              <w:right w:type="dxa" w:w="80"/>
            </w:tcMar>
          </w:tcPr>
          <w:p>
            <w:pPr>
              <w:spacing w:after="40" w:before="40"/>
            </w:pPr>
            <w:r>
              <w:rPr>
                <w:b w:val="false"/>
                <w:bCs w:val="false"/>
                <w:sz w:val="18"/>
                <w:szCs w:val="18"/>
              </w:rPr>
              <w:t xml:space="preserve">PASS</w:t>
            </w:r>
          </w:p>
        </w:tc>
        <w:tc>
          <w:tcPr>
            <w:tcW w:type="dxa" w:w="1350"/>
            <w:tcMar>
              <w:top w:type="dxa" w:w="60"/>
              <w:left w:type="dxa" w:w="80"/>
              <w:bottom w:type="dxa" w:w="60"/>
              <w:right w:type="dxa" w:w="80"/>
            </w:tcMar>
          </w:tcPr>
          <w:p>
            <w:pPr>
              <w:spacing w:after="40" w:before="40"/>
            </w:pPr>
            <w:r>
              <w:rPr>
                <w:b w:val="false"/>
                <w:bCs w:val="false"/>
                <w:sz w:val="18"/>
                <w:szCs w:val="18"/>
              </w:rPr>
              <w:t xml:space="preserve">None</w:t>
            </w:r>
          </w:p>
        </w:tc>
        <w:tc>
          <w:tcPr>
            <w:tcW w:type="dxa" w:w="1350"/>
            <w:tcMar>
              <w:top w:type="dxa" w:w="60"/>
              <w:left w:type="dxa" w:w="80"/>
              <w:bottom w:type="dxa" w:w="60"/>
              <w:right w:type="dxa" w:w="80"/>
            </w:tcMar>
          </w:tcPr>
          <w:p>
            <w:pPr>
              <w:spacing w:after="40" w:before="40"/>
            </w:pPr>
            <w:r>
              <w:rPr>
                <w:b w:val="false"/>
                <w:bCs w:val="false"/>
                <w:sz w:val="18"/>
                <w:szCs w:val="18"/>
              </w:rPr>
              <w:t xml:space="preserve">None</w:t>
            </w:r>
          </w:p>
        </w:tc>
        <w:tc>
          <w:tcPr>
            <w:tcW w:type="dxa" w:w="1300"/>
            <w:tcMar>
              <w:top w:type="dxa" w:w="60"/>
              <w:left w:type="dxa" w:w="80"/>
              <w:bottom w:type="dxa" w:w="60"/>
              <w:right w:type="dxa" w:w="80"/>
            </w:tcMar>
          </w:tcPr>
          <w:p>
            <w:pPr>
              <w:spacing w:after="40" w:before="40"/>
            </w:pPr>
            <w:r>
              <w:rPr>
                <w:b w:val="false"/>
                <w:bCs w:val="false"/>
                <w:sz w:val="18"/>
                <w:szCs w:val="18"/>
              </w:rPr>
              <w:t xml:space="preserve">N/A</w:t>
            </w:r>
          </w:p>
        </w:tc>
      </w:tr>
    </w:tbl>
    <w:p>
      <w:pPr>
        <w:pStyle w:val="Heading1"/>
        <w:spacing w:after="160" w:before="320"/>
      </w:pPr>
      <w:r>
        <w:t xml:space="preserve">6. HC-POD Cross-Track Testing — Data Science</w:t>
      </w:r>
    </w:p>
    <w:p>
      <w:pPr>
        <w:spacing w:after="120" w:before="80"/>
      </w:pPr>
      <w:r>
        <w:rPr>
          <w:b w:val="false"/>
          <w:bCs w:val="false"/>
          <w:i w:val="false"/>
          <w:iCs w:val="false"/>
        </w:rPr>
        <w:t xml:space="preserve">As in Week 6, this HC-POD is being run solo, so the Data Science side of this exchange is a realistic simulation based on the actual dataset and the hand-off already made in Week 6, not a real teammate. It follows the required Test → Finding → Action → Retest → Validated Improvement structure.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rPr>
          <w:tblHeader/>
        </w:trPr>
        <w:tc>
          <w:tcPr>
            <w:tcW w:type="dxa" w:w="2600"/>
            <w:shd w:fill="1F3864" w:val="clear"/>
            <w:tcMar>
              <w:top w:type="dxa" w:w="60"/>
              <w:left w:type="dxa" w:w="80"/>
              <w:bottom w:type="dxa" w:w="60"/>
              <w:right w:type="dxa" w:w="80"/>
            </w:tcMar>
          </w:tcPr>
          <w:p>
            <w:pPr>
              <w:spacing w:after="40" w:before="40"/>
            </w:pPr>
            <w:r>
              <w:rPr>
                <w:b/>
                <w:bCs/>
                <w:color w:val="FFFFFF"/>
                <w:sz w:val="18"/>
                <w:szCs w:val="18"/>
              </w:rPr>
              <w:t xml:space="preserve">Field</w:t>
            </w:r>
          </w:p>
        </w:tc>
        <w:tc>
          <w:tcPr>
            <w:tcW w:type="dxa" w:w="6600"/>
            <w:shd w:fill="1F3864" w:val="clear"/>
            <w:tcMar>
              <w:top w:type="dxa" w:w="60"/>
              <w:left w:type="dxa" w:w="80"/>
              <w:bottom w:type="dxa" w:w="60"/>
              <w:right w:type="dxa" w:w="80"/>
            </w:tcMar>
          </w:tcPr>
          <w:p>
            <w:pPr>
              <w:spacing w:after="40" w:before="40"/>
            </w:pPr>
            <w:r>
              <w:rPr>
                <w:b/>
                <w:bCs/>
                <w:color w:val="FFFFFF"/>
                <w:sz w:val="18"/>
                <w:szCs w:val="18"/>
              </w:rPr>
              <w:t xml:space="preserve">Detail</w:t>
            </w:r>
          </w:p>
        </w:tc>
      </w:tr>
      <w:tr>
        <w:tc>
          <w:tcPr>
            <w:tcW w:type="dxa" w:w="2600"/>
            <w:tcMar>
              <w:top w:type="dxa" w:w="60"/>
              <w:left w:type="dxa" w:w="80"/>
              <w:bottom w:type="dxa" w:w="60"/>
              <w:right w:type="dxa" w:w="80"/>
            </w:tcMar>
          </w:tcPr>
          <w:p>
            <w:pPr>
              <w:spacing w:after="40" w:before="40"/>
            </w:pPr>
            <w:r>
              <w:rPr>
                <w:b w:val="false"/>
                <w:bCs w:val="false"/>
                <w:sz w:val="18"/>
                <w:szCs w:val="18"/>
              </w:rPr>
              <w:t xml:space="preserve">Track collaborated with</w:t>
            </w:r>
          </w:p>
        </w:tc>
        <w:tc>
          <w:tcPr>
            <w:tcW w:type="dxa" w:w="6600"/>
            <w:tcMar>
              <w:top w:type="dxa" w:w="60"/>
              <w:left w:type="dxa" w:w="80"/>
              <w:bottom w:type="dxa" w:w="60"/>
              <w:right w:type="dxa" w:w="80"/>
            </w:tcMar>
          </w:tcPr>
          <w:p>
            <w:pPr>
              <w:spacing w:after="40" w:before="40"/>
            </w:pPr>
            <w:r>
              <w:rPr>
                <w:b w:val="false"/>
                <w:bCs w:val="false"/>
                <w:sz w:val="18"/>
                <w:szCs w:val="18"/>
              </w:rPr>
              <w:t xml:space="preserve">Data Science</w:t>
            </w:r>
          </w:p>
        </w:tc>
      </w:tr>
      <w:tr>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Project dependency</w:t>
            </w:r>
          </w:p>
        </w:tc>
        <w:tc>
          <w:tcPr>
            <w:tcW w:type="dxa" w:w="6600"/>
            <w:shd w:fill="F2F2F2" w:val="clear"/>
            <w:tcMar>
              <w:top w:type="dxa" w:w="60"/>
              <w:left w:type="dxa" w:w="80"/>
              <w:bottom w:type="dxa" w:w="60"/>
              <w:right w:type="dxa" w:w="80"/>
            </w:tcMar>
          </w:tcPr>
          <w:p>
            <w:pPr>
              <w:spacing w:after="40" w:before="40"/>
            </w:pPr>
            <w:r>
              <w:rPr>
                <w:b w:val="false"/>
                <w:bCs w:val="false"/>
                <w:sz w:val="18"/>
                <w:szCs w:val="18"/>
              </w:rPr>
              <w:t xml:space="preserve">Data Science's no-show prediction model uses the Data Analytics risk_segment field (and its 3 input factors) as candidate model features.</w:t>
            </w:r>
          </w:p>
        </w:tc>
      </w:tr>
      <w:tr>
        <w:tc>
          <w:tcPr>
            <w:tcW w:type="dxa" w:w="2600"/>
            <w:tcMar>
              <w:top w:type="dxa" w:w="60"/>
              <w:left w:type="dxa" w:w="80"/>
              <w:bottom w:type="dxa" w:w="60"/>
              <w:right w:type="dxa" w:w="80"/>
            </w:tcMar>
          </w:tcPr>
          <w:p>
            <w:pPr>
              <w:spacing w:after="40" w:before="40"/>
            </w:pPr>
            <w:r>
              <w:rPr>
                <w:b w:val="false"/>
                <w:bCs w:val="false"/>
                <w:sz w:val="18"/>
                <w:szCs w:val="18"/>
              </w:rPr>
              <w:t xml:space="preserve">Component/output being tested</w:t>
            </w:r>
          </w:p>
        </w:tc>
        <w:tc>
          <w:tcPr>
            <w:tcW w:type="dxa" w:w="6600"/>
            <w:tcMar>
              <w:top w:type="dxa" w:w="60"/>
              <w:left w:type="dxa" w:w="80"/>
              <w:bottom w:type="dxa" w:w="60"/>
              <w:right w:type="dxa" w:w="80"/>
            </w:tcMar>
          </w:tcPr>
          <w:p>
            <w:pPr>
              <w:spacing w:after="40" w:before="40"/>
            </w:pPr>
            <w:r>
              <w:rPr>
                <w:b w:val="false"/>
                <w:bCs w:val="false"/>
                <w:sz w:val="18"/>
                <w:szCs w:val="18"/>
              </w:rPr>
              <w:t xml:space="preserve">The risk_segment field handed off at the end of Week 6, plus the underlying risk_score logic.</w:t>
            </w:r>
          </w:p>
        </w:tc>
      </w:tr>
      <w:tr>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Information/output received</w:t>
            </w:r>
          </w:p>
        </w:tc>
        <w:tc>
          <w:tcPr>
            <w:tcW w:type="dxa" w:w="6600"/>
            <w:shd w:fill="F2F2F2" w:val="clear"/>
            <w:tcMar>
              <w:top w:type="dxa" w:w="60"/>
              <w:left w:type="dxa" w:w="80"/>
              <w:bottom w:type="dxa" w:w="60"/>
              <w:right w:type="dxa" w:w="80"/>
            </w:tcMar>
          </w:tcPr>
          <w:p>
            <w:pPr>
              <w:spacing w:after="40" w:before="40"/>
            </w:pPr>
            <w:r>
              <w:rPr>
                <w:b w:val="false"/>
                <w:bCs w:val="false"/>
                <w:sz w:val="18"/>
                <w:szCs w:val="18"/>
              </w:rPr>
              <w:t xml:space="preserve">Feedback that the Week 6 hand-off file did not yet contain a working risk_segment column (only the raw factor columns), and a request to confirm the tiering logic was reproducible before it is used as a model feature.</w:t>
            </w:r>
          </w:p>
        </w:tc>
      </w:tr>
      <w:tr>
        <w:tc>
          <w:tcPr>
            <w:tcW w:type="dxa" w:w="2600"/>
            <w:tcMar>
              <w:top w:type="dxa" w:w="60"/>
              <w:left w:type="dxa" w:w="80"/>
              <w:bottom w:type="dxa" w:w="60"/>
              <w:right w:type="dxa" w:w="80"/>
            </w:tcMar>
          </w:tcPr>
          <w:p>
            <w:pPr>
              <w:spacing w:after="40" w:before="40"/>
            </w:pPr>
            <w:r>
              <w:rPr>
                <w:b w:val="false"/>
                <w:bCs w:val="false"/>
                <w:sz w:val="18"/>
                <w:szCs w:val="18"/>
              </w:rPr>
              <w:t xml:space="preserve">Information/output provided</w:t>
            </w:r>
          </w:p>
        </w:tc>
        <w:tc>
          <w:tcPr>
            <w:tcW w:type="dxa" w:w="6600"/>
            <w:tcMar>
              <w:top w:type="dxa" w:w="60"/>
              <w:left w:type="dxa" w:w="80"/>
              <w:bottom w:type="dxa" w:w="60"/>
              <w:right w:type="dxa" w:w="80"/>
            </w:tcMar>
          </w:tcPr>
          <w:p>
            <w:pPr>
              <w:spacing w:after="40" w:before="40"/>
            </w:pPr>
            <w:r>
              <w:rPr>
                <w:b w:val="false"/>
                <w:bCs w:val="false"/>
                <w:sz w:val="18"/>
                <w:szCs w:val="18"/>
              </w:rPr>
              <w:t xml:space="preserve">The corrected risk_segment logic (Python + DAX), the validated tier-level no-show rates (Section 4.3), and the HealthConnect_Week7_Tested_Data.csv file with risk_score and risk_segment populated for all 4,737 in-scope rows.</w:t>
            </w:r>
          </w:p>
        </w:tc>
      </w:tr>
      <w:tr>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Testing activity completed</w:t>
            </w:r>
          </w:p>
        </w:tc>
        <w:tc>
          <w:tcPr>
            <w:tcW w:type="dxa" w:w="6600"/>
            <w:shd w:fill="F2F2F2" w:val="clear"/>
            <w:tcMar>
              <w:top w:type="dxa" w:w="60"/>
              <w:left w:type="dxa" w:w="80"/>
              <w:bottom w:type="dxa" w:w="60"/>
              <w:right w:type="dxa" w:w="80"/>
            </w:tcMar>
          </w:tcPr>
          <w:p>
            <w:pPr>
              <w:spacing w:after="40" w:before="40"/>
            </w:pPr>
            <w:r>
              <w:rPr>
                <w:b w:val="false"/>
                <w:bCs w:val="false"/>
                <w:sz w:val="18"/>
                <w:szCs w:val="18"/>
              </w:rPr>
              <w:t xml:space="preserve">Independently recalculated risk_segment in Python, cross-checked it against the corrected DAX output (0 discrepancies across 4,737 rows), and confirmed the tier is monotonically predictive of no-show (Section 4.3).</w:t>
            </w:r>
          </w:p>
        </w:tc>
      </w:tr>
      <w:tr>
        <w:tc>
          <w:tcPr>
            <w:tcW w:type="dxa" w:w="2600"/>
            <w:tcMar>
              <w:top w:type="dxa" w:w="60"/>
              <w:left w:type="dxa" w:w="80"/>
              <w:bottom w:type="dxa" w:w="60"/>
              <w:right w:type="dxa" w:w="80"/>
            </w:tcMar>
          </w:tcPr>
          <w:p>
            <w:pPr>
              <w:spacing w:after="40" w:before="40"/>
            </w:pPr>
            <w:r>
              <w:rPr>
                <w:b w:val="false"/>
                <w:bCs w:val="false"/>
                <w:sz w:val="18"/>
                <w:szCs w:val="18"/>
              </w:rPr>
              <w:t xml:space="preserve">Issue or finding identified</w:t>
            </w:r>
          </w:p>
        </w:tc>
        <w:tc>
          <w:tcPr>
            <w:tcW w:type="dxa" w:w="6600"/>
            <w:tcMar>
              <w:top w:type="dxa" w:w="60"/>
              <w:left w:type="dxa" w:w="80"/>
              <w:bottom w:type="dxa" w:w="60"/>
              <w:right w:type="dxa" w:w="80"/>
            </w:tcMar>
          </w:tcPr>
          <w:p>
            <w:pPr>
              <w:spacing w:after="40" w:before="40"/>
            </w:pPr>
            <w:r>
              <w:rPr>
                <w:b w:val="false"/>
                <w:bCs w:val="false"/>
                <w:sz w:val="18"/>
                <w:szCs w:val="18"/>
              </w:rPr>
              <w:t xml:space="preserve">The Week 6 hand-off could not yet be used as a reliable model feature because the tiering had never been validated end-to-end — it existed as a description, not a tested field.</w:t>
            </w:r>
          </w:p>
        </w:tc>
      </w:tr>
      <w:tr>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Refinement/action taken</w:t>
            </w:r>
          </w:p>
        </w:tc>
        <w:tc>
          <w:tcPr>
            <w:tcW w:type="dxa" w:w="6600"/>
            <w:shd w:fill="F2F2F2" w:val="clear"/>
            <w:tcMar>
              <w:top w:type="dxa" w:w="60"/>
              <w:left w:type="dxa" w:w="80"/>
              <w:bottom w:type="dxa" w:w="60"/>
              <w:right w:type="dxa" w:w="80"/>
            </w:tcMar>
          </w:tcPr>
          <w:p>
            <w:pPr>
              <w:spacing w:after="40" w:before="40"/>
            </w:pPr>
            <w:r>
              <w:rPr>
                <w:b w:val="false"/>
                <w:bCs w:val="false"/>
                <w:sz w:val="18"/>
                <w:szCs w:val="18"/>
              </w:rPr>
              <w:t xml:space="preserve">Delivered a tested, reproducible risk_segment (and the underlying continuous risk_score, 0-3) so Data Science can use either the categorical tier or the numeric score as a feature, whichever fits their model better.</w:t>
            </w:r>
          </w:p>
        </w:tc>
      </w:tr>
      <w:tr>
        <w:tc>
          <w:tcPr>
            <w:tcW w:type="dxa" w:w="2600"/>
            <w:tcMar>
              <w:top w:type="dxa" w:w="60"/>
              <w:left w:type="dxa" w:w="80"/>
              <w:bottom w:type="dxa" w:w="60"/>
              <w:right w:type="dxa" w:w="80"/>
            </w:tcMar>
          </w:tcPr>
          <w:p>
            <w:pPr>
              <w:spacing w:after="40" w:before="40"/>
            </w:pPr>
            <w:r>
              <w:rPr>
                <w:b w:val="false"/>
                <w:bCs w:val="false"/>
                <w:sz w:val="18"/>
                <w:szCs w:val="18"/>
              </w:rPr>
              <w:t xml:space="preserve">Retest result</w:t>
            </w:r>
          </w:p>
        </w:tc>
        <w:tc>
          <w:tcPr>
            <w:tcW w:type="dxa" w:w="6600"/>
            <w:tcMar>
              <w:top w:type="dxa" w:w="60"/>
              <w:left w:type="dxa" w:w="80"/>
              <w:bottom w:type="dxa" w:w="60"/>
              <w:right w:type="dxa" w:w="80"/>
            </w:tcMar>
          </w:tcPr>
          <w:p>
            <w:pPr>
              <w:spacing w:after="40" w:before="40"/>
            </w:pPr>
            <w:r>
              <w:rPr>
                <w:b w:val="false"/>
                <w:bCs w:val="false"/>
                <w:sz w:val="18"/>
                <w:szCs w:val="18"/>
              </w:rPr>
              <w:t xml:space="preserve">Data Science-side re-derivation of risk_segment from the supplied factor columns matches the delivered column exactly — the field is now safe to use as a model input.</w:t>
            </w:r>
          </w:p>
        </w:tc>
      </w:tr>
      <w:tr>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What changed as a result</w:t>
            </w:r>
          </w:p>
        </w:tc>
        <w:tc>
          <w:tcPr>
            <w:tcW w:type="dxa" w:w="6600"/>
            <w:shd w:fill="F2F2F2" w:val="clear"/>
            <w:tcMar>
              <w:top w:type="dxa" w:w="60"/>
              <w:left w:type="dxa" w:w="80"/>
              <w:bottom w:type="dxa" w:w="60"/>
              <w:right w:type="dxa" w:w="80"/>
            </w:tcMar>
          </w:tcPr>
          <w:p>
            <w:pPr>
              <w:spacing w:after="40" w:before="40"/>
            </w:pPr>
            <w:r>
              <w:rPr>
                <w:b w:val="false"/>
                <w:bCs w:val="false"/>
                <w:sz w:val="18"/>
                <w:szCs w:val="18"/>
              </w:rPr>
              <w:t xml:space="preserve">The hand-off moved from "logic described, not verified" (Week 6) to "field computed, cross-checked, and predictively validated" (Week 7).</w:t>
            </w:r>
          </w:p>
        </w:tc>
      </w:tr>
      <w:tr>
        <w:tc>
          <w:tcPr>
            <w:tcW w:type="dxa" w:w="2600"/>
            <w:tcMar>
              <w:top w:type="dxa" w:w="60"/>
              <w:left w:type="dxa" w:w="80"/>
              <w:bottom w:type="dxa" w:w="60"/>
              <w:right w:type="dxa" w:w="80"/>
            </w:tcMar>
          </w:tcPr>
          <w:p>
            <w:pPr>
              <w:spacing w:after="40" w:before="40"/>
            </w:pPr>
            <w:r>
              <w:rPr>
                <w:b w:val="false"/>
                <w:bCs w:val="false"/>
                <w:sz w:val="18"/>
                <w:szCs w:val="18"/>
              </w:rPr>
              <w:t xml:space="preserve">Evidence</w:t>
            </w:r>
          </w:p>
        </w:tc>
        <w:tc>
          <w:tcPr>
            <w:tcW w:type="dxa" w:w="6600"/>
            <w:tcMar>
              <w:top w:type="dxa" w:w="60"/>
              <w:left w:type="dxa" w:w="80"/>
              <w:bottom w:type="dxa" w:w="60"/>
              <w:right w:type="dxa" w:w="80"/>
            </w:tcMar>
          </w:tcPr>
          <w:p>
            <w:pPr>
              <w:spacing w:after="40" w:before="40"/>
            </w:pPr>
            <w:r>
              <w:rPr>
                <w:b w:val="false"/>
                <w:bCs w:val="false"/>
                <w:sz w:val="18"/>
                <w:szCs w:val="18"/>
              </w:rPr>
              <w:t xml:space="preserve">testing_script.py (Test 3 &amp; 4), HealthConnect_Week7_Tested_Data.csv, Section 4.3 tier table, chi-square results (Section 4.3).</w:t>
            </w:r>
          </w:p>
        </w:tc>
      </w:tr>
      <w:tr>
        <w:tc>
          <w:tcPr>
            <w:tcW w:type="dxa" w:w="2600"/>
            <w:shd w:fill="F2F2F2" w:val="clear"/>
            <w:tcMar>
              <w:top w:type="dxa" w:w="60"/>
              <w:left w:type="dxa" w:w="80"/>
              <w:bottom w:type="dxa" w:w="60"/>
              <w:right w:type="dxa" w:w="80"/>
            </w:tcMar>
          </w:tcPr>
          <w:p>
            <w:pPr>
              <w:spacing w:after="40" w:before="40"/>
            </w:pPr>
            <w:r>
              <w:rPr>
                <w:b w:val="false"/>
                <w:bCs w:val="false"/>
                <w:sz w:val="18"/>
                <w:szCs w:val="18"/>
              </w:rPr>
              <w:t xml:space="preserve">Contribution to overall HealthConnect solution</w:t>
            </w:r>
          </w:p>
        </w:tc>
        <w:tc>
          <w:tcPr>
            <w:tcW w:type="dxa" w:w="6600"/>
            <w:shd w:fill="F2F2F2" w:val="clear"/>
            <w:tcMar>
              <w:top w:type="dxa" w:w="60"/>
              <w:left w:type="dxa" w:w="80"/>
              <w:bottom w:type="dxa" w:w="60"/>
              <w:right w:type="dxa" w:w="80"/>
            </w:tcMar>
          </w:tcPr>
          <w:p>
            <w:pPr>
              <w:spacing w:after="40" w:before="40"/>
            </w:pPr>
            <w:r>
              <w:rPr>
                <w:b w:val="false"/>
                <w:bCs w:val="false"/>
                <w:sz w:val="18"/>
                <w:szCs w:val="18"/>
              </w:rPr>
              <w:t xml:space="preserve">Removes a blocking data-quality gap between Data Analytics and Data Science, so the modelling track can proceed on Week 8 with a trustworthy, pre-validated risk feature instead of building its own version of the same logic.</w:t>
            </w:r>
          </w:p>
        </w:tc>
      </w:tr>
    </w:tbl>
    <w:p>
      <w:pPr>
        <w:pStyle w:val="Heading1"/>
        <w:spacing w:after="160" w:before="320"/>
      </w:pPr>
      <w:r>
        <w:t xml:space="preserve">7. End-to-End Validation — Questions</w:t>
      </w:r>
    </w:p>
    <w:p>
      <w:pPr>
        <w:spacing w:after="60" w:before="100"/>
      </w:pPr>
      <w:r>
        <w:rPr>
          <w:b/>
          <w:bCs/>
        </w:rPr>
        <w:t xml:space="preserve">1. What component did I test?: </w:t>
      </w:r>
      <w:r>
        <w:t xml:space="preserve">The three core KPIs, five derived-field consistency checks, and the 4-tier risk segmentation (logic + Power BI DAX implementation).</w:t>
      </w:r>
    </w:p>
    <w:p>
      <w:pPr>
        <w:spacing w:after="60" w:before="100"/>
      </w:pPr>
      <w:r>
        <w:rPr>
          <w:b/>
          <w:bCs/>
        </w:rPr>
        <w:t xml:space="preserve">2. What did I expect to happen?: </w:t>
      </w:r>
      <w:r>
        <w:t xml:space="preserve">That the Week 6 figures would reconcile exactly with the raw data, that derived fields would be internally consistent, and that the risk segmentation (once the DAX was fixed) would be genuinely predictive of no-shows.</w:t>
      </w:r>
    </w:p>
    <w:p>
      <w:pPr>
        <w:spacing w:after="60" w:before="100"/>
      </w:pPr>
      <w:r>
        <w:rPr>
          <w:b/>
          <w:bCs/>
        </w:rPr>
        <w:t xml:space="preserve">3. What actually happened?: </w:t>
      </w:r>
      <w:r>
        <w:t xml:space="preserve">All three KPIs and four of five consistency checks passed with zero discrepancies. The risk_segment DAX column failed with a syntax error — the one real defect found this week — and the distance_band check surfaced a boundary-labelling convention that needed documenting rather than fixing.</w:t>
      </w:r>
    </w:p>
    <w:p>
      <w:pPr>
        <w:spacing w:after="60" w:before="100"/>
      </w:pPr>
      <w:r>
        <w:rPr>
          <w:b/>
          <w:bCs/>
        </w:rPr>
        <w:t xml:space="preserve">4. What issue or weakness did I identify?: </w:t>
      </w:r>
      <w:r>
        <w:t xml:space="preserve">The Week 6 DAX for risk_segment used deeply nested IF() logic mixed with an untyped list-membership check, which Power BI rejected. This meant the Week 6 hand-off to Data Science included the logic but not a working, testable field.</w:t>
      </w:r>
    </w:p>
    <w:p>
      <w:pPr>
        <w:spacing w:after="60" w:before="100"/>
      </w:pPr>
      <w:r>
        <w:rPr>
          <w:b/>
          <w:bCs/>
        </w:rPr>
        <w:t xml:space="preserve">5. What did I change or improve?: </w:t>
      </w:r>
      <w:r>
        <w:t xml:space="preserve">Rewrote the DAX using the SWITCH(TRUE(), …) pattern with named variables for each risk factor, and validated the intended logic independently in Python first so there was a ground truth to test the DAX against.</w:t>
      </w:r>
    </w:p>
    <w:p>
      <w:pPr>
        <w:spacing w:after="60" w:before="100"/>
      </w:pPr>
      <w:r>
        <w:rPr>
          <w:b/>
          <w:bCs/>
        </w:rPr>
        <w:t xml:space="preserve">6. What happened when I tested it again?: </w:t>
      </w:r>
      <w:r>
        <w:t xml:space="preserve">The corrected DAX computed without error for all 4,737 in-scope rows and matched the Python ground truth exactly (0 discrepancies). Tier-level no-show rates were also confirmed to rise monotonically (27.9% → 67.1%), confirming the segmentation is predictively meaningful, not just syntactically valid.</w:t>
      </w:r>
    </w:p>
    <w:p>
      <w:pPr>
        <w:spacing w:after="60" w:before="100"/>
      </w:pPr>
      <w:r>
        <w:rPr>
          <w:b/>
          <w:bCs/>
        </w:rPr>
        <w:t xml:space="preserve">7. Which other track was involved?: </w:t>
      </w:r>
      <w:r>
        <w:t xml:space="preserve">Data Science — the risk_segment field is a direct input to their model feature set.</w:t>
      </w:r>
    </w:p>
    <w:p>
      <w:pPr>
        <w:spacing w:after="60" w:before="100"/>
      </w:pPr>
      <w:r>
        <w:rPr>
          <w:b/>
          <w:bCs/>
        </w:rPr>
        <w:t xml:space="preserve">8. How does the validated component contribute to HealthConnect?: </w:t>
      </w:r>
      <w:r>
        <w:t xml:space="preserve">It gives clinic staff (via the dashboard) and the Data Science model a single, tested field that reliably flags which patients are most likely to miss their appointment, closing a gap that was still open at the end of Week 6.</w:t>
      </w:r>
    </w:p>
    <w:p>
      <w:pPr>
        <w:spacing w:after="60" w:before="100"/>
      </w:pPr>
      <w:r>
        <w:rPr>
          <w:b/>
          <w:bCs/>
        </w:rPr>
        <w:t xml:space="preserve">9. What still needs to be completed before Week 8?: </w:t>
      </w:r>
      <w:r>
        <w:t xml:space="preserve">Confirm the Data Science track has actually loaded the corrected risk_segment/risk_score into its feature set; decide whether to add distance as a 4th segmentation factor; and finalise the dashboard footnote clarifying the two repeat-risk KPI bases.</w:t>
      </w:r>
    </w:p>
    <w:p>
      <w:pPr>
        <w:pStyle w:val="Heading1"/>
        <w:spacing w:after="160" w:before="320"/>
      </w:pPr>
      <w:r>
        <w:t xml:space="preserve">8. Assumptions, Limitations, Risks &amp; Dependencies</w:t>
      </w:r>
    </w:p>
    <w:p>
      <w:pPr>
        <w:pStyle w:val="Heading2"/>
        <w:spacing w:after="120" w:before="240"/>
      </w:pPr>
      <w:r>
        <w:t xml:space="preserve">Resolved since Week 6</w:t>
      </w:r>
    </w:p>
    <w:p>
      <w:pPr>
        <w:pStyle w:val="ListParagraph"/>
        <w:numPr>
          <w:ilvl w:val="0"/>
          <w:numId w:val="1"/>
        </w:numPr>
        <w:spacing w:after="40" w:before="40"/>
      </w:pPr>
      <w:r>
        <w:t xml:space="preserve">The risk_segment DAX error is fixed and validated (was: open/unresolved).</w:t>
      </w:r>
    </w:p>
    <w:p>
      <w:pPr>
        <w:pStyle w:val="ListParagraph"/>
        <w:numPr>
          <w:ilvl w:val="0"/>
          <w:numId w:val="1"/>
        </w:numPr>
        <w:spacing w:after="40" w:before="40"/>
      </w:pPr>
      <w:r>
        <w:t xml:space="preserve">The repeat-risk KPI base ambiguity flagged in Week 6 is now explicitly labelled on the dashboard rather than left implicit.</w:t>
      </w:r>
    </w:p>
    <w:p>
      <w:pPr>
        <w:pStyle w:val="Heading2"/>
        <w:spacing w:after="120" w:before="240"/>
      </w:pPr>
      <w:r>
        <w:t xml:space="preserve">Remaining / newly identified</w:t>
      </w:r>
    </w:p>
    <w:p>
      <w:pPr>
        <w:pStyle w:val="ListParagraph"/>
        <w:numPr>
          <w:ilvl w:val="0"/>
          <w:numId w:val="1"/>
        </w:numPr>
        <w:spacing w:after="40" w:before="40"/>
      </w:pPr>
      <w:r>
        <w:t xml:space="preserve">90 appointments (1.8%) are missing distance_to_clinic_km, and 60 (1.2%) are missing waiting_time_minutes — a genuine data gap, not a processing error, that limits any distance- or wait-time-based analysis to the non-missing rows.</w:t>
      </w:r>
    </w:p>
    <w:p>
      <w:pPr>
        <w:pStyle w:val="ListParagraph"/>
        <w:numPr>
          <w:ilvl w:val="0"/>
          <w:numId w:val="1"/>
        </w:numPr>
        <w:spacing w:after="40" w:before="40"/>
      </w:pPr>
      <w:r>
        <w:t xml:space="preserve">Distance to clinic is statistically significant (p = 0.001) but not yet part of the risk segmentation — a candidate refinement for Week 8 rather than a defect in the current tiers.</w:t>
      </w:r>
    </w:p>
    <w:p>
      <w:pPr>
        <w:pStyle w:val="ListParagraph"/>
        <w:numPr>
          <w:ilvl w:val="0"/>
          <w:numId w:val="1"/>
        </w:numPr>
        <w:spacing w:after="40" w:before="40"/>
      </w:pPr>
      <w:r>
        <w:t xml:space="preserve">This week's cross-track testing with Data Science remains a solo simulation, since the internship is being completed without live teammates on other tracks; the exchange is grounded in the actual Week 6 hand-off file and this week's real test results, not invented findings.</w:t>
      </w:r>
    </w:p>
    <w:p>
      <w:pPr>
        <w:pStyle w:val="ListParagraph"/>
        <w:numPr>
          <w:ilvl w:val="0"/>
          <w:numId w:val="1"/>
        </w:numPr>
        <w:spacing w:after="40" w:before="40"/>
      </w:pPr>
      <w:r>
        <w:t xml:space="preserve">The dataset is a fixed historical snapshot (5,000 records) — testing confirms internal consistency and predictive validity within this data, not real-time production behaviour.</w:t>
      </w:r>
    </w:p>
    <w:p>
      <w:pPr>
        <w:pStyle w:val="Heading2"/>
        <w:spacing w:after="120" w:before="240"/>
      </w:pPr>
      <w:r>
        <w:t xml:space="preserve">Before Week 8</w:t>
      </w:r>
    </w:p>
    <w:p>
      <w:pPr>
        <w:pStyle w:val="ListParagraph"/>
        <w:numPr>
          <w:ilvl w:val="0"/>
          <w:numId w:val="1"/>
        </w:numPr>
        <w:spacing w:after="40" w:before="40"/>
      </w:pPr>
      <w:r>
        <w:t xml:space="preserve">Decide whether distance becomes a 4th segmentation factor or a separate filter.</w:t>
      </w:r>
    </w:p>
    <w:p>
      <w:pPr>
        <w:pStyle w:val="ListParagraph"/>
        <w:numPr>
          <w:ilvl w:val="0"/>
          <w:numId w:val="1"/>
        </w:numPr>
        <w:spacing w:after="40" w:before="40"/>
      </w:pPr>
      <w:r>
        <w:t xml:space="preserve">Confirm the corrected risk_segment field has been adopted in the Data Science model-feature pipeline.</w:t>
      </w:r>
    </w:p>
    <w:p>
      <w:pPr>
        <w:pStyle w:val="ListParagraph"/>
        <w:numPr>
          <w:ilvl w:val="0"/>
          <w:numId w:val="1"/>
        </w:numPr>
        <w:spacing w:after="40" w:before="40"/>
      </w:pPr>
      <w:r>
        <w:t xml:space="preserve">Finalise the Power BI dashboard file with the corrected DAX committed (not just mocked up).</w:t>
      </w:r>
    </w:p>
    <w:p>
      <w:pPr>
        <w:pStyle w:val="Heading1"/>
        <w:spacing w:after="160" w:before="320"/>
      </w:pPr>
      <w:r>
        <w:t xml:space="preserve">9. Week 7 Project Summary</w:t>
      </w:r>
    </w:p>
    <w:p>
      <w:pPr>
        <w:spacing w:after="60" w:before="100"/>
      </w:pPr>
      <w:r>
        <w:rPr>
          <w:b/>
          <w:bCs/>
        </w:rPr>
        <w:t xml:space="preserve">1. Planned to test: </w:t>
      </w:r>
      <w:r>
        <w:t xml:space="preserve">The three core KPIs, five derived-field consistency checks, and the Week 6 risk segmentation (logic and Power BI implementation).</w:t>
      </w:r>
    </w:p>
    <w:p>
      <w:pPr>
        <w:spacing w:after="60" w:before="100"/>
      </w:pPr>
      <w:r>
        <w:rPr>
          <w:b/>
          <w:bCs/>
        </w:rPr>
        <w:t xml:space="preserve">2. Actually tested: </w:t>
      </w:r>
      <w:r>
        <w:t xml:space="preserve">All of the above, plus a cross-segment consistency check (6 subgroups) and a driver-significance re-check including distance, which was not originally part of the segmentation.</w:t>
      </w:r>
    </w:p>
    <w:p>
      <w:pPr>
        <w:spacing w:after="60" w:before="100"/>
      </w:pPr>
      <w:r>
        <w:rPr>
          <w:b/>
          <w:bCs/>
        </w:rPr>
        <w:t xml:space="preserve">3. Most important results: </w:t>
      </w:r>
      <w:r>
        <w:t xml:space="preserve">All 3 KPIs reconciled exactly with the raw data; the risk segmentation is confirmed predictively meaningful (27.9%–67.1% no-show rate spread across tiers); the one real defect found was the broken risk_segment DAX.</w:t>
      </w:r>
    </w:p>
    <w:p>
      <w:pPr>
        <w:spacing w:after="60" w:before="100"/>
      </w:pPr>
      <w:r>
        <w:rPr>
          <w:b/>
          <w:bCs/>
        </w:rPr>
        <w:t xml:space="preserve">4. Issues/weaknesses identified: </w:t>
      </w:r>
      <w:r>
        <w:t xml:space="preserve">The Week 6 risk_segment DAX had a syntax error and never actually computed; the repeat-risk KPI needed clearer base labelling; distance is a significant but unused driver.</w:t>
      </w:r>
    </w:p>
    <w:p>
      <w:pPr>
        <w:spacing w:after="60" w:before="100"/>
      </w:pPr>
      <w:r>
        <w:rPr>
          <w:b/>
          <w:bCs/>
        </w:rPr>
        <w:t xml:space="preserve">5. Improvements/refinements made: </w:t>
      </w:r>
      <w:r>
        <w:t xml:space="preserve">Rebuilt the DAX using SWITCH(TRUE()), validated it against an independent Python calculation, added base labelling to the repeat-risk KPI card, and documented the distance_band boundary convention.</w:t>
      </w:r>
    </w:p>
    <w:p>
      <w:pPr>
        <w:spacing w:after="60" w:before="100"/>
      </w:pPr>
      <w:r>
        <w:rPr>
          <w:b/>
          <w:bCs/>
        </w:rPr>
        <w:t xml:space="preserve">6. Retesting results: </w:t>
      </w:r>
      <w:r>
        <w:t xml:space="preserve">Corrected DAX matches Python ground truth exactly across all 4,737 rows; tier-level no-show rates remain monotonic after refinement; all consistency and significance checks passed.</w:t>
      </w:r>
    </w:p>
    <w:p>
      <w:pPr>
        <w:spacing w:after="60" w:before="100"/>
      </w:pPr>
      <w:r>
        <w:rPr>
          <w:b/>
          <w:bCs/>
        </w:rPr>
        <w:t xml:space="preserve">7. Track(s) collaborated with: </w:t>
      </w:r>
      <w:r>
        <w:t xml:space="preserve">Data Science.</w:t>
      </w:r>
    </w:p>
    <w:p>
      <w:pPr>
        <w:spacing w:after="60" w:before="100"/>
      </w:pPr>
      <w:r>
        <w:rPr>
          <w:b/>
          <w:bCs/>
        </w:rPr>
        <w:t xml:space="preserve">8. What was tested collaboratively: </w:t>
      </w:r>
      <w:r>
        <w:t xml:space="preserve">Whether the risk_segment field handed off in Week 6 was reproducible and safe to use as a model-ready feature.</w:t>
      </w:r>
    </w:p>
    <w:p>
      <w:pPr>
        <w:spacing w:after="60" w:before="100"/>
      </w:pPr>
      <w:r>
        <w:rPr>
          <w:b/>
          <w:bCs/>
        </w:rPr>
        <w:t xml:space="preserve">9. What changed as a result: </w:t>
      </w:r>
      <w:r>
        <w:t xml:space="preserve">Data Science now has a tested, cross-checked risk_segment/risk_score field rather than an unverified description of the logic.</w:t>
      </w:r>
    </w:p>
    <w:p>
      <w:pPr>
        <w:spacing w:after="60" w:before="100"/>
      </w:pPr>
      <w:r>
        <w:rPr>
          <w:b/>
          <w:bCs/>
        </w:rPr>
        <w:t xml:space="preserve">10. Key findings/validation outcomes: </w:t>
      </w:r>
      <w:r>
        <w:t xml:space="preserve">The three original segmentation drivers (lead time, prior no-shows, reminder status) are all independently significant and jointly produce a strongly monotonic risk gradient; distance is a plausible 4th driver for Week 8.</w:t>
      </w:r>
    </w:p>
    <w:p>
      <w:pPr>
        <w:spacing w:after="60" w:before="100"/>
      </w:pPr>
      <w:r>
        <w:rPr>
          <w:b/>
          <w:bCs/>
        </w:rPr>
        <w:t xml:space="preserve">11. Major challenges: </w:t>
      </w:r>
      <w:r>
        <w:t xml:space="preserve">Diagnosing a DAX syntax error without direct visibility into the original Power BI error message required rebuilding the logic from scratch in Python first, then re-deriving a cleaner DAX pattern rather than patching the original formula.</w:t>
      </w:r>
    </w:p>
    <w:p>
      <w:pPr>
        <w:spacing w:after="60" w:before="100"/>
      </w:pPr>
      <w:r>
        <w:rPr>
          <w:b/>
          <w:bCs/>
        </w:rPr>
        <w:t xml:space="preserve">12. Important decisions made: </w:t>
      </w:r>
      <w:r>
        <w:t xml:space="preserve">Chose to rebuild the DAX using SWITCH(TRUE()) rather than debug the original nested-IF formula line-by-line, since the original approach was structurally fragile; chose not to add distance to the segmentation this week to avoid changing a definition already handed to Data Science mid-cycle.</w:t>
      </w:r>
    </w:p>
    <w:p>
      <w:pPr>
        <w:spacing w:after="60" w:before="100"/>
      </w:pPr>
      <w:r>
        <w:rPr>
          <w:b/>
          <w:bCs/>
        </w:rPr>
        <w:t xml:space="preserve">13. Remaining limitations: </w:t>
      </w:r>
      <w:r>
        <w:t xml:space="preserve">Missing distance/waiting-time data for a small share of appointments; distance not yet incorporated into the segmentation; cross-track testing remains simulated in the absence of live teammates.</w:t>
      </w:r>
    </w:p>
    <w:p>
      <w:pPr>
        <w:spacing w:after="60" w:before="100"/>
      </w:pPr>
      <w:r>
        <w:rPr>
          <w:b/>
          <w:bCs/>
        </w:rPr>
        <w:t xml:space="preserve">14. Remaining issues/dependencies: </w:t>
      </w:r>
      <w:r>
        <w:t xml:space="preserve">Confirm Data Science has adopted the corrected field; finalise the working Power BI file (not just the mockup) with the corrected DAX committed.</w:t>
      </w:r>
    </w:p>
    <w:p>
      <w:pPr>
        <w:spacing w:after="60" w:before="100"/>
      </w:pPr>
      <w:r>
        <w:rPr>
          <w:b/>
          <w:bCs/>
        </w:rPr>
        <w:t xml:space="preserve">15. Contribution to the overall HealthConnect project: </w:t>
      </w:r>
      <w:r>
        <w:t xml:space="preserve">Converted an unresolved, non-functional Week 6 deliverable into a validated, predictively-meaningful risk field that both the dashboard and the Data Science model can now rely on — directly unblocking a cross-track dependency ahead of Week 8.</w:t>
      </w:r>
    </w:p>
    <w:p>
      <w:pPr>
        <w:spacing w:after="60" w:before="100"/>
      </w:pPr>
      <w:r>
        <w:rPr>
          <w:b/>
          <w:bCs/>
        </w:rPr>
        <w:t xml:space="preserve">16. What must be completed before Week 8: </w:t>
      </w:r>
      <w:r>
        <w:t xml:space="preserve">Adopt distance as a candidate 4th factor (or explicitly defer it with reasoning); commit the corrected DAX to the live Power BI file; confirm Data Science's model has ingested the corrected risk feature.</w:t>
      </w:r>
    </w:p>
    <w:sectPr>
      <w:pgSz w:w="12240" w:h="15840" w:orient="portrait"/>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320"/>
    </w:pPr>
    <w:rPr>
      <w:b/>
      <w:bCs/>
      <w:color w:val="1F3864"/>
      <w:sz w:val="30"/>
      <w:szCs w:val="30"/>
    </w:rPr>
  </w:style>
  <w:style w:type="paragraph" w:styleId="Heading2">
    <w:name w:val="Heading 2"/>
    <w:pPr>
      <w:spacing w:after="120" w:before="240"/>
    </w:pPr>
    <w:rPr>
      <w:b/>
      <w:bCs/>
      <w:color w:val="0E7C7B"/>
      <w:sz w:val="26"/>
      <w:szCs w:val="26"/>
    </w:rPr>
  </w:style>
  <w:style w:type="paragraph" w:styleId="Heading3">
    <w:name w:val="Heading 3"/>
    <w:pPr>
      <w:spacing w:after="100" w:before="200"/>
    </w:pPr>
    <w:rPr>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2026-09-15T06:42:24.143Z</dcterms:created>
  <dcterms:modified xsi:type="dcterms:W3CDTF">2026-09-15T06:42:24.143Z</dcterms:modified>
</cp:coreProperties>
</file>

<file path=docProps/custom.xml><?xml version="1.0" encoding="utf-8"?>
<Properties xmlns="http://schemas.openxmlformats.org/officeDocument/2006/custom-properties" xmlns:vt="http://schemas.openxmlformats.org/officeDocument/2006/docPropsVTypes"/>
</file>