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2"/>
        </w:rPr>
        <w:t>跨境电商供应链管理Agent助手</w:t>
        <w:br/>
        <w:t>大版本更新产品需求文档</w:t>
      </w:r>
    </w:p>
    <w:p>
      <w:pPr>
        <w:pStyle w:val="Subtitle"/>
      </w:pPr>
      <w:r>
        <w:t>版本 v2.0 ｜ 更新日期 2026年10月15日 ｜ 状态 待评审</w:t>
      </w:r>
    </w:p>
    <w:p>
      <w:r>
        <w:t>本次更新将现有库存业务系统扩展为可在模拟环境中完整运行、隔离验收和复盘分析的供应链管理系统。核心交付包括业务模块重构、独立模拟器、盘点与异常任务、订单履约与模拟对账、规则补货，以及有证据的效率瓶颈分析。Agent通过受控工具提供查询、解释和方案，不直接修改库存。</w:t>
      </w:r>
    </w:p>
    <w:p>
      <w:r>
        <w:t>当前实现基线为应用 v0.4.1、Git提交 9b435d7。本文的 v2.0 是需求文档版本，不表示应用已升级或新增功能已实现。本文供产品、开发、测试和业务评审使用，作为后续开发与验收基线；未指定的人员、预算和日历工期保持待定。</w:t>
      </w:r>
    </w:p>
    <w:p>
      <w:pPr>
        <w:pStyle w:val="Heading1"/>
      </w:pPr>
      <w:r>
        <w:t>1 背景与本次更新目标</w:t>
      </w:r>
    </w:p>
    <w:p>
      <w:pPr>
        <w:pStyle w:val="Heading2"/>
      </w:pPr>
      <w:r>
        <w:t>1.1 现状与主要问题</w:t>
      </w:r>
    </w:p>
    <w:p>
      <w:r>
        <w:t>现有应用已实现商品与仓库、收货与线下交货、采购及分批收货、调整审批与冲正、调拨、退货质检、账号权限、备份和Agent辅助建单。库存版本、事务、请求幂等和审计提供了可复用基础。历史交付记录为SQLite 122项通过，PostgreSQL 121项通过及1项跳过；这是既有验收结果，实施本次更新前须重新建立回归基线。</w:t>
      </w:r>
    </w:p>
    <w:p>
      <w:r>
        <w:t>当前缺少需求与补货计划、完整销售履约、盘点任务、外部数据处理和统一异常闭环。日志能够解释部分操作，却无法完整区分等待、作业、运输、返工和数据补录时间，也不能可靠判断某个耗时环节是否影响整体履约。</w:t>
      </w:r>
    </w:p>
    <w:p>
      <w:pPr>
        <w:pStyle w:val="Heading2"/>
      </w:pPr>
      <w:r>
        <w:t>1.2 已确认约束与范围决策</w:t>
      </w:r>
    </w:p>
    <w:p>
      <w:pPr>
        <w:pStyle w:val="ListBullet"/>
      </w:pPr>
      <w:r>
        <w:t>开发只能基于模拟数据，暂时没有真实商户数据或真实外部接口作为验收前提。</w:t>
      </w:r>
    </w:p>
    <w:p>
      <w:pPr>
        <w:pStyle w:val="ListBullet"/>
      </w:pPr>
      <w:r>
        <w:t>日常开发使用专用开发数据；测试使用额外生成的多份数据，包含固定回归集和独立随机验证集。</w:t>
      </w:r>
    </w:p>
    <w:p>
      <w:pPr>
        <w:pStyle w:val="ListBullet"/>
      </w:pPr>
      <w:r>
        <w:t>多份数据之间不能污染；隔离须覆盖数据库、进程状态、任务、文件、报告及清理过程。</w:t>
      </w:r>
    </w:p>
    <w:p>
      <w:pPr>
        <w:pStyle w:val="ListBullet"/>
      </w:pPr>
      <w:r>
        <w:t>暂不以模型密钥为前置条件。模型接口保留，表单和确定性规则可完成核心业务；模拟响应测试不能代替真实模型质量验证。</w:t>
      </w:r>
    </w:p>
    <w:p>
      <w:pPr>
        <w:pStyle w:val="ListBullet"/>
      </w:pPr>
      <w:r>
        <w:t>沿用现有可用业务规则，采用模块化单体渐进重构，通过适配器为未来真实连接预留能力。</w:t>
      </w:r>
    </w:p>
    <w:p>
      <w:pPr>
        <w:pStyle w:val="Heading2"/>
      </w:pPr>
      <w:r>
        <w:t>1.3 产品目标与验收边界</w:t>
      </w:r>
    </w:p>
    <w:p>
      <w:r>
        <w:t>G1 完整运行采购、入库、销售、调拨、退货、盘点、补货的模拟业务闭环，数量和状态可核对。</w:t>
      </w:r>
    </w:p>
    <w:p>
      <w:r>
        <w:t>G2 通过多份独立数据和异常事件检验幂等、并发、隔离、恢复与数据一致性，失败可重现。</w:t>
      </w:r>
    </w:p>
    <w:p>
      <w:r>
        <w:t>G3 对已采集且质量足够的业务事件形成流程时间线，识别积压、等待和影响履约的候选瓶颈，并展示证据与不确定性。</w:t>
      </w:r>
    </w:p>
    <w:p>
      <w:r>
        <w:t>G4 Agent引用授权业务数据和规则计算结果提供解释，所有写操作仍经过用户确认及既有审批。</w:t>
      </w:r>
    </w:p>
    <w:p>
      <w:r>
        <w:t>模拟验收证明给定场景下的规则与实现表现，不证明真实市场需求、真实供应商表现、生产容量或真实经营收益。</w:t>
      </w:r>
    </w:p>
    <w:p>
      <w:pPr>
        <w:pStyle w:val="Heading1"/>
      </w:pPr>
      <w:r>
        <w:t>2 用户角色与核心使用场景</w:t>
      </w:r>
    </w:p>
    <w:p>
      <w:pPr>
        <w:pStyle w:val="Heading2"/>
      </w:pPr>
      <w:r>
        <w:t>2.1 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515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核心职责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商户管理员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基础资料、授权、审批、复盘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仅本商户；申请人不能自审受控调整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采购人员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采购、交期维护、到货跟踪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授权供应商和仓库；不能直接改余额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仓管与质检人员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收发、盘点、检验、差异处理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授权仓库与岗位动作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销售与运营人员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订单、履约、取消、需求查看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授权渠道及仓库；隐藏无关采购或成本信息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供应链分析人员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效率复盘、候选瓶颈、方案比较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授权数据范围内的只读分析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模拟运行管理员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生成、运行、重置、导出报告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独立管理入口；业务账号不能切换或清理运行空间</w:t>
            </w:r>
          </w:p>
        </w:tc>
      </w:tr>
    </w:tbl>
    <w:p>
      <w:pPr>
        <w:spacing w:after="0"/>
      </w:pPr>
    </w:p>
    <w:p>
      <w:r>
        <w:t>现有admin、warehouse、cashier账号先以兼容映射接入。新增岗位权限与数据范围分开定义，不通过增加管理员权限实现业务功能。</w:t>
      </w:r>
    </w:p>
    <w:p>
      <w:pPr>
        <w:pStyle w:val="Heading2"/>
      </w:pPr>
      <w:r>
        <w:t>2.2 关键场景</w:t>
      </w:r>
    </w:p>
    <w:p>
      <w:r>
        <w:t>UC01 采购人员创建采购单并登记承诺交期；模拟供应商延期，系统生成跟进任务；分批到货及质检后更新可用库存。</w:t>
      </w:r>
    </w:p>
    <w:p>
      <w:r>
        <w:t>UC02 模拟渠道生成订单；系统预占、拣货、发货或取消释放；重复与乱序消息不会重复扣减或恢复库存。</w:t>
      </w:r>
    </w:p>
    <w:p>
      <w:r>
        <w:t>UC03 国内仓分批向海外仓调拨；模拟承运商迟到、部分签收与短少，剩余数量保留在途直至有凭据结案。</w:t>
      </w:r>
    </w:p>
    <w:p>
      <w:r>
        <w:t>UC04 仓管创建盘点任务，冻结盘点快照，初盘与复盘后形成差异，另一授权人员审批并入账。</w:t>
      </w:r>
    </w:p>
    <w:p>
      <w:r>
        <w:t>UC05 分析人员查看某期间延期订单，追溯关联采购、到货批次、质检和履约任务，识别阻塞环节并创建改善任务。</w:t>
      </w:r>
    </w:p>
    <w:p>
      <w:r>
        <w:t>UC06 测试人员同时运行多个场景；业务编号可相同，所有数据和处理结果彼此独立；失败场景可按事件清单重放。</w:t>
      </w:r>
    </w:p>
    <w:p>
      <w:pPr>
        <w:pStyle w:val="Heading1"/>
      </w:pPr>
      <w:r>
        <w:t>3 范围与版本分期</w:t>
      </w:r>
    </w:p>
    <w:p>
      <w:pPr>
        <w:pStyle w:val="Heading2"/>
      </w:pPr>
      <w:r>
        <w:t>3.1 能力边界</w:t>
      </w:r>
    </w:p>
    <w:p>
      <w:r>
        <w:t>本次核心范围包括模块整理、基础资料与库存口径、模拟器与隔离、时间事件采集、盘点与异常、销售履约、模拟连接器与对账、采购交期、规则补货、瓶颈复盘及Agent整合。</w:t>
      </w:r>
    </w:p>
    <w:p>
      <w:r>
        <w:t>本次不要求真实平台或海外仓接入、生产上线、自动付款退款、税务及完整财务总账、高级需求预测、复杂路径优化、制造排产和无限制Agent自治执行。首版不支持称重计价、序列号和效期管理；基础单位为整数。成本只做可选业务估算扩展，未知费用不计作零成本。</w:t>
      </w:r>
    </w:p>
    <w:p>
      <w:pPr>
        <w:pStyle w:val="Heading2"/>
      </w:pPr>
      <w:r>
        <w:t>3.2 分期与交付门槛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主要交付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M1 架构与规则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模块边界、配置、库存口径、事件规范、旧接口兼容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既有回归通过；口径与状态转换有测试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M2 模拟与隔离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开发数据、回归集、多种子生成、虚拟时间、独立事实与报告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可重放；并行隔离与防误清理通过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M3 盘点与异常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盘点、复盘、差异审批、凭证去重、任务闭环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并发盘点规则有效；任务可分派与结案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M4 履约与协同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订单、预占、取消、出库、Inbox及Outbox、模拟对账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重复乱序超时重启场景通过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M5 采购与计划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承诺交期、供给计划、分批发出、规则补货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数量有计算依据；供给不重复计入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M6 复盘与Agent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瓶颈分析、方案解释、执行跟踪、整体验收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固定与独立随机验证通过；证据完整</w:t>
            </w:r>
          </w:p>
        </w:tc>
      </w:tr>
    </w:tbl>
    <w:p>
      <w:pPr>
        <w:spacing w:after="0"/>
      </w:pPr>
    </w:p>
    <w:p>
      <w:r>
        <w:t>时间采集从M1建立并随模块实施，不能推迟到M6补录。每阶段须同时交付迁移、测试、操作说明和已知限制。完成M1后依据实际工作包估算人力和工期，不在本文承诺固定交付日期。</w:t>
      </w:r>
    </w:p>
    <w:p>
      <w:pPr>
        <w:pStyle w:val="Heading1"/>
      </w:pPr>
      <w:r>
        <w:t>4 产品结构与系统架构</w:t>
      </w:r>
    </w:p>
    <w:p>
      <w:pPr>
        <w:pStyle w:val="Heading2"/>
      </w:pPr>
      <w:r>
        <w:t>4.1 工作台信息架构</w:t>
      </w:r>
    </w:p>
    <w:p>
      <w:r>
        <w:t>业务入口按工作组织，取消以开发阶段命名的产品结构。导航包括总览、采购、订单履约、库存与盘点、调拨运输、退货质检、异常与对账、计划建议、效率复盘、Agent助手、基础资料及系统管理。</w:t>
      </w:r>
    </w:p>
    <w:p>
      <w:r>
        <w:t>首页区分当前库存、待处理工作和供给需求，禁止把不同基础单位的数量直接相加。待办显示负责人、期限、影响范围和证据入口。全站展示模拟环境标识；运行空间选择仅在模拟管理入口出现，普通业务页面不开放任意数据库切换。</w:t>
      </w:r>
    </w:p>
    <w:p>
      <w:pPr>
        <w:pStyle w:val="Heading2"/>
      </w:pPr>
      <w:r>
        <w:t>4.2 技术和职责边界</w:t>
      </w:r>
    </w:p>
    <w:p>
      <w:r>
        <w:t>采用模块化单体，共用业务代码和关系数据库。API负责身份、请求校验和调用；应用服务组织事务、幂等和权限；领域模块执行状态与数量规则；数据库保存单据、流水、余额、事件和任务。后台Worker负责可靠投递、重试、未知结果查询和对账。</w:t>
      </w:r>
    </w:p>
    <w:p>
      <w:r>
        <w:t>模块按catalog、purchasing、fulfillment、inventory、transfers、quality、reconciliation和planning划分；Agent、integrations、simulator单独组织。保留FastAPI与SQLAlchemy；PostgreSQL作为完整集成验收基准，SQLite保留轻量开发及兼容回归。首版不引入微服务、消息集群或完整事件溯源。</w:t>
      </w:r>
    </w:p>
    <w:p>
      <w:r>
        <w:t>连接器经统一应用服务处理数据，不直接写余额。Agent经白名单工具调用应用服务。分析查询读取投影或快照，不能改变业务事实。模拟器与被测系统之间采用与连接器相同的业务契约；模拟器私有事实不提供给Agent或诊断模块。</w:t>
      </w:r>
    </w:p>
    <w:p>
      <w:pPr>
        <w:pStyle w:val="Heading2"/>
      </w:pPr>
      <w:r>
        <w:t>4.3 配置与部署要求</w:t>
      </w:r>
    </w:p>
    <w:p>
      <w:r>
        <w:t>APP_DATA_DIR、数据库连接、密钥路径、运行空间、时区和运行模式通过统一配置解析；数据路径不随启动工作目录漂移。API与Worker启动时验证环境指纹，不一致则拒绝运行。真实外部写连接默认禁用，模拟事件和虚拟时间不能进入未来真实环境。</w:t>
      </w:r>
    </w:p>
    <w:p>
      <w:pPr>
        <w:pStyle w:val="Heading1"/>
      </w:pPr>
      <w:r>
        <w:t>5 库存与基础资料需求</w:t>
      </w:r>
    </w:p>
    <w:p>
      <w:pPr>
        <w:pStyle w:val="Heading2"/>
      </w:pPr>
      <w:r>
        <w:t>5.1 FR01 资料与经营范围</w:t>
      </w:r>
    </w:p>
    <w:p>
      <w:r>
        <w:t>SKU包括编码、名称、规格、基础单位及启停状态；供应商包括业务编码、供货SKU和默认交期；仓库包括权威来源、时区和用途。外部SKU映射以连接账号与源编码唯一，不通过相同名称直接合并。</w:t>
      </w:r>
    </w:p>
    <w:p>
      <w:r>
        <w:t>建立SKU与仓库经营关系，标识启用、停用及是否参与补货。对无余额的经营组合，只有在完成可信期初或快照确认后才能认定为零；否则显示未知并阻止形成确定补货建议。非经营组合不因无库存被误报缺货。</w:t>
      </w:r>
    </w:p>
    <w:p>
      <w:r>
        <w:t>首版不自动进行箱件换算。后续启用换算必须有版本化换算关系及单据留存；历史数量不得随当前换算配置变化。</w:t>
      </w:r>
    </w:p>
    <w:p>
      <w:pPr>
        <w:pStyle w:val="Heading2"/>
      </w:pPr>
      <w:r>
        <w:t>5.2 FR02 库存口径与唯一记账入口</w:t>
      </w:r>
    </w:p>
    <w:p>
      <w:r>
        <w:t>实物状态包括良品、待验和残次；订单占用、调拨预占、冻结与渠道额度是约束或承诺，不新增实物。未到采购与已发未收调拨属于未来供给，附带预计到货与可信状态，不计为当前可售。</w:t>
      </w:r>
    </w:p>
    <w:p>
      <w:r>
        <w:t>安全库存默认是计划策略。确需禁止动用时形成独立保留约束，不能与安全库存策略重复扣减。外部观察库存保留来源、时间和水位，不无条件覆盖本地余额。</w:t>
      </w:r>
    </w:p>
    <w:p>
      <w:r>
        <w:t>所有库存变更经统一领域入口校验权限、版本、数量与承诺，原子写入单据、流水、余额及Outbox。余额为查询投影，流水为追溯依据；业务调整使用新单据，不原地改写历史流水。</w:t>
      </w:r>
    </w:p>
    <w:p>
      <w:pPr>
        <w:pStyle w:val="Heading2"/>
      </w:pPr>
      <w:r>
        <w:t>5.3 FR03 额度与占用转换</w:t>
      </w:r>
    </w:p>
    <w:p>
      <w:r>
        <w:t>定义渠道可新增承诺额度、订单占用和待撤回额度的互斥状态及转换。渠道订单建立时，匹配额度转为订单占用；取消只释放尚未履约部分，回补额度遵循渠道授权规则。未确认的撤回不能作为本地自由库存使用。</w:t>
      </w:r>
    </w:p>
    <w:p>
      <w:r>
        <w:t>每个转换保留订单行、额度来源和转换ID。验收必须覆盖“100件授权额度中形成30件订单后，不能同时将100件额度与30件订单作为独立占用重复扣除”。旧字段迁移须逐项映射，不允许直接套用新公式重新解释历史值。</w:t>
      </w:r>
    </w:p>
    <w:p>
      <w:pPr>
        <w:pStyle w:val="Heading2"/>
      </w:pPr>
      <w:r>
        <w:t>5.4 FR04 双层幂等</w:t>
      </w:r>
    </w:p>
    <w:p>
      <w:r>
        <w:t>请求层用操作类型、调用者、幂等键和内容指纹识别重试；同键不同内容拒绝。业务层按业务凭证唯一识别重复，即便换请求键也不能再次登记同一笔收货、发货、退货或外部动作。</w:t>
      </w:r>
    </w:p>
    <w:p>
      <w:r>
        <w:t>普通收货补充必填来源账号或来源主体与到货凭证号，明确允许的分批规则。每次真实分批有独立子凭证；相似商品和数量不能作为去重依据。外部事件ID和业务动作ID分别去重，保证传输重复与业务重复均受控。</w:t>
      </w:r>
    </w:p>
    <w:p>
      <w:pPr>
        <w:pStyle w:val="Heading1"/>
      </w:pPr>
      <w:r>
        <w:t>6 采购与履约需求</w:t>
      </w:r>
    </w:p>
    <w:p>
      <w:pPr>
        <w:pStyle w:val="Heading2"/>
      </w:pPr>
      <w:r>
        <w:t>6.1 FR05 采购交期与收货</w:t>
      </w:r>
    </w:p>
    <w:p>
      <w:r>
        <w:t>采购记录供应商、商品行、下单日期、承诺到货日、数量及授权收货仓。承诺日期变更追加历史、原因和操作者，不覆盖原承诺，以便评价原始承诺和最新承诺表现。</w:t>
      </w:r>
    </w:p>
    <w:p>
      <w:r>
        <w:t>按批次记录预计发出、实际发出、预计到达、实际到达及登记时间。采购数量、实收数量、待验数量、已可用数量分别展示；历史实收不因退供应商自动清零，补发通过明确关联的新供给处理。</w:t>
      </w:r>
    </w:p>
    <w:p>
      <w:r>
        <w:t>分批到货不得超过未收数量；超收需走独立授权流程，首版默认拒绝。延期生成唯一异常任务，后续到货更新影响量，避免每日重复创建同一问题。关闭剩余采购量须留原因，并从未来供给中移除。</w:t>
      </w:r>
    </w:p>
    <w:p>
      <w:pPr>
        <w:pStyle w:val="Heading2"/>
      </w:pPr>
      <w:r>
        <w:t>6.2 FR06 订单履约</w:t>
      </w:r>
    </w:p>
    <w:p>
      <w:r>
        <w:t>订单按商户、来源账号和源订单号唯一，订单行关联SKU与数量。状态包括待确认、待分配、已预占、处理中、部分发出、已发出、已完成和已取消；部分取消数量与各履约批次单独记录，不能只靠整单状态计算。</w:t>
      </w:r>
    </w:p>
    <w:p>
      <w:r>
        <w:t>预占失败进入缺货任务，不允许负库存。拣货与复核记录任务进入、开始、完成和数量。出库经授权操作或可信回执确认后扣减实物及相应占用。取消仅作用于未发数量，已发部分进入退货流程；取消与发货竞争时由版本和业务状态保证仅一个合法结果。</w:t>
      </w:r>
    </w:p>
    <w:p>
      <w:r>
        <w:t>首版支持人工分配和显式的固定仓库顺序策略；不宣称已实现最优选仓。实物交接、运输签收和渠道标记完成分别记录，避免平台状态替代实物事实。</w:t>
      </w:r>
    </w:p>
    <w:p>
      <w:pPr>
        <w:pStyle w:val="Heading2"/>
      </w:pPr>
      <w:r>
        <w:t>6.3 FR07 调拨与运输</w:t>
      </w:r>
    </w:p>
    <w:p>
      <w:r>
        <w:t>调拨计划支持分批预占和发出，每批关联承运方、运输方式、运单及预计到达时间；缺失数据标为未知。来源仓发出时扣实物并转在途，目的仓按实际签收分流良品、待验和残次。</w:t>
      </w:r>
    </w:p>
    <w:p>
      <w:r>
        <w:t>在途等于累计发出减累计签收减已审批损失，不把未发数量算在途。发出后不能用取消恢复来源仓实物。短少、破损和拒收有独立处置及凭证，部分差异结案不影响其他在途批次。跨境通关仅预留或模拟里程碑，不声称具有真实申报能力。</w:t>
      </w:r>
    </w:p>
    <w:p>
      <w:pPr>
        <w:pStyle w:val="Heading2"/>
      </w:pPr>
      <w:r>
        <w:t>6.4 FR08 退货与质量</w:t>
      </w:r>
    </w:p>
    <w:p>
      <w:r>
        <w:t>沿用原单关联、累计上限、待验保护和双人审批。增加标准原因码、缺陷分类、责任对象、证据附件引用和处理意见；自由备注作为补充。</w:t>
      </w:r>
    </w:p>
    <w:p>
      <w:r>
        <w:t>退回、等待检验、开始检验、检验完成及后续处置分别记录。质检可分批，未完成部分继续待验。供应商退货、报废和重新上架形成独立动作；首版不自动产生退款、应付或索赔结算。普通质检不得挪用退货专属待验数量。</w:t>
      </w:r>
    </w:p>
    <w:p>
      <w:pPr>
        <w:pStyle w:val="Heading1"/>
      </w:pPr>
      <w:r>
        <w:t>7 盘点与异常闭环需求</w:t>
      </w:r>
    </w:p>
    <w:p>
      <w:pPr>
        <w:pStyle w:val="Heading2"/>
      </w:pPr>
      <w:r>
        <w:t>7.1 FR09 完整盘点</w:t>
      </w:r>
    </w:p>
    <w:p>
      <w:r>
        <w:t>盘点流程为草稿、范围确认、快照、初盘、复盘、差异待审、入账或取消。记录应盘、实盘、差异、原因、证据和盘点人，复盘结果保留历史，不能覆盖初盘。</w:t>
      </w:r>
    </w:p>
    <w:p>
      <w:r>
        <w:t>首版采用按仓库与SKU范围的盘点锁定：开始盘点后受影响组合禁止库存及承诺变更；其他组合可正常作业。API、Worker和Agent共用此限制。锁定需可查看、可取消，服务重启不丢失；取消只释放锁，不调整数量。预留后续“快照加期间流水”模式，首版不混用两种算法。</w:t>
      </w:r>
    </w:p>
    <w:p>
      <w:r>
        <w:t>差异由另一授权人员审批后原子入账、记流水并释放锁。差异若导致已承诺数量无法覆盖，进入冲突处理，不强制扣成负数。不能用通用调整绕过盘点锁。重复提交、并发申请及审批失败不留下半入账状态。</w:t>
      </w:r>
    </w:p>
    <w:p>
      <w:pPr>
        <w:pStyle w:val="Heading2"/>
      </w:pPr>
      <w:r>
        <w:t>7.2 FR10 异常任务</w:t>
      </w:r>
    </w:p>
    <w:p>
      <w:r>
        <w:t>任务包含类型、业务关联、负责人、优先级、影响数量、生成规则版本、计划期限、证据和状态。状态为待分派、处理中、待复核、已关闭；支持有原因的暂停及驳回重开。</w:t>
      </w:r>
    </w:p>
    <w:p>
      <w:r>
        <w:t>同一业务对象、规则和异常实例形成唯一任务，指标变化追加记录。超时本身只触发提醒，不自动认定丢货或人员责任。任务关闭须有处置结果，重大差异要求复核；关闭任务不等于自动修正库存。</w:t>
      </w:r>
    </w:p>
    <w:p>
      <w:r>
        <w:t>原因分类首版包括供货、运输、排队、作业、质量、数据延迟、资料映射、系统和未知。人员归责需业务复核，Agent不能凭耗时给出确定责任结论。</w:t>
      </w:r>
    </w:p>
    <w:p>
      <w:pPr>
        <w:pStyle w:val="Heading1"/>
      </w:pPr>
      <w:r>
        <w:t>8 模拟器与数据隔离需求</w:t>
      </w:r>
    </w:p>
    <w:p>
      <w:pPr>
        <w:pStyle w:val="Heading2"/>
      </w:pPr>
      <w:r>
        <w:t>8.1 FR11 场景与数据生成</w:t>
      </w:r>
    </w:p>
    <w:p>
      <w:r>
        <w:t>场景配置包含生成器版本、场景版本、固定随机种子、起始业务时间、SKU与仓库规模、供应商交期、销量分布、退货率、质检率、工作日历、处理能力及故障策略。配置需验证范围与引用关系，拒绝不可满足且未声明为异常的业务约束。</w:t>
      </w:r>
    </w:p>
    <w:p>
      <w:r>
        <w:t>生成器产生相互关联的主数据、订单、供给、运输和质量事件，不是独立随机表。支持正常经营、供货延期、仓内拥堵、运输异常、销量突增、滞销、退货集中和数据延迟。混合压力场景须能同时包含多个限制因素。</w:t>
      </w:r>
    </w:p>
    <w:p>
      <w:r>
        <w:t>每次运行生成不可变manifest，包含run_id、数据用途、配置及代码版本、种子、数据库指纹、时区、事件清单哈希和输出目录。除时间戳、随机UUID等明确允许字段外，同配置同版本应有相同规范化事件哈希；并发结果不承诺天然逐字一致，重放以实际捕获的投递序列及必要调度信息为准。</w:t>
      </w:r>
    </w:p>
    <w:p>
      <w:pPr>
        <w:pStyle w:val="Heading2"/>
      </w:pPr>
      <w:r>
        <w:t>8.2 FR12 开发集与验证集</w:t>
      </w:r>
    </w:p>
    <w:p>
      <w:r>
        <w:t>开发集用于日常调试和页面演示，可按专用命令重建。固定回归集覆盖已知边界，变更须版本化。独立随机验证集使用独立种子与参数组合，不允许从开发库复制后仅改运行编号。</w:t>
      </w:r>
    </w:p>
    <w:p>
      <w:r>
        <w:t>若独立验证发现失败，应保存为新的固定回归案例，修复后重新生成未使用的独立验证集。报告分别展示开发、回归和独立验证结果，不能混合统计或挑选成功种子。参数分布及覆盖矩阵随报告保存。</w:t>
      </w:r>
    </w:p>
    <w:p>
      <w:pPr>
        <w:pStyle w:val="Heading2"/>
      </w:pPr>
      <w:r>
        <w:t>8.3 FR13 运行空间隔离</w:t>
      </w:r>
    </w:p>
    <w:p>
      <w:r>
        <w:t>SQLite每个运行使用独立文件和目录；PostgreSQL每个运行使用独立schema及限定权限的运行账号，账号不得访问其他运行schema。仅设置search_path或增加run_id过滤不算隔离。业务多商户隔离仍在每个运行内部独立验证，run_id不能替代tenant_id。</w:t>
      </w:r>
    </w:p>
    <w:p>
      <w:r>
        <w:t>API、Worker及模拟器为每个运行绑定独立进程或等效独立运行实例。缓存、限流、会话、幂等记录、时钟、任务、附件、备份与报告均归属该运行。连接池不能跨运行复用；运行账号、路径和任务指纹不一致立即停止，不静默降级到默认库。</w:t>
      </w:r>
    </w:p>
    <w:p>
      <w:r>
        <w:t>控制面登记运行空间和生命周期，不保存各空间的业务明细；普通业务接口不能自行传入数据库或schema名称。生成、重置和销毁只接受控制面已登记的模拟空间，验证环境标记、目标指纹、活动任务与路径边界；不得对未知目录或非模拟数据库执行清理。</w:t>
      </w:r>
    </w:p>
    <w:p>
      <w:r>
        <w:t>验收须让两份数据使用相同商户、SKU、订单号、凭证号和幂等键并行运行；测试交叉读取、写入、投递、重置、失败恢复与清理。验证B的逻辑数据哈希及预期进度不受A影响，并由权限测试确认跨schema访问失败。</w:t>
      </w:r>
    </w:p>
    <w:p>
      <w:pPr>
        <w:pStyle w:val="Heading2"/>
      </w:pPr>
      <w:r>
        <w:t>8.4 FR14 虚拟时间与独立事实</w:t>
      </w:r>
    </w:p>
    <w:p>
      <w:r>
        <w:t>提供业务时钟接口，驱动交期、工作日历、超期和模拟事件；快进跨越事件时按事件时间逐项处理，不直接跳过中间状态。数据库、接口耗时、网络超时和并发测量使用真实单调时钟。认证、令牌和安全过期使用真实时间，不随模拟快进变化。</w:t>
      </w:r>
    </w:p>
    <w:p>
      <w:r>
        <w:t>模拟器私有事实库保存真实发生量、资源能力、事件实际发生时间和已知限制因素，诊断系统无读取权限。测试判定使用独立计算或手工金标准，不调用被测库存计算函数生成预期值。事实文件与业务数据库分别校验，防止同源错误形成假通过。</w:t>
      </w:r>
    </w:p>
    <w:p>
      <w:pPr>
        <w:pStyle w:val="Heading2"/>
      </w:pPr>
      <w:r>
        <w:t>8.5 FR15 故障与重放</w:t>
      </w:r>
    </w:p>
    <w:p>
      <w:r>
        <w:t>支持重复事件、乱序、延迟、丢失后补发、接口限流、断连、超时且外部已成功、进程崩溃及重启。记录逻辑事件ID、业务动作ID、投递尝试、故障位置和顺序。重放需要固定种子、manifest、输入事件及投递轨迹；涉及竞争时保存调度约束或退化为可复现的确定性交错测试。</w:t>
      </w:r>
    </w:p>
    <w:p>
      <w:r>
        <w:t>每个运行独立输出生成校验、业务断言、隔离结果、性能结果、瓶颈诊断对比及失败定位报告。业务失败可以是预期结果；验收检查系统是否正确拒绝、保持状态并生成任务，而不是要求所有业务请求都成功。</w:t>
      </w:r>
    </w:p>
    <w:p>
      <w:pPr>
        <w:pStyle w:val="Heading1"/>
      </w:pPr>
      <w:r>
        <w:t>9 模拟连接器与对账需求</w:t>
      </w:r>
    </w:p>
    <w:p>
      <w:pPr>
        <w:pStyle w:val="Heading2"/>
      </w:pPr>
      <w:r>
        <w:t>9.1 FR16 统一适配器契约</w:t>
      </w:r>
    </w:p>
    <w:p>
      <w:r>
        <w:t>模拟渠道、海外仓及供应商经统一契约提供订单与快照查询、业务事件、执行请求和按我方业务编号查结果。字段包含source_event_id、business_action_id、entity_id、source_version、occurred_at、received_at、来源账号及可空快照水位。真实适配器未来实现同一契约，但必须单独通过真实服务验收。</w:t>
      </w:r>
    </w:p>
    <w:p>
      <w:r>
        <w:t>Inbox先持久化再处理，按运行空间、租户、连接账号和源事件ID去重；同ID不同内容隔离为冲突。业务动作另设唯一约束，源版本或合法状态转换防乱序覆盖。缺少版本的源数据保留不确定状态并查询核实。</w:t>
      </w:r>
    </w:p>
    <w:p>
      <w:pPr>
        <w:pStyle w:val="Heading2"/>
      </w:pPr>
      <w:r>
        <w:t>9.2 FR17 可靠外发与未知结果</w:t>
      </w:r>
    </w:p>
    <w:p>
      <w:r>
        <w:t>Outbox与业务写入同事务提交，Worker按租户、连接账号及业务资源保证必要顺序。使用领取租约、重试次数、退避、死信和人工重试；崩溃后租约可恢复。传输采用至少一次，业务效果依靠幂等控制，不能宣称网络只投递一次。</w:t>
      </w:r>
    </w:p>
    <w:p>
      <w:r>
        <w:t>请求超时进入未知结果，通过原业务编号查询；外部不具备可靠查询与幂等能力时停止自动重建，生成任务。API成功响应与业务完成分开记录。重复收到成功结果只确认原动作，不再次入账。</w:t>
      </w:r>
    </w:p>
    <w:p>
      <w:pPr>
        <w:pStyle w:val="Heading2"/>
      </w:pPr>
      <w:r>
        <w:t>9.3 FR18 快照与差异对账</w:t>
      </w:r>
    </w:p>
    <w:p>
      <w:r>
        <w:t>支持按仓库、SKU和状态比较本地账、外部观察值及在途，展示来源时间、覆盖水位和口径映射。具备可靠水位时只应用未覆盖增量；没有水位时保留两套视图进行差异核查，不叠加快照和全部事件，不强制覆盖余额。</w:t>
      </w:r>
    </w:p>
    <w:p>
      <w:r>
        <w:t>每次对账保留比较时点、输入版本、规则版本及差异数量。差异生成任务，修复需明确动作和凭证。验收包含先快照后迟到出库、先出库后快照及快照缺水位，不能重复扣减，也不能将未知标成已一致。</w:t>
      </w:r>
    </w:p>
    <w:p>
      <w:pPr>
        <w:pStyle w:val="Heading1"/>
      </w:pPr>
      <w:r>
        <w:t>10 事件采集与效率复盘需求</w:t>
      </w:r>
    </w:p>
    <w:p>
      <w:pPr>
        <w:pStyle w:val="Heading2"/>
      </w:pPr>
      <w:r>
        <w:t>10.1 FR19 全流程业务事件</w:t>
      </w:r>
    </w:p>
    <w:p>
      <w:r>
        <w:t>事件以不可变追加记录保存，关联流程实例、单据行、批次、任务、上下游依赖和数量；一个订单可关联多个供给批次，一个供给批次也可服务多个订单。分配关系及解除关系须有历史，禁止只用SKU与相近时间推断因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762"/>
        <w:gridCol w:w="3402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/>
                <w:sz w:val="18"/>
              </w:rPr>
              <w:t>字段组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必需内容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身份与关联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event_id、run_id、tenant_id、流程及业务对象、来源事件和因果关联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跨单据追踪及去重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时间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计划时间、实际发生时间、系统接收时间、登记时间、时区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区分业务延误与补录延迟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生命周期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入队、开始、暂停、恢复、完成或取消，关联数量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分解等待与作业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资源与原因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仓库、供应商、运输批次、资源组、原因码、证据引用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按资源聚合与核实解释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质量与版本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来源、可信等级、缺失标识、规则及日历版本、更正关联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保留分析适用范围</w:t>
            </w:r>
          </w:p>
        </w:tc>
      </w:tr>
    </w:tbl>
    <w:p>
      <w:pPr>
        <w:spacing w:after="0"/>
      </w:pPr>
    </w:p>
    <w:p>
      <w:r>
        <w:t>时间更正追加新事件并关联原记录，保留更正前后的分析版本。系统默认存UTC及源时区，展示按用户设置；同时报告自然时长与需要时的工作时长。源时钟异常进入质量任务，负时长不截成零掩盖问题。</w:t>
      </w:r>
    </w:p>
    <w:p>
      <w:pPr>
        <w:pStyle w:val="Heading2"/>
      </w:pPr>
      <w:r>
        <w:t>10.2 FR20 耗时与业务影响指标</w:t>
      </w:r>
    </w:p>
    <w:p>
      <w:r>
        <w:t>指标包括采购原始承诺及最新承诺准时率、到货至可用时长、质检等待与作业时长、订单确认至发出和完成时长、调拨在途、审批等待、在制数量、吞吐量与返工次数。定义粒度、分母、单位、时区、日历和版本，页面提供口径说明。</w:t>
      </w:r>
    </w:p>
    <w:p>
      <w:r>
        <w:t>按供应商、仓库、SKU、渠道和期间查看中位数、P90及P95；样本不足显示数量与不稳定提示。未完成对象单列当前等待及超期，不能只统计已完成快单；没有分配关系的延误不得计为确定的阻塞订单。</w:t>
      </w:r>
    </w:p>
    <w:p>
      <w:r>
        <w:t>并行环节按依赖关系计算关键路径，分批按实际关联量计算；多个阻塞环节对同一订单的影响须去重，不能相加为“总损失”。缺货、等待检验、运输、额度不可用和数据延迟分别分类。</w:t>
      </w:r>
    </w:p>
    <w:p>
      <w:pPr>
        <w:pStyle w:val="Heading2"/>
      </w:pPr>
      <w:r>
        <w:t>10.3 FR21 瓶颈候选识别与复盘</w:t>
      </w:r>
    </w:p>
    <w:p>
      <w:r>
        <w:t>先检测持续积压、到达与处理速率失衡、等待增长及承诺偏差，再沿依赖关系检查是否实际阻塞履约。输出区分“耗时较长”“疑似瓶颈”“有证据的主要限制环节”和“原因未知”。仅有长耗时或超过统一72小时阈值，不能判定为瓶颈。</w:t>
      </w:r>
    </w:p>
    <w:p>
      <w:r>
        <w:t>每条结论展示分析范围、时间窗、样本量、数据覆盖率、判断规则、关联批次及订单、影响数量、关键路径证据和缺失数据。排序依据透明展示，首版以影响订单、超期和积压证据排序，不输出未经校准的概率分数。</w:t>
      </w:r>
    </w:p>
    <w:p>
      <w:r>
        <w:t>支持查看单笔时间线、按环节钻取、建立改善任务和前后对比。在模拟环境可复制场景，仅改变单个环节处理能力或交期，多种子配对比较端到端结果；改善一个环节后若瓶颈迁移须显示。该对照仅证明模拟条件内的影响，不能自动推论真实经营因果。</w:t>
      </w:r>
    </w:p>
    <w:p>
      <w:pPr>
        <w:pStyle w:val="Heading2"/>
      </w:pPr>
      <w:r>
        <w:t>10.4 金标准示例</w:t>
      </w:r>
    </w:p>
    <w:p>
      <w:r>
        <w:t>场景A中，运输按计划5天完成；到货后质检排队2天、检验作业1小时，订单等待可用库存后发出。系统应指出质检等待阻塞履约，不能因运输用时最长就认定运输为瓶颈。</w:t>
      </w:r>
    </w:p>
    <w:p>
      <w:r>
        <w:t>场景B中，实物按时签收，2天后补录；具备可信实际发生时间时，系统应指出数据登记延迟，不计为运输延误。缺少实际时间时只能显示运输或登记原因待核实。</w:t>
      </w:r>
    </w:p>
    <w:p>
      <w:r>
        <w:t>场景C中，订单有两条并行依赖且分批到货；诊断须按依赖、数量和时间窗识别影响，不能累计重复阻塞时长，也不能将未分配的迟到采购归因给该订单。</w:t>
      </w:r>
    </w:p>
    <w:p>
      <w:pPr>
        <w:pStyle w:val="Heading1"/>
      </w:pPr>
      <w:r>
        <w:t>11 计划建议与Agent需求</w:t>
      </w:r>
    </w:p>
    <w:p>
      <w:pPr>
        <w:pStyle w:val="Heading2"/>
      </w:pPr>
      <w:r>
        <w:t>11.1 FR22 规则补货</w:t>
      </w:r>
    </w:p>
    <w:p>
      <w:r>
        <w:t>为SKU与仓库配置需求窗口、覆盖周期、安全库存策略、供应商提前期、最小采购量及可选包装倍数。先使用场景产生且可追溯的历史需求；冷启动、缺失或异常数据明确提示，禁止用零填充未知需求。</w:t>
      </w:r>
    </w:p>
    <w:p>
      <w:r>
        <w:t>建议净补量为覆盖期预计需求加目标安全量，减可承接该范围需求的库存及可信且及时的供给，取不小于零并按采购约束调整。若所用需求已包含未履约订单，不再重复加订单；若库存已扣相应订单占用，则需求范围同步调整。计算明细必须展示需求与库存承诺的对应关系。</w:t>
      </w:r>
    </w:p>
    <w:p>
      <w:r>
        <w:t>采购和调拨供给通过唯一供给行及运输批次衔接，发出后从未发计划移至在途，不在两边同时计入；逾期或结果未知的供给单列风险。方案保存输入快照、规则版本、建议量、预计到达、条件及用户修改。</w:t>
      </w:r>
    </w:p>
    <w:p>
      <w:pPr>
        <w:pStyle w:val="Heading2"/>
      </w:pPr>
      <w:r>
        <w:t>11.2 FR23 受控Agent</w:t>
      </w:r>
    </w:p>
    <w:p>
      <w:r>
        <w:t>Agent工具仅开放授权查询、异常解释、规则计算和生成待确认方案；不开放SQL、任意脚本、直接改余额、自动审批及运行空间管理。数值来自确定性工具，解释标明模拟数据和数据时点。</w:t>
      </w:r>
    </w:p>
    <w:p>
      <w:r>
        <w:t>写操作沿用不可变方案、有效期、创建者确认、权限与库存版本复查、双人审批和原子审计。批量建议逐行核对；错误或歧义要求补充，不能猜测商品、仓库、数量或责任人。</w:t>
      </w:r>
    </w:p>
    <w:p>
      <w:r>
        <w:t>无密钥时提供相同业务能力的表单与规则入口。模型模拟响应验证参数与权限边界；真实模型准确率、延迟与费用待将来单独验收。查询对话、操作审计和复盘报告分别管理，不把页面短期对话当持久化证据。</w:t>
      </w:r>
    </w:p>
    <w:p>
      <w:pPr>
        <w:pStyle w:val="Heading1"/>
      </w:pPr>
      <w:r>
        <w:t>12 数据模型与状态管理</w:t>
      </w:r>
    </w:p>
    <w:p>
      <w:pPr>
        <w:pStyle w:val="Heading2"/>
      </w:pPr>
      <w:r>
        <w:t>12.1 主要对象</w:t>
      </w:r>
    </w:p>
    <w:p>
      <w:r>
        <w:t>保留商品、仓库、用户、余额、流水、采购、调拨、退货、审批和Agent方案，按新职责迁移。新增供应商、经营范围、外部映射、销售订单及履约批次、供给计划、盘点、异常任务、业务事件、流程依赖、规则版本、Inbox、外发尝试、对账批次及分析快照。</w:t>
      </w:r>
    </w:p>
    <w:p>
      <w:r>
        <w:t>模拟控制面另有运行登记、配置与生命周期；每个运行私有事实、投递轨迹和报告独立保存。分析快照注明数据截止时间、算法及规则版本，业务发生更正后生成新快照，历史报告可追溯但不悄然改写。</w:t>
      </w:r>
    </w:p>
    <w:p>
      <w:pPr>
        <w:pStyle w:val="Heading2"/>
      </w:pPr>
      <w:r>
        <w:t>12.2 一致性与状态转换</w:t>
      </w:r>
    </w:p>
    <w:p>
      <w:r>
        <w:t>核心不变量包括实物非负、承诺不超授权可用、累计收货不超授权采购、累计退货不超原履约、在途守恒、待验专属数量不被挪用、盘点锁不被绕过、重复业务仅生效一次及跨商户访问失败。</w:t>
      </w:r>
    </w:p>
    <w:p>
      <w:r>
        <w:t>状态机明确合法动作、前置条件、数量、角色、版本冲突和撤销方式。订单、采购、调拨和任务不得仅通过通用“设置状态”接口修改。数据库约束与应用校验共同执行；事务失败不能只保留业务单据而漏掉流水或审计。</w:t>
      </w:r>
    </w:p>
    <w:p>
      <w:r>
        <w:t>首版保持较粗事务锁以优先保证正确性；针对并发瓶颈优化前先有测量和竞争测试，不能为提高吞吐放弃数量约束。</w:t>
      </w:r>
    </w:p>
    <w:p>
      <w:pPr>
        <w:pStyle w:val="Heading1"/>
      </w:pPr>
      <w:r>
        <w:t>13 验收场景与质量门槛</w:t>
      </w:r>
    </w:p>
    <w:p>
      <w:pPr>
        <w:pStyle w:val="Heading2"/>
      </w:pPr>
      <w:r>
        <w:t>13.1 固定场景矩阵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2948"/>
        <w:gridCol w:w="5783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必须验证的结果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AT01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正常采购到退货全流程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单据关联完整；数量守恒；最终余额符合独立预期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AT02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供货延期与分批实收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原承诺可追溯；供给更新；任务不重复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AT03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订单取消与发货竞争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仅未发量可取消；无重复扣减或释放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AT04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分批调拨及短少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在途守恒；差异审批；剩余量继续可处理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AT05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并发盘点与业务写入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范围内阻止变更；范围外不受影响；审批原子入账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AT06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重复乱序及未知结果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事件与业务两层去重；原编号查结果；不盲目重建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AT07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快照与迟到事件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有水位正确覆盖；无水位保留未知且不重复应用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AT08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多数据集并行隔离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相同业务编号独立；跨库拒绝；重置不影响其他空间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AT09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崩溃与恢复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租约恢复；已提交不重做；未提交无半成品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AT10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质检或拣货能力不足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识别积压及受阻订单；证据可钻取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AT11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长运输及补录延迟对照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不把正常长运输或补录误判为确定瓶颈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AT12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并行依赖及混合瓶颈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影响去重；识别多个候选及瓶颈迁移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AT13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补货及供给转换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不双计订单、额度、采购与在途；未知明确提示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AT14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Agent越权及歧义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无越权读取或执行；人工确认与审批有效</w:t>
            </w:r>
          </w:p>
        </w:tc>
      </w:tr>
    </w:tbl>
    <w:p>
      <w:pPr>
        <w:spacing w:after="0"/>
      </w:pPr>
    </w:p>
    <w:p>
      <w:pPr>
        <w:pStyle w:val="Heading2"/>
      </w:pPr>
      <w:r>
        <w:t>13.2 建议验收门槛</w:t>
      </w:r>
    </w:p>
    <w:p>
      <w:r>
        <w:t>以下数量及性能目标是本PRD提出的工程门槛，待M1评审确认，尚不是实测结果。每次合并运行固定场景和不少于10组随机种子；阶段交付运行不少于100组额外种子并覆盖场景参数矩阵；版本验收累计不少于1000组，包含正常、异常和混合条件。种子数量不能替代边界覆盖。</w:t>
      </w:r>
    </w:p>
    <w:p>
      <w:r>
        <w:t>全部库存不变量、越权、隔离和业务重复断言必须通过；任一污染、重复记账、数据丢失或无权限写入均阻断交付。固定瓶颈金标准必须全部正确，含原因未知和不应判定瓶颈的案例。随机样本按有真值的限制因素比较，输出漏检、误报、影响量误差和未知比例，不能只报告总体准确率。</w:t>
      </w:r>
    </w:p>
    <w:p>
      <w:r>
        <w:t>对真实模型不设虚假已达成指标。对单条模拟链路故障必须定位到run_id、事件和业务对象；不能仅给出“请求失败”。报告公开失败种子与尚未覆盖条件，失败后清理前保存必要证据。</w:t>
      </w:r>
    </w:p>
    <w:p>
      <w:pPr>
        <w:pStyle w:val="Heading2"/>
      </w:pPr>
      <w:r>
        <w:t>13.3 规模与性能验收</w:t>
      </w:r>
    </w:p>
    <w:p>
      <w:r>
        <w:t>规划三档标准场景：小型100个SKU与2仓、中型1000个SKU与5仓、大型10000个SKU与10仓。订单规模分别为1000、10000和100000笔，按配置生成经营关系与稀疏余额，不默认构造全部SKU仓组合。</w:t>
      </w:r>
    </w:p>
    <w:p>
      <w:r>
        <w:t>M1确定可用测试机器、CPU、内存、数据库、数据分布、并发和时间预算。建议中型场景下常用分页查询P95不超过2秒，单项业务写入P95不超过3秒；长报表异步执行并展示进度。模型与模拟快进耗时单列，不计入数据库接口目标。资源不足时明确缩小验收档位，不能把未跑场景标为通过。</w:t>
      </w:r>
    </w:p>
    <w:p>
      <w:r>
        <w:t>大结果集使用分页、聚合及异步导出，不能以超过1000条直接拒绝全局异常检查。性能报告同时展示失败率、吞吐、积压及资源用量，跨运行容量竞争与数据污染分别判断。</w:t>
      </w:r>
    </w:p>
    <w:p>
      <w:pPr>
        <w:pStyle w:val="Heading1"/>
      </w:pPr>
      <w:r>
        <w:t>14 安全运维与迁移要求</w:t>
      </w:r>
    </w:p>
    <w:p>
      <w:pPr>
        <w:pStyle w:val="Heading2"/>
      </w:pPr>
      <w:r>
        <w:t>14.1 安全和可观测性</w:t>
      </w:r>
    </w:p>
    <w:p>
      <w:r>
        <w:t>保留登录、CSRF、租户与仓库权限、权限撤销及事务内复查。API与Worker共享持久化限流或并发控制，单进程内存门控仅可用于明确的开发模式。日志贯穿request_id、run_id、业务对象、事件、尝试和结果；不记录密钥、完整敏感问题或未授权明细。</w:t>
      </w:r>
    </w:p>
    <w:p>
      <w:r>
        <w:t>模拟生成的账号凭据仅在本机安全文件或专用秘密存储管理，不能提交版本库。报告默认使用模拟标识，导出也受运行空间和角色权限约束。业务事实更正、规则变更、任务关闭和数据清理均有审计。</w:t>
      </w:r>
    </w:p>
    <w:p>
      <w:pPr>
        <w:pStyle w:val="Heading2"/>
      </w:pPr>
      <w:r>
        <w:t>14.2 兼容迁移与恢复</w:t>
      </w:r>
    </w:p>
    <w:p>
      <w:r>
        <w:t>先记录v0.4.1回归结果和数据库快照，再逐模块迁移；不修改已应用的历史迁移。保留旧接口兼容层，在新旧口径有明确映射后迁移客户端。历史缺少实际时间、供给关联和阶段事件时标记不可分析，不根据登记时间伪造完整流程。</w:t>
      </w:r>
    </w:p>
    <w:p>
      <w:r>
        <w:t>升级验证对比单据数、余额、流水守恒及授权；状态和数量迁移采用确定映射并生成差异报告。恢复必须覆盖数据库、附件、事件、任务及对应运行manifest。回退需使用经验证的备份或兼容程序，不承诺所有数据库变更均可自动降级。</w:t>
      </w:r>
    </w:p>
    <w:p>
      <w:pPr>
        <w:pStyle w:val="Heading2"/>
      </w:pPr>
      <w:r>
        <w:t>14.3 阶段交付物</w:t>
      </w:r>
    </w:p>
    <w:p>
      <w:r>
        <w:t>每阶段交付代码与迁移、需求到测试映射、固定场景配置、额外数据生成清单、自动报告、操作说明及限制。数据、凭据、数据库和大体积模拟报告默认不提交源码仓库；提交脱敏配置、生成脚本和可核查的汇总结果。GitHub上传与发布沿用独立任务安排。</w:t>
      </w:r>
    </w:p>
    <w:p>
      <w:pPr>
        <w:pStyle w:val="Heading1"/>
      </w:pPr>
      <w:r>
        <w:t>15 风险决策与需求追踪</w:t>
      </w:r>
    </w:p>
    <w:p>
      <w:pPr>
        <w:pStyle w:val="Heading2"/>
      </w:pPr>
      <w:r>
        <w:t>15.1 主要风险及处理</w:t>
      </w:r>
    </w:p>
    <w:p>
      <w:r>
        <w:t>R1 模拟世界过于简单。使用多种经营分布、组合故障、独立事实和边界案例；保留真实接入及经营验证为未来门槛。</w:t>
      </w:r>
    </w:p>
    <w:p>
      <w:r>
        <w:t>R2 为追求模块拆分重写全部业务。采用兼容层逐步抽取，每阶段要求旧回归与新场景同时通过。</w:t>
      </w:r>
    </w:p>
    <w:p>
      <w:r>
        <w:t>R3 指标把补录和并行等待误当瓶颈。区分时间来源、依赖和样本完整性，缺证据时输出未知，以对照场景验证。</w:t>
      </w:r>
    </w:p>
    <w:p>
      <w:r>
        <w:t>R4 数据隔离只靠命名。使用独立存储、限定权限和运行实例，跨空间读写及误清理测试作为阻断项。</w:t>
      </w:r>
    </w:p>
    <w:p>
      <w:r>
        <w:t>R5 补货双计和自动化误执行。明确需求口径与供给转换，工具确定计算，用户确认和审批保留。</w:t>
      </w:r>
    </w:p>
    <w:p>
      <w:r>
        <w:t>R6 测试场景量超出资源。记录机器与档位，分层运行，不以未运行代替通过；没有资源基线不承诺吞吐。</w:t>
      </w:r>
    </w:p>
    <w:p>
      <w:pPr>
        <w:pStyle w:val="Heading2"/>
      </w:pPr>
      <w:r>
        <w:t>15.2 需求与阶段对应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主要需求编号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0"/>
          </w:tcPr>
          <w:p>
            <w:pPr>
              <w:keepNext w:val="0"/>
              <w:spacing w:after="20" w:before="20" w:line="269" w:lineRule="auto"/>
            </w:pPr>
            <w:r>
              <w:rPr>
                <w:b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FR01至FR04及FR19规范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口径、幂等、时间、兼容迁移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FR11至FR15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多份生成、隔离、时钟、重放、独立判定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FR08完善、FR09至FR10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盘点、质检、异常任务及证据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FR06、FR16至FR18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履约、消息可靠性、未知结果与对账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FR05、FR07完善、FR22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交期、分批运输、补货规则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  <w:jc w:val="center"/>
            </w:pPr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FR19覆盖、FR20至FR21、FR23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18"/>
              </w:rPr>
              <w:t>流程复盘、瓶颈识别、Agent及全量验收</w:t>
            </w:r>
          </w:p>
        </w:tc>
      </w:tr>
    </w:tbl>
    <w:p>
      <w:pPr>
        <w:spacing w:after="0"/>
      </w:pPr>
    </w:p>
    <w:p>
      <w:pPr>
        <w:pStyle w:val="Heading2"/>
      </w:pPr>
      <w:r>
        <w:t>15.3 评审待确认事项</w:t>
      </w:r>
    </w:p>
    <w:p>
      <w:r>
        <w:t>已确认采用模拟数据、多份独立测试数据且不得污染、渐进重构及无密钥前置条件。待评审的是岗位权限细节、盘点锁定策略、业务工作日历、经营参数范围、测试机器与性能门槛、种子执行预算及阶段负责人。未确认参数采用显式可配置方案，不将示例值写成行业标准。</w:t>
      </w:r>
    </w:p>
    <w:p>
      <w:r>
        <w:t>需求变更需记录版本、变更项、影响模块和需补跑场景。扩大到真实连接、称重效期、多货主或自动外部执行时，应另行评审数据、口径与风险，不能仅开启配置宣称验收完成。</w:t>
      </w:r>
    </w:p>
    <w:p>
      <w:pPr>
        <w:pStyle w:val="Heading1"/>
      </w:pPr>
      <w:r>
        <w:t>附录 术语与参考基线</w:t>
      </w:r>
    </w:p>
    <w:p>
      <w:r>
        <w:t>幂等指同一业务操作被重复请求时只产生一次业务效果；Inbox是接收外部事件的持久化记录，Outbox是随业务事务提交的待发送记录；运行空间是数据库、进程和文件共同组成的独立模拟环境；独立事实是模拟器私有且不被诊断模块读取的判定依据；瓶颈是特定范围和期间内实际限制整体流动或履约的环节，不等同于绝对耗时最长的环节。</w:t>
      </w:r>
    </w:p>
    <w:p>
      <w:r>
        <w:t>参考基线为本项目README、第四阶段1至3项及4至5项交付说明、第三阶段4至6项交付说明、连接器接入契约、现有库存与采购调拨Agent代码，以及2026年10月15日本次需求讨论。既有修改建议仅作为参考，其中真实数据和真实模型联调相关建议不构成本轮开发前置条件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PRD v2.0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93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93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93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24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93" w:lineRule="auto" w:after="100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跨境电商供应链管理Agent助手大版本更新产品需求文档</dc:title>
  <dc:subject>模拟供应链业务闭环与效率瓶颈诊断</dc:subject>
  <dc:creator>项目组</dc:creator>
  <cp:keywords>PRD v2.0 模拟数据隔离 供应链 瓶颈诊断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