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7933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TERM SHEET – RONDA SEED</w:t>
      </w:r>
    </w:p>
    <w:p w14:paraId="71658160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NEXLIFY PLATFORM</w:t>
      </w:r>
    </w:p>
    <w:p w14:paraId="5E2136A3" w14:textId="77777777" w:rsidR="00490AA8" w:rsidRPr="00490AA8" w:rsidRDefault="00E17717" w:rsidP="00490AA8">
      <w:pPr>
        <w:spacing w:after="0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E17717">
        <w:rPr>
          <w:rFonts w:eastAsia="Times New Roman" w:cs="Times New Roman"/>
          <w:noProof/>
          <w:kern w:val="0"/>
          <w:lang w:eastAsia="es-ES_tradnl"/>
        </w:rPr>
        <w:pict w14:anchorId="6EEF7067"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14:paraId="3B39E14F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1. Emisor</w:t>
      </w:r>
    </w:p>
    <w:p w14:paraId="3685623A" w14:textId="2A6100F9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Sociedad: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es-ES_tradnl"/>
          <w14:ligatures w14:val="none"/>
        </w:rPr>
        <w:t>Pendiente de registro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</w:t>
      </w:r>
      <w:r w:rsidRPr="00490AA8">
        <w:rPr>
          <w:rFonts w:eastAsia="Times New Roman" w:cs="Times New Roman"/>
          <w:i/>
          <w:iCs/>
          <w:kern w:val="0"/>
          <w:lang w:eastAsia="es-ES_tradnl"/>
          <w14:ligatures w14:val="none"/>
        </w:rPr>
        <w:t>(o SPV designado)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br/>
      </w: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Jurisdicción: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España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br/>
      </w: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Marco legal aplicable:</w:t>
      </w:r>
    </w:p>
    <w:p w14:paraId="36160C55" w14:textId="77777777" w:rsidR="00490AA8" w:rsidRPr="00490AA8" w:rsidRDefault="00490AA8" w:rsidP="00490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Real Decreto Legislativo 4/2015 (Ley del Mercado de Valores)</w:t>
      </w:r>
    </w:p>
    <w:p w14:paraId="06E3FABD" w14:textId="77777777" w:rsidR="00490AA8" w:rsidRPr="00490AA8" w:rsidRDefault="00490AA8" w:rsidP="00490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Directiva 2014/65/UE (MiFID II)</w:t>
      </w:r>
    </w:p>
    <w:p w14:paraId="7316E0AD" w14:textId="77777777" w:rsidR="00490AA8" w:rsidRPr="00490AA8" w:rsidRDefault="00490AA8" w:rsidP="00490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Reglamento (UE) 2017/1129 (Reglamento de Folletos)</w:t>
      </w:r>
    </w:p>
    <w:p w14:paraId="4FB639A5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La operación se estructura como </w:t>
      </w: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colocación privada dirigida exclusivamente a inversores cualificados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, acogida a las exenciones legales aplicables, </w:t>
      </w: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sin oferta pública y sin folleto informativo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>.</w:t>
      </w:r>
    </w:p>
    <w:p w14:paraId="1CCE3EE4" w14:textId="77777777" w:rsidR="00490AA8" w:rsidRPr="00490AA8" w:rsidRDefault="00E17717" w:rsidP="00490AA8">
      <w:pPr>
        <w:spacing w:after="0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E17717">
        <w:rPr>
          <w:rFonts w:eastAsia="Times New Roman" w:cs="Times New Roman"/>
          <w:noProof/>
          <w:kern w:val="0"/>
          <w:lang w:eastAsia="es-ES_tradnl"/>
        </w:rPr>
        <w:pict w14:anchorId="19ABC5C9"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14:paraId="2F4F8367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2. Tipo de operación</w:t>
      </w:r>
    </w:p>
    <w:p w14:paraId="1870C057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Ronda: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Serie Seed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br/>
      </w: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Modalidad: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Inversión privada mediante </w:t>
      </w: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Contrato Privado de Inversión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>, con representación digital mediante token de registro (no negociable).</w:t>
      </w:r>
    </w:p>
    <w:p w14:paraId="388F8CBE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El token </w:t>
      </w: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no constituye por sí mismo un valor negociable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>, y no confiere derechos económicos autónomos fuera del contrato privado.</w:t>
      </w:r>
    </w:p>
    <w:p w14:paraId="76172545" w14:textId="77777777" w:rsidR="00490AA8" w:rsidRPr="00490AA8" w:rsidRDefault="00E17717" w:rsidP="00490AA8">
      <w:pPr>
        <w:spacing w:after="0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E17717">
        <w:rPr>
          <w:rFonts w:eastAsia="Times New Roman" w:cs="Times New Roman"/>
          <w:noProof/>
          <w:kern w:val="0"/>
          <w:lang w:eastAsia="es-ES_tradnl"/>
        </w:rPr>
        <w:pict w14:anchorId="0987A901"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14:paraId="70FDB682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3. Importe y valoración</w:t>
      </w:r>
    </w:p>
    <w:p w14:paraId="504F8F63" w14:textId="77777777" w:rsidR="00490AA8" w:rsidRPr="00490AA8" w:rsidRDefault="00490AA8" w:rsidP="00490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Objetivo de captación: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2.500.000 EUR</w:t>
      </w:r>
    </w:p>
    <w:p w14:paraId="173CB40A" w14:textId="77777777" w:rsidR="00490AA8" w:rsidRPr="00490AA8" w:rsidRDefault="00490AA8" w:rsidP="00490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Valoración pre-money: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12.000.000 EUR</w:t>
      </w:r>
    </w:p>
    <w:p w14:paraId="0ED3ACC4" w14:textId="77777777" w:rsidR="00490AA8" w:rsidRPr="00490AA8" w:rsidRDefault="00490AA8" w:rsidP="00490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Valoración post-money: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14.500.000 EUR</w:t>
      </w:r>
    </w:p>
    <w:p w14:paraId="69979977" w14:textId="77777777" w:rsidR="00490AA8" w:rsidRPr="00490AA8" w:rsidRDefault="00490AA8" w:rsidP="00490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Participación estimada inversores: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~17 % post-money</w:t>
      </w:r>
    </w:p>
    <w:p w14:paraId="77E76842" w14:textId="77777777" w:rsidR="00490AA8" w:rsidRPr="00490AA8" w:rsidRDefault="00490AA8" w:rsidP="00490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Ticket mínimo por inversor: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100.000 EUR</w:t>
      </w:r>
    </w:p>
    <w:p w14:paraId="039799C0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Los importes y porcentajes son </w:t>
      </w: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indicativos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y estarán sujetos a la documentación definitiva.</w:t>
      </w:r>
    </w:p>
    <w:p w14:paraId="69F21245" w14:textId="77777777" w:rsidR="00490AA8" w:rsidRPr="00490AA8" w:rsidRDefault="00E17717" w:rsidP="00490AA8">
      <w:pPr>
        <w:spacing w:after="0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E17717">
        <w:rPr>
          <w:rFonts w:eastAsia="Times New Roman" w:cs="Times New Roman"/>
          <w:noProof/>
          <w:kern w:val="0"/>
          <w:lang w:eastAsia="es-ES_tradnl"/>
        </w:rPr>
        <w:pict w14:anchorId="3A88690E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06B3D1C3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lastRenderedPageBreak/>
        <w:t>4. Instrumento de inversión</w:t>
      </w:r>
    </w:p>
    <w:p w14:paraId="3B82E082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4.1 Naturaleza</w:t>
      </w:r>
    </w:p>
    <w:p w14:paraId="26EBBDAF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Nota de Inversión Privada Convertible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>, con derechos económicos definidos contractualmente.</w:t>
      </w:r>
    </w:p>
    <w:p w14:paraId="3CD8AFFA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La inversión:</w:t>
      </w:r>
    </w:p>
    <w:p w14:paraId="5FE3D5A5" w14:textId="77777777" w:rsidR="00490AA8" w:rsidRPr="00490AA8" w:rsidRDefault="00490AA8" w:rsidP="00490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No es una oferta pública</w:t>
      </w:r>
    </w:p>
    <w:p w14:paraId="42881440" w14:textId="77777777" w:rsidR="00490AA8" w:rsidRPr="00490AA8" w:rsidRDefault="00490AA8" w:rsidP="00490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No es accesible a inversores minoristas</w:t>
      </w:r>
    </w:p>
    <w:p w14:paraId="797DB802" w14:textId="77777777" w:rsidR="00490AA8" w:rsidRPr="00490AA8" w:rsidRDefault="00490AA8" w:rsidP="00490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No es transferible libremente</w:t>
      </w:r>
    </w:p>
    <w:p w14:paraId="67091FFB" w14:textId="77777777" w:rsidR="00490AA8" w:rsidRPr="00490AA8" w:rsidRDefault="00E17717" w:rsidP="00490AA8">
      <w:pPr>
        <w:spacing w:after="0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E17717">
        <w:rPr>
          <w:rFonts w:eastAsia="Times New Roman" w:cs="Times New Roman"/>
          <w:noProof/>
          <w:kern w:val="0"/>
          <w:lang w:eastAsia="es-ES_tradnl"/>
        </w:rPr>
        <w:pict w14:anchorId="5A0B74AB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641CD8BE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4.2 Conversión a equity</w:t>
      </w:r>
    </w:p>
    <w:p w14:paraId="41B3D4D4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La nota será </w:t>
      </w: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convertible en participaciones sociales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en la siguiente ronda de financiación cualificada (Serie A o equivalente), bajo los siguientes términos:</w:t>
      </w:r>
    </w:p>
    <w:p w14:paraId="2AF8A0C2" w14:textId="77777777" w:rsidR="00490AA8" w:rsidRPr="00490AA8" w:rsidRDefault="00490AA8" w:rsidP="00490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Descuento de conversión: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20 %</w:t>
      </w:r>
    </w:p>
    <w:p w14:paraId="1F3C00DB" w14:textId="77777777" w:rsidR="00490AA8" w:rsidRPr="00490AA8" w:rsidRDefault="00490AA8" w:rsidP="00490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Valuation Cap: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25.000.000 EUR</w:t>
      </w:r>
    </w:p>
    <w:p w14:paraId="5BF984E2" w14:textId="77777777" w:rsidR="00490AA8" w:rsidRPr="00490AA8" w:rsidRDefault="00490AA8" w:rsidP="00490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Conversión automática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en ronda cualificada ≥ 5.000.000 EUR</w:t>
      </w:r>
    </w:p>
    <w:p w14:paraId="0E6BBC34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En ausencia de ronda cualificada antes de 36 meses, el inversor podrá optar por:</w:t>
      </w:r>
    </w:p>
    <w:p w14:paraId="561FD228" w14:textId="77777777" w:rsidR="00490AA8" w:rsidRPr="00490AA8" w:rsidRDefault="00490AA8" w:rsidP="00490A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Conversión voluntaria</w:t>
      </w:r>
    </w:p>
    <w:p w14:paraId="1DCE3C5F" w14:textId="77777777" w:rsidR="00490AA8" w:rsidRPr="00490AA8" w:rsidRDefault="00490AA8" w:rsidP="00490A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Reembolso condicionado</w:t>
      </w:r>
    </w:p>
    <w:p w14:paraId="0BEEDB50" w14:textId="77777777" w:rsidR="00490AA8" w:rsidRPr="00490AA8" w:rsidRDefault="00490AA8" w:rsidP="00490A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Mantenimiento del instrumento (según contrato final)</w:t>
      </w:r>
    </w:p>
    <w:p w14:paraId="65603486" w14:textId="77777777" w:rsidR="00490AA8" w:rsidRPr="00490AA8" w:rsidRDefault="00E17717" w:rsidP="00490AA8">
      <w:pPr>
        <w:spacing w:after="0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E17717">
        <w:rPr>
          <w:rFonts w:eastAsia="Times New Roman" w:cs="Times New Roman"/>
          <w:noProof/>
          <w:kern w:val="0"/>
          <w:lang w:eastAsia="es-ES_tradnl"/>
        </w:rPr>
        <w:pict w14:anchorId="0EC43496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36CBD5D1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5. Revenue Kicker (Derecho económico adicional)</w:t>
      </w:r>
    </w:p>
    <w:p w14:paraId="44D6844C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Además de la conversión, los inversores tendrán derecho a un </w:t>
      </w: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derecho económico limitado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vinculado a los ingresos de suscripción de la plataforma.</w:t>
      </w:r>
    </w:p>
    <w:p w14:paraId="749E3B7C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5.1 Definición</w:t>
      </w:r>
    </w:p>
    <w:p w14:paraId="755D091E" w14:textId="77777777" w:rsidR="00490AA8" w:rsidRPr="00490AA8" w:rsidRDefault="00490AA8" w:rsidP="00490A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Base: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Ingresos netos efectivamente cobrados por suscripciones SaaS</w:t>
      </w:r>
    </w:p>
    <w:p w14:paraId="0D33B485" w14:textId="77777777" w:rsidR="00490AA8" w:rsidRPr="00490AA8" w:rsidRDefault="00490AA8" w:rsidP="00490A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Deducciones: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IVA, refunds, chargebacks, comisiones de pago, impagos</w:t>
      </w:r>
    </w:p>
    <w:p w14:paraId="13A10618" w14:textId="77777777" w:rsidR="00490AA8" w:rsidRPr="00490AA8" w:rsidRDefault="00490AA8" w:rsidP="00490A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Porcentaje agregado: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definido en contrato (ej. hasta 10–15 % agregado para la ronda)</w:t>
      </w:r>
    </w:p>
    <w:p w14:paraId="23738DE7" w14:textId="77777777" w:rsidR="00490AA8" w:rsidRPr="00490AA8" w:rsidRDefault="00490AA8" w:rsidP="00490A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Carácter: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temporal y limitado</w:t>
      </w:r>
    </w:p>
    <w:p w14:paraId="4EE7D79D" w14:textId="77777777" w:rsidR="00490AA8" w:rsidRDefault="00490AA8">
      <w:pPr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br w:type="page"/>
      </w:r>
    </w:p>
    <w:p w14:paraId="23179FD3" w14:textId="666F1790" w:rsidR="00490AA8" w:rsidRPr="00490AA8" w:rsidRDefault="00490AA8" w:rsidP="00490A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lastRenderedPageBreak/>
        <w:t>5.2 Límite (Cap)</w:t>
      </w:r>
    </w:p>
    <w:p w14:paraId="5C5B3160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El derecho económico:</w:t>
      </w:r>
    </w:p>
    <w:p w14:paraId="318213E8" w14:textId="77777777" w:rsidR="00490AA8" w:rsidRPr="00490AA8" w:rsidRDefault="00490AA8" w:rsidP="00490A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Cesará automáticamente cuando el inversor haya recibido un importe equivalente a </w:t>
      </w: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1,5x – 2x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del capital invertido (a definir en contrato)</w:t>
      </w:r>
    </w:p>
    <w:p w14:paraId="66427190" w14:textId="77777777" w:rsidR="00490AA8" w:rsidRPr="00490AA8" w:rsidRDefault="00490AA8" w:rsidP="00490A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No tendrá carácter perpetuo</w:t>
      </w:r>
    </w:p>
    <w:p w14:paraId="1E0B89B1" w14:textId="77777777" w:rsidR="00490AA8" w:rsidRPr="00490AA8" w:rsidRDefault="00490AA8" w:rsidP="00490A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No constituye dividendo societario</w:t>
      </w:r>
    </w:p>
    <w:p w14:paraId="3BADFFC0" w14:textId="77777777" w:rsidR="00490AA8" w:rsidRPr="00490AA8" w:rsidRDefault="00E17717" w:rsidP="00490AA8">
      <w:pPr>
        <w:spacing w:after="0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E17717">
        <w:rPr>
          <w:rFonts w:eastAsia="Times New Roman" w:cs="Times New Roman"/>
          <w:noProof/>
          <w:kern w:val="0"/>
          <w:lang w:eastAsia="es-ES_tradnl"/>
        </w:rPr>
        <w:pict w14:anchorId="431DD389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1D394849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6. Uso de fondos</w:t>
      </w:r>
    </w:p>
    <w:p w14:paraId="3996E2B3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Los fondos captados se destinarán principalmente a:</w:t>
      </w:r>
    </w:p>
    <w:p w14:paraId="6C83C01F" w14:textId="77777777" w:rsidR="00490AA8" w:rsidRPr="00490AA8" w:rsidRDefault="00490AA8" w:rsidP="00490A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Desarrollo de la plataforma core</w:t>
      </w:r>
    </w:p>
    <w:p w14:paraId="156E4FF6" w14:textId="77777777" w:rsidR="00490AA8" w:rsidRPr="00490AA8" w:rsidRDefault="00490AA8" w:rsidP="00490A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Desarrollo de módulos y sistemas de IA</w:t>
      </w:r>
    </w:p>
    <w:p w14:paraId="43FE5D05" w14:textId="77777777" w:rsidR="00490AA8" w:rsidRPr="00490AA8" w:rsidRDefault="00490AA8" w:rsidP="00490A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Infraestructura, seguridad y compliance</w:t>
      </w:r>
    </w:p>
    <w:p w14:paraId="10435BB1" w14:textId="77777777" w:rsidR="00490AA8" w:rsidRPr="00490AA8" w:rsidRDefault="00490AA8" w:rsidP="00490A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Equipo técnico y de producto</w:t>
      </w:r>
    </w:p>
    <w:p w14:paraId="032144BC" w14:textId="77777777" w:rsidR="00490AA8" w:rsidRPr="00490AA8" w:rsidRDefault="00490AA8" w:rsidP="00490A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Costes legales y operativos</w:t>
      </w:r>
    </w:p>
    <w:p w14:paraId="2E5692F3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No se utilizarán para reparto de beneficios ni retribución a socios.</w:t>
      </w:r>
    </w:p>
    <w:p w14:paraId="4A504607" w14:textId="77777777" w:rsidR="00490AA8" w:rsidRPr="00490AA8" w:rsidRDefault="00E17717" w:rsidP="00490AA8">
      <w:pPr>
        <w:spacing w:after="0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E17717">
        <w:rPr>
          <w:rFonts w:eastAsia="Times New Roman" w:cs="Times New Roman"/>
          <w:noProof/>
          <w:kern w:val="0"/>
          <w:lang w:eastAsia="es-ES_tradnl"/>
        </w:rPr>
        <w:pict w14:anchorId="6929DBA6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049B4B8B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7. Derechos del inversor (contractuales)</w:t>
      </w:r>
    </w:p>
    <w:p w14:paraId="54ADD488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7.1 Derechos económicos</w:t>
      </w:r>
    </w:p>
    <w:p w14:paraId="2BBF58B9" w14:textId="77777777" w:rsidR="00490AA8" w:rsidRPr="00490AA8" w:rsidRDefault="00490AA8" w:rsidP="00490A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Conversión preferente</w:t>
      </w:r>
    </w:p>
    <w:p w14:paraId="66BB7996" w14:textId="77777777" w:rsidR="00490AA8" w:rsidRPr="00490AA8" w:rsidRDefault="00490AA8" w:rsidP="00490A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Derecho económico limitado (Revenue Kicker)</w:t>
      </w:r>
    </w:p>
    <w:p w14:paraId="41345B2A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7.2 Derechos de información</w:t>
      </w:r>
    </w:p>
    <w:p w14:paraId="109A34C6" w14:textId="77777777" w:rsidR="00490AA8" w:rsidRPr="00490AA8" w:rsidRDefault="00490AA8" w:rsidP="00490A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Reporting trimestral</w:t>
      </w:r>
    </w:p>
    <w:p w14:paraId="06E75398" w14:textId="77777777" w:rsidR="00490AA8" w:rsidRPr="00490AA8" w:rsidRDefault="00490AA8" w:rsidP="00490A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Acceso a métricas clave (MRR, churn, crecimiento)</w:t>
      </w:r>
    </w:p>
    <w:p w14:paraId="737EA284" w14:textId="77777777" w:rsidR="00490AA8" w:rsidRPr="00490AA8" w:rsidRDefault="00490AA8" w:rsidP="00490A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Acceso anual a cuentas resumidas</w:t>
      </w:r>
    </w:p>
    <w:p w14:paraId="5C2D99E9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7.3 Protección</w:t>
      </w:r>
    </w:p>
    <w:p w14:paraId="5C767881" w14:textId="77777777" w:rsidR="00490AA8" w:rsidRPr="00490AA8" w:rsidRDefault="00490AA8" w:rsidP="00490A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Cláusula de liquidación preferente</w:t>
      </w:r>
    </w:p>
    <w:p w14:paraId="47F9C62D" w14:textId="77777777" w:rsidR="00490AA8" w:rsidRPr="00490AA8" w:rsidRDefault="00490AA8" w:rsidP="00490A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Anti-dilución (weighted average)</w:t>
      </w:r>
    </w:p>
    <w:p w14:paraId="543499F8" w14:textId="77777777" w:rsidR="00490AA8" w:rsidRPr="00490AA8" w:rsidRDefault="00490AA8" w:rsidP="00490A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Derecho de acompañamiento (tag-along)</w:t>
      </w:r>
    </w:p>
    <w:p w14:paraId="01038EF9" w14:textId="77777777" w:rsidR="00490AA8" w:rsidRPr="00490AA8" w:rsidRDefault="00E17717" w:rsidP="00490AA8">
      <w:pPr>
        <w:spacing w:after="0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E17717">
        <w:rPr>
          <w:rFonts w:eastAsia="Times New Roman" w:cs="Times New Roman"/>
          <w:noProof/>
          <w:kern w:val="0"/>
          <w:lang w:eastAsia="es-ES_tradnl"/>
        </w:rPr>
        <w:pict w14:anchorId="2722F200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00908BB3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lastRenderedPageBreak/>
        <w:t>8. Token de registro (representación digital)</w:t>
      </w:r>
    </w:p>
    <w:p w14:paraId="444C1012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El inversor recibirá un </w:t>
      </w: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token de registro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que:</w:t>
      </w:r>
    </w:p>
    <w:p w14:paraId="351150CD" w14:textId="77777777" w:rsidR="00490AA8" w:rsidRPr="00490AA8" w:rsidRDefault="00490AA8" w:rsidP="00490A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Representa de forma técnica la posición contractual</w:t>
      </w:r>
    </w:p>
    <w:p w14:paraId="745593EC" w14:textId="77777777" w:rsidR="00490AA8" w:rsidRPr="00490AA8" w:rsidRDefault="00490AA8" w:rsidP="00490A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Facilita trazabilidad, reporting y automatización de pagos</w:t>
      </w:r>
    </w:p>
    <w:p w14:paraId="1218C191" w14:textId="77777777" w:rsidR="00490AA8" w:rsidRPr="00490AA8" w:rsidRDefault="00490AA8" w:rsidP="00490A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Está sujeto a </w:t>
      </w: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whitelisting estricto</w:t>
      </w:r>
    </w:p>
    <w:p w14:paraId="5AC6A2AD" w14:textId="77777777" w:rsidR="00490AA8" w:rsidRPr="00490AA8" w:rsidRDefault="00490AA8" w:rsidP="00490A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No es transferible libremente</w:t>
      </w:r>
    </w:p>
    <w:p w14:paraId="115BC03C" w14:textId="77777777" w:rsidR="00490AA8" w:rsidRPr="00490AA8" w:rsidRDefault="00490AA8" w:rsidP="00490A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No se listará en mercados secundarios</w:t>
      </w:r>
    </w:p>
    <w:p w14:paraId="07EA7B2B" w14:textId="77777777" w:rsidR="00490AA8" w:rsidRPr="00490AA8" w:rsidRDefault="00490AA8" w:rsidP="00490A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No genera derechos fuera del contrato privado</w:t>
      </w:r>
    </w:p>
    <w:p w14:paraId="4983CB08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El token es un </w:t>
      </w: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instrumento tecnológico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>, no financiero.</w:t>
      </w:r>
    </w:p>
    <w:p w14:paraId="6010C467" w14:textId="77777777" w:rsidR="00490AA8" w:rsidRPr="00490AA8" w:rsidRDefault="00E17717" w:rsidP="00490AA8">
      <w:pPr>
        <w:spacing w:after="0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E17717">
        <w:rPr>
          <w:rFonts w:eastAsia="Times New Roman" w:cs="Times New Roman"/>
          <w:noProof/>
          <w:kern w:val="0"/>
          <w:lang w:eastAsia="es-ES_tradnl"/>
        </w:rPr>
        <w:pict w14:anchorId="693DEF2B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7E4B7CBB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9. Restricciones de transferencia</w:t>
      </w:r>
    </w:p>
    <w:p w14:paraId="30FCFF8E" w14:textId="77777777" w:rsidR="00490AA8" w:rsidRPr="00490AA8" w:rsidRDefault="00490AA8" w:rsidP="00490A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Prohibida la cesión sin autorización del emisor</w:t>
      </w:r>
    </w:p>
    <w:p w14:paraId="74E4BA88" w14:textId="77777777" w:rsidR="00490AA8" w:rsidRPr="00490AA8" w:rsidRDefault="00490AA8" w:rsidP="00490A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Obligatorio KYC/AML del adquirente</w:t>
      </w:r>
    </w:p>
    <w:p w14:paraId="05D4EC58" w14:textId="77777777" w:rsidR="00490AA8" w:rsidRPr="00490AA8" w:rsidRDefault="00490AA8" w:rsidP="00490A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Cumplimiento de MiFID II y normativa aplicable</w:t>
      </w:r>
    </w:p>
    <w:p w14:paraId="547BA5E3" w14:textId="77777777" w:rsidR="00490AA8" w:rsidRPr="00490AA8" w:rsidRDefault="00490AA8" w:rsidP="00490A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Cualquier transferencia no autorizada será nula</w:t>
      </w:r>
    </w:p>
    <w:p w14:paraId="2697DEF7" w14:textId="77777777" w:rsidR="00490AA8" w:rsidRPr="00490AA8" w:rsidRDefault="00E17717" w:rsidP="00490AA8">
      <w:pPr>
        <w:spacing w:after="0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E17717">
        <w:rPr>
          <w:rFonts w:eastAsia="Times New Roman" w:cs="Times New Roman"/>
          <w:noProof/>
          <w:kern w:val="0"/>
          <w:lang w:eastAsia="es-ES_tradnl"/>
        </w:rPr>
        <w:pict w14:anchorId="23A6F5AC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2B5179FB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10. Inversores elegibles</w:t>
      </w:r>
    </w:p>
    <w:p w14:paraId="6FC15A43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Exclusivamente </w:t>
      </w: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Inversores Cualificados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>, conforme a MiFID II:</w:t>
      </w:r>
    </w:p>
    <w:p w14:paraId="67B0B280" w14:textId="77777777" w:rsidR="00490AA8" w:rsidRPr="00490AA8" w:rsidRDefault="00490AA8" w:rsidP="00490A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Inversores profesionales</w:t>
      </w:r>
    </w:p>
    <w:p w14:paraId="00BCC394" w14:textId="77777777" w:rsidR="00490AA8" w:rsidRPr="00490AA8" w:rsidRDefault="00490AA8" w:rsidP="00490A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Entidades financieras reguladas</w:t>
      </w:r>
    </w:p>
    <w:p w14:paraId="64A7A788" w14:textId="77777777" w:rsidR="00490AA8" w:rsidRPr="00490AA8" w:rsidRDefault="00490AA8" w:rsidP="00490A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Fondos, family offices</w:t>
      </w:r>
    </w:p>
    <w:p w14:paraId="0ED2F10A" w14:textId="77777777" w:rsidR="00490AA8" w:rsidRPr="00490AA8" w:rsidRDefault="00490AA8" w:rsidP="00490A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Grandes empresas</w:t>
      </w:r>
    </w:p>
    <w:p w14:paraId="4D75C966" w14:textId="77777777" w:rsidR="00490AA8" w:rsidRPr="00490AA8" w:rsidRDefault="00490AA8" w:rsidP="00490A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Personas físicas cualificadas por solicitud</w:t>
      </w:r>
    </w:p>
    <w:p w14:paraId="3ABC33CF" w14:textId="77777777" w:rsidR="00490AA8" w:rsidRPr="00490AA8" w:rsidRDefault="00490AA8" w:rsidP="00490A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Personas de alto patrimonio verificadas</w:t>
      </w:r>
    </w:p>
    <w:p w14:paraId="611C594C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Todos los inversores estarán sujetos a:</w:t>
      </w:r>
    </w:p>
    <w:p w14:paraId="179AB54B" w14:textId="77777777" w:rsidR="00490AA8" w:rsidRPr="00490AA8" w:rsidRDefault="00490AA8" w:rsidP="00490A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KYC / AML</w:t>
      </w:r>
    </w:p>
    <w:p w14:paraId="2529BB51" w14:textId="77777777" w:rsidR="00490AA8" w:rsidRPr="00490AA8" w:rsidRDefault="00490AA8" w:rsidP="00490A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Declaración de inversor cualificado</w:t>
      </w:r>
    </w:p>
    <w:p w14:paraId="4D03C753" w14:textId="77777777" w:rsidR="00490AA8" w:rsidRPr="00490AA8" w:rsidRDefault="00490AA8" w:rsidP="00490A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Aceptación expresa de riesgos</w:t>
      </w:r>
    </w:p>
    <w:p w14:paraId="25029E22" w14:textId="77777777" w:rsidR="00490AA8" w:rsidRPr="00490AA8" w:rsidRDefault="00E17717" w:rsidP="00490AA8">
      <w:pPr>
        <w:spacing w:after="0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E17717">
        <w:rPr>
          <w:rFonts w:eastAsia="Times New Roman" w:cs="Times New Roman"/>
          <w:noProof/>
          <w:kern w:val="0"/>
          <w:lang w:eastAsia="es-ES_tradnl"/>
        </w:rPr>
        <w:pict w14:anchorId="5BFB0110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63821C64" w14:textId="77777777" w:rsidR="00490AA8" w:rsidRDefault="00490AA8">
      <w:pPr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br w:type="page"/>
      </w:r>
    </w:p>
    <w:p w14:paraId="7079562A" w14:textId="2F4775E2" w:rsidR="00490AA8" w:rsidRPr="00490AA8" w:rsidRDefault="00490AA8" w:rsidP="00490A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lastRenderedPageBreak/>
        <w:t>11. Fiscalidad</w:t>
      </w:r>
    </w:p>
    <w:p w14:paraId="79EB84F6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Cada inversor será responsable de su propia fiscalidad.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br/>
        <w:t>La sociedad no garantiza ningún tratamiento fiscal específico.</w:t>
      </w:r>
    </w:p>
    <w:p w14:paraId="5B58CD5F" w14:textId="77777777" w:rsidR="00490AA8" w:rsidRPr="00490AA8" w:rsidRDefault="00E17717" w:rsidP="00490AA8">
      <w:pPr>
        <w:spacing w:after="0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E17717">
        <w:rPr>
          <w:rFonts w:eastAsia="Times New Roman" w:cs="Times New Roman"/>
          <w:noProof/>
          <w:kern w:val="0"/>
          <w:lang w:eastAsia="es-ES_tradnl"/>
        </w:rPr>
        <w:pict w14:anchorId="522DFCCA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78CBA706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12. Legislación y jurisdicción</w:t>
      </w:r>
    </w:p>
    <w:p w14:paraId="37D39880" w14:textId="77777777" w:rsidR="00490AA8" w:rsidRPr="00490AA8" w:rsidRDefault="00490AA8" w:rsidP="00490A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Ley aplicable: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Española</w:t>
      </w:r>
    </w:p>
    <w:p w14:paraId="4B8E41FD" w14:textId="07C5F159" w:rsidR="00490AA8" w:rsidRPr="00490AA8" w:rsidRDefault="00490AA8" w:rsidP="00490A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Jurisdicción: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 Juzgados y Tribunales de </w:t>
      </w:r>
      <w:r>
        <w:rPr>
          <w:rFonts w:eastAsia="Times New Roman" w:cs="Times New Roman"/>
          <w:kern w:val="0"/>
          <w:lang w:eastAsia="es-ES_tradnl"/>
          <w14:ligatures w14:val="none"/>
        </w:rPr>
        <w:t>Barcelona</w:t>
      </w:r>
    </w:p>
    <w:p w14:paraId="2B86586F" w14:textId="77777777" w:rsidR="00490AA8" w:rsidRPr="00490AA8" w:rsidRDefault="00490AA8" w:rsidP="00490A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Idioma contractual: Español (traducción EN informativa)</w:t>
      </w:r>
    </w:p>
    <w:p w14:paraId="5BFB65C7" w14:textId="77777777" w:rsidR="00490AA8" w:rsidRPr="00490AA8" w:rsidRDefault="00E17717" w:rsidP="00490AA8">
      <w:pPr>
        <w:spacing w:after="0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E17717">
        <w:rPr>
          <w:rFonts w:eastAsia="Times New Roman" w:cs="Times New Roman"/>
          <w:noProof/>
          <w:kern w:val="0"/>
          <w:lang w:eastAsia="es-ES_tradnl"/>
        </w:rPr>
        <w:pict w14:anchorId="01CEEAA1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567C59C2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13. Confidencialidad</w:t>
      </w:r>
    </w:p>
    <w:p w14:paraId="7B8C58D7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Este Term Sheet y cualquier información asociada tienen carácter confidencial y no podrán ser distribuidos sin autorización expresa del emisor.</w:t>
      </w:r>
    </w:p>
    <w:p w14:paraId="5239297D" w14:textId="77777777" w:rsidR="00490AA8" w:rsidRPr="00490AA8" w:rsidRDefault="00E17717" w:rsidP="00490AA8">
      <w:pPr>
        <w:spacing w:after="0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E17717">
        <w:rPr>
          <w:rFonts w:eastAsia="Times New Roman" w:cs="Times New Roman"/>
          <w:noProof/>
          <w:kern w:val="0"/>
          <w:lang w:eastAsia="es-ES_tradnl"/>
        </w:rPr>
        <w:pict w14:anchorId="7220A69B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75F98423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14. Naturaleza no vinculante</w:t>
      </w:r>
    </w:p>
    <w:p w14:paraId="004F29DB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Este Term Sheet:</w:t>
      </w:r>
    </w:p>
    <w:p w14:paraId="780562B0" w14:textId="77777777" w:rsidR="00490AA8" w:rsidRPr="00490AA8" w:rsidRDefault="00490AA8" w:rsidP="00490A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No constituye una oferta pública</w:t>
      </w:r>
    </w:p>
    <w:p w14:paraId="01A7F99F" w14:textId="77777777" w:rsidR="00490AA8" w:rsidRPr="00490AA8" w:rsidRDefault="00490AA8" w:rsidP="00490A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No constituye una recomendación de inversión</w:t>
      </w:r>
    </w:p>
    <w:p w14:paraId="241FF80B" w14:textId="77777777" w:rsidR="00490AA8" w:rsidRPr="00490AA8" w:rsidRDefault="00490AA8" w:rsidP="00490A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No es vinculante</w:t>
      </w:r>
    </w:p>
    <w:p w14:paraId="797B8912" w14:textId="77777777" w:rsidR="00490AA8" w:rsidRPr="00490AA8" w:rsidRDefault="00490AA8" w:rsidP="00490A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Está sujeto a negociación y documentación final</w:t>
      </w:r>
    </w:p>
    <w:p w14:paraId="13468365" w14:textId="77777777" w:rsidR="00490AA8" w:rsidRPr="00490AA8" w:rsidRDefault="00E17717" w:rsidP="00490AA8">
      <w:pPr>
        <w:spacing w:after="0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E17717">
        <w:rPr>
          <w:rFonts w:eastAsia="Times New Roman" w:cs="Times New Roman"/>
          <w:noProof/>
          <w:kern w:val="0"/>
          <w:lang w:eastAsia="es-ES_tradnl"/>
        </w:rPr>
        <w:pict w14:anchorId="4584A166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132B818D" w14:textId="77777777" w:rsidR="00490AA8" w:rsidRPr="00490AA8" w:rsidRDefault="00490AA8" w:rsidP="00490AA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AVISO LEGAL FINAL</w:t>
      </w:r>
    </w:p>
    <w:p w14:paraId="0715B91F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La inversión en empresas tecnológicas en fase inicial conlleva </w:t>
      </w: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riesgos elevados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>, incluyendo la pérdida total del capital invertido.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br/>
        <w:t>Los rendimientos pasados no garantizan resultados futuros.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br/>
        <w:t>Los potenciales inversores deben consultar con asesores legales, fiscales y financieros independientes antes de tomar cualquier decisión.</w:t>
      </w:r>
    </w:p>
    <w:p w14:paraId="676B84E5" w14:textId="77777777" w:rsidR="00490AA8" w:rsidRPr="00490AA8" w:rsidRDefault="00E17717" w:rsidP="00490AA8">
      <w:pPr>
        <w:spacing w:after="0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E17717">
        <w:rPr>
          <w:rFonts w:eastAsia="Times New Roman" w:cs="Times New Roman"/>
          <w:noProof/>
          <w:kern w:val="0"/>
          <w:lang w:eastAsia="es-ES_tradnl"/>
        </w:rPr>
        <w:pict w14:anchorId="7552A7FB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DFACD1C" w14:textId="77777777" w:rsidR="00490AA8" w:rsidRDefault="00490AA8">
      <w:pPr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br w:type="page"/>
      </w:r>
    </w:p>
    <w:p w14:paraId="22D62C98" w14:textId="4FC89B4E" w:rsidR="00490AA8" w:rsidRPr="00490AA8" w:rsidRDefault="00490AA8" w:rsidP="00490AA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490AA8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lastRenderedPageBreak/>
        <w:t>CIERRE PROFESIONAL</w:t>
      </w:r>
    </w:p>
    <w:p w14:paraId="0D79902C" w14:textId="77777777" w:rsidR="00490AA8" w:rsidRPr="00490AA8" w:rsidRDefault="00490AA8" w:rsidP="00490A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 xml:space="preserve">Este </w:t>
      </w:r>
      <w:r w:rsidRPr="00490AA8">
        <w:rPr>
          <w:rFonts w:eastAsia="Times New Roman" w:cs="Times New Roman"/>
          <w:b/>
          <w:bCs/>
          <w:kern w:val="0"/>
          <w:lang w:eastAsia="es-ES_tradnl"/>
          <w14:ligatures w14:val="none"/>
        </w:rPr>
        <w:t>Term Sheet es coherente, defendible y alineado con CNMV</w:t>
      </w:r>
      <w:r w:rsidRPr="00490AA8">
        <w:rPr>
          <w:rFonts w:eastAsia="Times New Roman" w:cs="Times New Roman"/>
          <w:kern w:val="0"/>
          <w:lang w:eastAsia="es-ES_tradnl"/>
          <w14:ligatures w14:val="none"/>
        </w:rPr>
        <w:t>, y está en el nivel que esperan:</w:t>
      </w:r>
    </w:p>
    <w:p w14:paraId="0B9CB05E" w14:textId="77777777" w:rsidR="00490AA8" w:rsidRPr="00490AA8" w:rsidRDefault="00490AA8" w:rsidP="00490A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abogados financieros</w:t>
      </w:r>
    </w:p>
    <w:p w14:paraId="1526CB76" w14:textId="77777777" w:rsidR="00490AA8" w:rsidRPr="00490AA8" w:rsidRDefault="00490AA8" w:rsidP="00490A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family offices</w:t>
      </w:r>
    </w:p>
    <w:p w14:paraId="0C582205" w14:textId="77777777" w:rsidR="00490AA8" w:rsidRPr="00490AA8" w:rsidRDefault="00490AA8" w:rsidP="00490A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inversores profesionales</w:t>
      </w:r>
    </w:p>
    <w:p w14:paraId="2C1DDD7A" w14:textId="77777777" w:rsidR="00490AA8" w:rsidRPr="00490AA8" w:rsidRDefault="00490AA8" w:rsidP="00490A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_tradnl"/>
          <w14:ligatures w14:val="none"/>
        </w:rPr>
      </w:pPr>
      <w:r w:rsidRPr="00490AA8">
        <w:rPr>
          <w:rFonts w:eastAsia="Times New Roman" w:cs="Times New Roman"/>
          <w:kern w:val="0"/>
          <w:lang w:eastAsia="es-ES_tradnl"/>
          <w14:ligatures w14:val="none"/>
        </w:rPr>
        <w:t>plataformas ECSP (si más adelante se usa)</w:t>
      </w:r>
    </w:p>
    <w:p w14:paraId="76FAF619" w14:textId="77777777" w:rsidR="00E40846" w:rsidRDefault="00E40846"/>
    <w:sectPr w:rsidR="00E408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40FC"/>
    <w:multiLevelType w:val="multilevel"/>
    <w:tmpl w:val="A3EE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A26F2"/>
    <w:multiLevelType w:val="multilevel"/>
    <w:tmpl w:val="8DAC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15EC6"/>
    <w:multiLevelType w:val="multilevel"/>
    <w:tmpl w:val="5742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50C0A"/>
    <w:multiLevelType w:val="multilevel"/>
    <w:tmpl w:val="2E9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8388A"/>
    <w:multiLevelType w:val="multilevel"/>
    <w:tmpl w:val="7AB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C2E79"/>
    <w:multiLevelType w:val="multilevel"/>
    <w:tmpl w:val="149E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37C73"/>
    <w:multiLevelType w:val="multilevel"/>
    <w:tmpl w:val="4E3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3075A"/>
    <w:multiLevelType w:val="multilevel"/>
    <w:tmpl w:val="9596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E3251"/>
    <w:multiLevelType w:val="multilevel"/>
    <w:tmpl w:val="108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732F9"/>
    <w:multiLevelType w:val="multilevel"/>
    <w:tmpl w:val="91BC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F2AFA"/>
    <w:multiLevelType w:val="multilevel"/>
    <w:tmpl w:val="E742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55682"/>
    <w:multiLevelType w:val="multilevel"/>
    <w:tmpl w:val="FDE2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D3D1E"/>
    <w:multiLevelType w:val="multilevel"/>
    <w:tmpl w:val="D368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05D27"/>
    <w:multiLevelType w:val="multilevel"/>
    <w:tmpl w:val="B062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87387"/>
    <w:multiLevelType w:val="multilevel"/>
    <w:tmpl w:val="9952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81160"/>
    <w:multiLevelType w:val="multilevel"/>
    <w:tmpl w:val="A120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12407"/>
    <w:multiLevelType w:val="multilevel"/>
    <w:tmpl w:val="B874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8383B"/>
    <w:multiLevelType w:val="multilevel"/>
    <w:tmpl w:val="E1DA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607295">
    <w:abstractNumId w:val="3"/>
  </w:num>
  <w:num w:numId="2" w16cid:durableId="938298743">
    <w:abstractNumId w:val="7"/>
  </w:num>
  <w:num w:numId="3" w16cid:durableId="1589733865">
    <w:abstractNumId w:val="5"/>
  </w:num>
  <w:num w:numId="4" w16cid:durableId="1655914006">
    <w:abstractNumId w:val="13"/>
  </w:num>
  <w:num w:numId="5" w16cid:durableId="918830768">
    <w:abstractNumId w:val="1"/>
  </w:num>
  <w:num w:numId="6" w16cid:durableId="1407729674">
    <w:abstractNumId w:val="4"/>
  </w:num>
  <w:num w:numId="7" w16cid:durableId="1524172374">
    <w:abstractNumId w:val="17"/>
  </w:num>
  <w:num w:numId="8" w16cid:durableId="306711719">
    <w:abstractNumId w:val="11"/>
  </w:num>
  <w:num w:numId="9" w16cid:durableId="2080515937">
    <w:abstractNumId w:val="2"/>
  </w:num>
  <w:num w:numId="10" w16cid:durableId="1899591836">
    <w:abstractNumId w:val="14"/>
  </w:num>
  <w:num w:numId="11" w16cid:durableId="827937798">
    <w:abstractNumId w:val="12"/>
  </w:num>
  <w:num w:numId="12" w16cid:durableId="93520214">
    <w:abstractNumId w:val="9"/>
  </w:num>
  <w:num w:numId="13" w16cid:durableId="1922792382">
    <w:abstractNumId w:val="16"/>
  </w:num>
  <w:num w:numId="14" w16cid:durableId="1909882316">
    <w:abstractNumId w:val="0"/>
  </w:num>
  <w:num w:numId="15" w16cid:durableId="1408306560">
    <w:abstractNumId w:val="10"/>
  </w:num>
  <w:num w:numId="16" w16cid:durableId="1224483336">
    <w:abstractNumId w:val="6"/>
  </w:num>
  <w:num w:numId="17" w16cid:durableId="2101483387">
    <w:abstractNumId w:val="8"/>
  </w:num>
  <w:num w:numId="18" w16cid:durableId="20870707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A8"/>
    <w:rsid w:val="00490AA8"/>
    <w:rsid w:val="00AD5A76"/>
    <w:rsid w:val="00B9484C"/>
    <w:rsid w:val="00BD18BC"/>
    <w:rsid w:val="00E17717"/>
    <w:rsid w:val="00E4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9B4C1"/>
  <w15:chartTrackingRefBased/>
  <w15:docId w15:val="{17F150B4-A8DE-A74F-B060-62DC5EB5B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0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0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0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0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0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0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0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0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0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0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0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90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0A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0A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0A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0A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0A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0A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0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0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0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0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0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0A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0A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0A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0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0A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0A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0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490AA8"/>
    <w:rPr>
      <w:b/>
      <w:bCs/>
    </w:rPr>
  </w:style>
  <w:style w:type="character" w:styleId="nfasis">
    <w:name w:val="Emphasis"/>
    <w:basedOn w:val="Fuentedeprrafopredeter"/>
    <w:uiPriority w:val="20"/>
    <w:qFormat/>
    <w:rsid w:val="00490A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842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Ballanti</dc:creator>
  <cp:keywords/>
  <dc:description/>
  <cp:lastModifiedBy>Lorenzo Ballanti</cp:lastModifiedBy>
  <cp:revision>1</cp:revision>
  <dcterms:created xsi:type="dcterms:W3CDTF">2025-12-18T09:26:00Z</dcterms:created>
  <dcterms:modified xsi:type="dcterms:W3CDTF">2025-12-18T09:28:00Z</dcterms:modified>
</cp:coreProperties>
</file>