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B45309" w:sz="12"/>
          <w:left w:val="single" w:color="B45309" w:sz="12"/>
          <w:bottom w:val="single" w:color="B45309" w:sz="12"/>
          <w:right w:val="single" w:color="B45309" w:sz="12"/>
        </w:pBdr>
        <w:shd w:fill="FFF3CD" w:val="clear"/>
        <w:spacing w:after="200" w:before="100"/>
      </w:pPr>
      <w:r>
        <w:rPr>
          <w:b/>
          <w:bCs/>
          <w:color w:val="92400E"/>
        </w:rPr>
        <w:t xml:space="preserve">⚠ SYNTHETIC DEMONSTRATION DOCUMENT — NOT A REAL REGULATION. Entirely fictional, for PARIVART product demonstration only. Not legal advice. Not evidence of any real deficiency. The authority, identifier, dates, requirements and deficiencies below are invented.</w:t>
      </w:r>
    </w:p>
    <w:p>
      <w:pPr>
        <w:pStyle w:val="Title"/>
        <w:spacing w:after="100"/>
      </w:pPr>
      <w:r>
        <w:t xml:space="preserve">Notice of Amendment — Labelling and Electronic Instructions for Use</w:t>
      </w:r>
    </w:p>
    <w:p>
      <w:pPr>
        <w:spacing w:after="120"/>
      </w:pPr>
      <w:r>
        <w:rPr>
          <w:i/>
          <w:iCs/>
        </w:rPr>
        <w:t xml:space="preserve">for Class II/III Monitoring and Therapeutic Devices</w:t>
      </w:r>
    </w:p>
    <w:p>
      <w:pPr>
        <w:spacing w:after="120"/>
      </w:pPr>
      <w:r>
        <w:rPr>
          <w:b w:val="false"/>
          <w:bCs w:val="false"/>
        </w:rPr>
        <w:t xml:space="preserve">Issuing Authority (fictional): Federal Agency for Demonstrative Device Regulation ("FADDR") — invented for this demonstration only, not affiliated with any real regulator.</w:t>
      </w:r>
    </w:p>
    <w:p>
      <w:pPr>
        <w:spacing w:after="120"/>
      </w:pPr>
      <w:r>
        <w:t xml:space="preserve">Document identifier (fictional): FADDR-DEMO-2026-0147</w:t>
      </w:r>
    </w:p>
    <w:p>
      <w:pPr>
        <w:spacing w:after="120"/>
      </w:pPr>
      <w:r>
        <w:t xml:space="preserve">Publication date (fictional): 2026-09-15      Effective date (fictional): 2027-01-01</w:t>
      </w:r>
    </w:p>
    <w:p>
      <w:pPr>
        <w:pStyle w:val="Heading1"/>
        <w:spacing w:after="150" w:before="300"/>
      </w:pPr>
      <w:r>
        <w:t xml:space="preserve">1. Summary of the hypothetical regulatory change</w:t>
      </w:r>
    </w:p>
    <w:p>
      <w:pPr>
        <w:spacing w:after="120"/>
      </w:pPr>
      <w:r>
        <w:t xml:space="preserve">This fictional notice would amend labelling and electronic Instructions for Use (eIFU) requirements for Class II and Class III monitoring and therapeutic medical devices sold in the FADDR jurisdiction. It would (hypothetically):</w:t>
      </w:r>
    </w:p>
    <w:p>
      <w:pPr>
        <w:pStyle w:val="ListParagraph"/>
        <w:numPr>
          <w:ilvl w:val="0"/>
          <w:numId w:val="1"/>
        </w:numPr>
        <w:spacing w:after="60"/>
      </w:pPr>
      <w:r>
        <w:t xml:space="preserve">Require a machine-readable UDI symbol in a standardized position on primary packaging.</w:t>
      </w:r>
    </w:p>
    <w:p>
      <w:pPr>
        <w:pStyle w:val="ListParagraph"/>
        <w:numPr>
          <w:ilvl w:val="0"/>
          <w:numId w:val="1"/>
        </w:numPr>
        <w:spacing w:after="60"/>
      </w:pPr>
      <w:r>
        <w:t xml:space="preserve">Require electronic Instructions for Use to be available, cached, in the user's selected language within companion software, not only via a web link.</w:t>
      </w:r>
    </w:p>
    <w:p>
      <w:pPr>
        <w:pStyle w:val="ListParagraph"/>
        <w:numPr>
          <w:ilvl w:val="0"/>
          <w:numId w:val="1"/>
        </w:numPr>
        <w:spacing w:after="60"/>
      </w:pPr>
      <w:r>
        <w:t xml:space="preserve">Require cybersecurity labelling disclosures for any device with wireless connectivity, including supported update mechanisms.</w:t>
      </w:r>
    </w:p>
    <w:p>
      <w:pPr>
        <w:pStyle w:val="ListParagraph"/>
        <w:numPr>
          <w:ilvl w:val="0"/>
          <w:numId w:val="1"/>
        </w:numPr>
        <w:spacing w:after="60"/>
      </w:pPr>
      <w:r>
        <w:t xml:space="preserve">Shorten the post-market safety reporting window for a newly-defined category of "connected monitoring events."</w:t>
      </w:r>
    </w:p>
    <w:p>
      <w:pPr>
        <w:pStyle w:val="Heading1"/>
        <w:spacing w:after="150" w:before="300"/>
      </w:pPr>
      <w:r>
        <w:t xml:space="preserve">2. Numbered hypothetical requirements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6900"/>
        <w:gridCol w:w="2000"/>
      </w:tblGrid>
      <w:tr>
        <w:tc>
          <w:tcPr>
            <w:tcW w:type="dxa" w:w="700"/>
            <w:shd w:fill="E5E7EB" w:val="clear"/>
          </w:tcPr>
          <w:p>
            <w:r>
              <w:rPr>
                <w:b/>
                <w:bCs/>
                <w:sz w:val="18"/>
                <w:szCs w:val="18"/>
              </w:rPr>
              <w:t xml:space="preserve">#</w:t>
            </w:r>
          </w:p>
        </w:tc>
        <w:tc>
          <w:tcPr>
            <w:tcW w:type="dxa" w:w="6900"/>
            <w:shd w:fill="E5E7EB" w:val="clear"/>
          </w:tcPr>
          <w:p>
            <w:r>
              <w:rPr>
                <w:b/>
                <w:bCs/>
                <w:sz w:val="18"/>
                <w:szCs w:val="18"/>
              </w:rPr>
              <w:t xml:space="preserve">Requirement</w:t>
            </w:r>
          </w:p>
        </w:tc>
        <w:tc>
          <w:tcPr>
            <w:tcW w:type="dxa" w:w="2000"/>
            <w:shd w:fill="E5E7EB" w:val="clear"/>
          </w:tcPr>
          <w:p>
            <w:r>
              <w:rPr>
                <w:b/>
                <w:bCs/>
                <w:sz w:val="18"/>
                <w:szCs w:val="18"/>
              </w:rPr>
              <w:t xml:space="preserve">Category</w:t>
            </w:r>
          </w:p>
        </w:tc>
      </w:tr>
      <w:tr>
        <w:tc>
          <w:tcPr>
            <w:tcW w:type="dxa" w:w="700"/>
          </w:tcPr>
          <w:p>
            <w:r>
              <w:rPr>
                <w:b w:val="false"/>
                <w:bCs w:val="false"/>
                <w:sz w:val="18"/>
                <w:szCs w:val="18"/>
              </w:rPr>
              <w:t xml:space="preserve">R1</w:t>
            </w:r>
          </w:p>
        </w:tc>
        <w:tc>
          <w:tcPr>
            <w:tcW w:type="dxa" w:w="6900"/>
          </w:tcPr>
          <w:p>
            <w:r>
              <w:rPr>
                <w:b w:val="false"/>
                <w:bCs w:val="false"/>
                <w:sz w:val="18"/>
                <w:szCs w:val="18"/>
              </w:rPr>
              <w:t xml:space="preserve">Primary packaging must carry a UDI symbol in the fictional "Zone C" position defined in this notice's (nonexistent) Annex B.</w:t>
            </w:r>
          </w:p>
        </w:tc>
        <w:tc>
          <w:tcPr>
            <w:tcW w:type="dxa" w:w="2000"/>
          </w:tcPr>
          <w:p>
            <w:r>
              <w:rPr>
                <w:b w:val="false"/>
                <w:bCs w:val="false"/>
                <w:sz w:val="18"/>
                <w:szCs w:val="18"/>
              </w:rPr>
              <w:t xml:space="preserve">Labelling</w:t>
            </w:r>
          </w:p>
        </w:tc>
      </w:tr>
      <w:tr>
        <w:tc>
          <w:tcPr>
            <w:tcW w:type="dxa" w:w="700"/>
          </w:tcPr>
          <w:p>
            <w:r>
              <w:rPr>
                <w:b w:val="false"/>
                <w:bCs w:val="false"/>
                <w:sz w:val="18"/>
                <w:szCs w:val="18"/>
              </w:rPr>
              <w:t xml:space="preserve">R2</w:t>
            </w:r>
          </w:p>
        </w:tc>
        <w:tc>
          <w:tcPr>
            <w:tcW w:type="dxa" w:w="6900"/>
          </w:tcPr>
          <w:p>
            <w:r>
              <w:rPr>
                <w:b w:val="false"/>
                <w:bCs w:val="false"/>
                <w:sz w:val="18"/>
                <w:szCs w:val="18"/>
              </w:rPr>
              <w:t xml:space="preserve">Companion software must render the eIFU in the user's selected system language, cached for offline use.</w:t>
            </w:r>
          </w:p>
        </w:tc>
        <w:tc>
          <w:tcPr>
            <w:tcW w:type="dxa" w:w="2000"/>
          </w:tcPr>
          <w:p>
            <w:r>
              <w:rPr>
                <w:b w:val="false"/>
                <w:bCs w:val="false"/>
                <w:sz w:val="18"/>
                <w:szCs w:val="18"/>
              </w:rPr>
              <w:t xml:space="preserve">Labelling / Software</w:t>
            </w:r>
          </w:p>
        </w:tc>
      </w:tr>
      <w:tr>
        <w:tc>
          <w:tcPr>
            <w:tcW w:type="dxa" w:w="700"/>
          </w:tcPr>
          <w:p>
            <w:r>
              <w:rPr>
                <w:b w:val="false"/>
                <w:bCs w:val="false"/>
                <w:sz w:val="18"/>
                <w:szCs w:val="18"/>
              </w:rPr>
              <w:t xml:space="preserve">R3</w:t>
            </w:r>
          </w:p>
        </w:tc>
        <w:tc>
          <w:tcPr>
            <w:tcW w:type="dxa" w:w="6900"/>
          </w:tcPr>
          <w:p>
            <w:r>
              <w:rPr>
                <w:b w:val="false"/>
                <w:bCs w:val="false"/>
                <w:sz w:val="18"/>
                <w:szCs w:val="18"/>
              </w:rPr>
              <w:t xml:space="preserve">Any device with wireless connectivity must disclose its supported firmware/software update mechanism.</w:t>
            </w:r>
          </w:p>
        </w:tc>
        <w:tc>
          <w:tcPr>
            <w:tcW w:type="dxa" w:w="2000"/>
          </w:tcPr>
          <w:p>
            <w:r>
              <w:rPr>
                <w:b w:val="false"/>
                <w:bCs w:val="false"/>
                <w:sz w:val="18"/>
                <w:szCs w:val="18"/>
              </w:rPr>
              <w:t xml:space="preserve">Cybersecurity</w:t>
            </w:r>
          </w:p>
        </w:tc>
      </w:tr>
      <w:tr>
        <w:tc>
          <w:tcPr>
            <w:tcW w:type="dxa" w:w="700"/>
          </w:tcPr>
          <w:p>
            <w:r>
              <w:rPr>
                <w:b w:val="false"/>
                <w:bCs w:val="false"/>
                <w:sz w:val="18"/>
                <w:szCs w:val="18"/>
              </w:rPr>
              <w:t xml:space="preserve">R4</w:t>
            </w:r>
          </w:p>
        </w:tc>
        <w:tc>
          <w:tcPr>
            <w:tcW w:type="dxa" w:w="6900"/>
          </w:tcPr>
          <w:p>
            <w:r>
              <w:rPr>
                <w:b w:val="false"/>
                <w:bCs w:val="false"/>
                <w:sz w:val="18"/>
                <w:szCs w:val="18"/>
              </w:rPr>
              <w:t xml:space="preserve">"Connected monitoring events" must be reported to FADDR within 10 fictional business days, down from 30.</w:t>
            </w:r>
          </w:p>
        </w:tc>
        <w:tc>
          <w:tcPr>
            <w:tcW w:type="dxa" w:w="2000"/>
          </w:tcPr>
          <w:p>
            <w:r>
              <w:rPr>
                <w:b w:val="false"/>
                <w:bCs w:val="false"/>
                <w:sz w:val="18"/>
                <w:szCs w:val="18"/>
              </w:rPr>
              <w:t xml:space="preserve">Post-Market Surveillance</w:t>
            </w:r>
          </w:p>
        </w:tc>
      </w:tr>
      <w:tr>
        <w:tc>
          <w:tcPr>
            <w:tcW w:type="dxa" w:w="700"/>
          </w:tcPr>
          <w:p>
            <w:r>
              <w:rPr>
                <w:b w:val="false"/>
                <w:bCs w:val="false"/>
                <w:sz w:val="18"/>
                <w:szCs w:val="18"/>
              </w:rPr>
              <w:t xml:space="preserve">R5</w:t>
            </w:r>
          </w:p>
        </w:tc>
        <w:tc>
          <w:tcPr>
            <w:tcW w:type="dxa" w:w="6900"/>
          </w:tcPr>
          <w:p>
            <w:r>
              <w:rPr>
                <w:b w:val="false"/>
                <w:bCs w:val="false"/>
                <w:sz w:val="18"/>
                <w:szCs w:val="18"/>
              </w:rPr>
              <w:t xml:space="preserve">Existing registrations for affected device classes must be updated with a labelling-compliance attestation.</w:t>
            </w:r>
          </w:p>
        </w:tc>
        <w:tc>
          <w:tcPr>
            <w:tcW w:type="dxa" w:w="2000"/>
          </w:tcPr>
          <w:p>
            <w:r>
              <w:rPr>
                <w:b w:val="false"/>
                <w:bCs w:val="false"/>
                <w:sz w:val="18"/>
                <w:szCs w:val="18"/>
              </w:rPr>
              <w:t xml:space="preserve">Registration</w:t>
            </w:r>
          </w:p>
        </w:tc>
      </w:tr>
    </w:tbl>
    <w:p>
      <w:pPr>
        <w:pStyle w:val="Heading1"/>
        <w:spacing w:after="150" w:before="300"/>
      </w:pPr>
      <w:r>
        <w:t xml:space="preserve">3. Potential deficiencies and rationale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700"/>
      </w:tblGrid>
      <w:tr>
        <w:tc>
          <w:tcPr>
            <w:tcW w:type="dxa" w:w="700"/>
            <w:shd w:fill="E5E7EB" w:val="clear"/>
          </w:tcPr>
          <w:p>
            <w:r>
              <w:rPr>
                <w:b/>
                <w:bCs/>
                <w:sz w:val="18"/>
                <w:szCs w:val="18"/>
              </w:rPr>
              <w:t xml:space="preserve">#</w:t>
            </w:r>
          </w:p>
        </w:tc>
        <w:tc>
          <w:tcPr>
            <w:tcW w:type="dxa" w:w="4200"/>
            <w:shd w:fill="E5E7EB" w:val="clear"/>
          </w:tcPr>
          <w:p>
            <w:r>
              <w:rPr>
                <w:b/>
                <w:bCs/>
                <w:sz w:val="18"/>
                <w:szCs w:val="18"/>
              </w:rPr>
              <w:t xml:space="preserve">Potential deficiency</w:t>
            </w:r>
          </w:p>
        </w:tc>
        <w:tc>
          <w:tcPr>
            <w:tcW w:type="dxa" w:w="4700"/>
            <w:shd w:fill="E5E7EB" w:val="clear"/>
          </w:tcPr>
          <w:p>
            <w:r>
              <w:rPr>
                <w:b/>
                <w:bCs/>
                <w:sz w:val="18"/>
                <w:szCs w:val="18"/>
              </w:rPr>
              <w:t xml:space="preserve">Rationale</w:t>
            </w:r>
          </w:p>
        </w:tc>
      </w:tr>
      <w:tr>
        <w:tc>
          <w:tcPr>
            <w:tcW w:type="dxa" w:w="700"/>
          </w:tcPr>
          <w:p>
            <w:r>
              <w:rPr>
                <w:b w:val="false"/>
                <w:bCs w:val="false"/>
                <w:sz w:val="18"/>
                <w:szCs w:val="18"/>
              </w:rPr>
              <w:t xml:space="preserve">D1</w:t>
            </w:r>
          </w:p>
        </w:tc>
        <w:tc>
          <w:tcPr>
            <w:tcW w:type="dxa" w:w="4200"/>
          </w:tcPr>
          <w:p>
            <w:r>
              <w:rPr>
                <w:b w:val="false"/>
                <w:bCs w:val="false"/>
                <w:sz w:val="18"/>
                <w:szCs w:val="18"/>
              </w:rPr>
              <w:t xml:space="preserve">Primary packaging may not have a UDI symbol in the "Zone C" position.</w:t>
            </w:r>
          </w:p>
        </w:tc>
        <w:tc>
          <w:tcPr>
            <w:tcW w:type="dxa" w:w="4700"/>
          </w:tcPr>
          <w:p>
            <w:r>
              <w:rPr>
                <w:b w:val="false"/>
                <w:bCs w:val="false"/>
                <w:sz w:val="18"/>
                <w:szCs w:val="18"/>
              </w:rPr>
              <w:t xml:space="preserve">R1 defines a new placement rule not designed against existing artwork.</w:t>
            </w:r>
          </w:p>
        </w:tc>
      </w:tr>
      <w:tr>
        <w:tc>
          <w:tcPr>
            <w:tcW w:type="dxa" w:w="700"/>
          </w:tcPr>
          <w:p>
            <w:r>
              <w:rPr>
                <w:b w:val="false"/>
                <w:bCs w:val="false"/>
                <w:sz w:val="18"/>
                <w:szCs w:val="18"/>
              </w:rPr>
              <w:t xml:space="preserve">D2</w:t>
            </w:r>
          </w:p>
        </w:tc>
        <w:tc>
          <w:tcPr>
            <w:tcW w:type="dxa" w:w="4200"/>
          </w:tcPr>
          <w:p>
            <w:r>
              <w:rPr>
                <w:b w:val="false"/>
                <w:bCs w:val="false"/>
                <w:sz w:val="18"/>
                <w:szCs w:val="18"/>
              </w:rPr>
              <w:t xml:space="preserve">eIFU may be served only via an external link, not cached offline.</w:t>
            </w:r>
          </w:p>
        </w:tc>
        <w:tc>
          <w:tcPr>
            <w:tcW w:type="dxa" w:w="4700"/>
          </w:tcPr>
          <w:p>
            <w:r>
              <w:rPr>
                <w:b w:val="false"/>
                <w:bCs w:val="false"/>
                <w:sz w:val="18"/>
                <w:szCs w:val="18"/>
              </w:rPr>
              <w:t xml:space="preserve">R2 requires offline-renderable, language-selected eIFU.</w:t>
            </w:r>
          </w:p>
        </w:tc>
      </w:tr>
      <w:tr>
        <w:tc>
          <w:tcPr>
            <w:tcW w:type="dxa" w:w="700"/>
          </w:tcPr>
          <w:p>
            <w:r>
              <w:rPr>
                <w:b w:val="false"/>
                <w:bCs w:val="false"/>
                <w:sz w:val="18"/>
                <w:szCs w:val="18"/>
              </w:rPr>
              <w:t xml:space="preserve">D3</w:t>
            </w:r>
          </w:p>
        </w:tc>
        <w:tc>
          <w:tcPr>
            <w:tcW w:type="dxa" w:w="4200"/>
          </w:tcPr>
          <w:p>
            <w:r>
              <w:rPr>
                <w:b w:val="false"/>
                <w:bCs w:val="false"/>
                <w:sz w:val="18"/>
                <w:szCs w:val="18"/>
              </w:rPr>
              <w:t xml:space="preserve">Wireless device labelling may not disclose its update mechanism.</w:t>
            </w:r>
          </w:p>
        </w:tc>
        <w:tc>
          <w:tcPr>
            <w:tcW w:type="dxa" w:w="4700"/>
          </w:tcPr>
          <w:p>
            <w:r>
              <w:rPr>
                <w:b w:val="false"/>
                <w:bCs w:val="false"/>
                <w:sz w:val="18"/>
                <w:szCs w:val="18"/>
              </w:rPr>
              <w:t xml:space="preserve">R3 is a new disclosure not anticipated by prior labelling cycles.</w:t>
            </w:r>
          </w:p>
        </w:tc>
      </w:tr>
      <w:tr>
        <w:tc>
          <w:tcPr>
            <w:tcW w:type="dxa" w:w="700"/>
          </w:tcPr>
          <w:p>
            <w:r>
              <w:rPr>
                <w:b w:val="false"/>
                <w:bCs w:val="false"/>
                <w:sz w:val="18"/>
                <w:szCs w:val="18"/>
              </w:rPr>
              <w:t xml:space="preserve">D4</w:t>
            </w:r>
          </w:p>
        </w:tc>
        <w:tc>
          <w:tcPr>
            <w:tcW w:type="dxa" w:w="4200"/>
          </w:tcPr>
          <w:p>
            <w:r>
              <w:rPr>
                <w:b w:val="false"/>
                <w:bCs w:val="false"/>
                <w:sz w:val="18"/>
                <w:szCs w:val="18"/>
              </w:rPr>
              <w:t xml:space="preserve">Post-market reporting procedures may reference the old window.</w:t>
            </w:r>
          </w:p>
        </w:tc>
        <w:tc>
          <w:tcPr>
            <w:tcW w:type="dxa" w:w="4700"/>
          </w:tcPr>
          <w:p>
            <w:r>
              <w:rPr>
                <w:b w:val="false"/>
                <w:bCs w:val="false"/>
                <w:sz w:val="18"/>
                <w:szCs w:val="18"/>
              </w:rPr>
              <w:t xml:space="preserve">R4 shortens the window from 30 to 10 fictional days.</w:t>
            </w:r>
          </w:p>
        </w:tc>
      </w:tr>
      <w:tr>
        <w:tc>
          <w:tcPr>
            <w:tcW w:type="dxa" w:w="700"/>
          </w:tcPr>
          <w:p>
            <w:r>
              <w:rPr>
                <w:b w:val="false"/>
                <w:bCs w:val="false"/>
                <w:sz w:val="18"/>
                <w:szCs w:val="18"/>
              </w:rPr>
              <w:t xml:space="preserve">D5</w:t>
            </w:r>
          </w:p>
        </w:tc>
        <w:tc>
          <w:tcPr>
            <w:tcW w:type="dxa" w:w="4200"/>
          </w:tcPr>
          <w:p>
            <w:r>
              <w:rPr>
                <w:b w:val="false"/>
                <w:bCs w:val="false"/>
                <w:sz w:val="18"/>
                <w:szCs w:val="18"/>
              </w:rPr>
              <w:t xml:space="preserve">A registration record may lack the new compliance attestation.</w:t>
            </w:r>
          </w:p>
        </w:tc>
        <w:tc>
          <w:tcPr>
            <w:tcW w:type="dxa" w:w="4700"/>
          </w:tcPr>
          <w:p>
            <w:r>
              <w:rPr>
                <w:b w:val="false"/>
                <w:bCs w:val="false"/>
                <w:sz w:val="18"/>
                <w:szCs w:val="18"/>
              </w:rPr>
              <w:t xml:space="preserve">R5 requires an attestation not present in current fictional data.</w:t>
            </w:r>
          </w:p>
        </w:tc>
      </w:tr>
    </w:tbl>
    <w:p>
      <w:pPr>
        <w:spacing w:after="120"/>
      </w:pPr>
      <w:r>
        <w:rPr>
          <w:i/>
          <w:iCs/>
        </w:rPr>
        <w:t xml:space="preserve">"Potentially Affected" and "Requires Review" are the only status labels used below. Nothing here, and nothing PARIVART generates from it, states that a product IS non-compliant — only that a human reviewer should check a specific, named gap.</w:t>
      </w:r>
    </w:p>
    <w:p>
      <w:pPr>
        <w:pStyle w:val="Heading1"/>
        <w:spacing w:after="150" w:before="300"/>
      </w:pPr>
      <w:r>
        <w:t xml:space="preserve">4. Potentially affected demo products, markets, and processes</w:t>
      </w:r>
    </w:p>
    <w:p>
      <w:pPr>
        <w:spacing w:after="120"/>
      </w:pPr>
      <w:r>
        <w:t xml:space="preserve">Mapped against the Asterion Medical Systems demo portfolio (app/seeds/demo_data.py) for demonstration only: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800"/>
        <w:gridCol w:w="3600"/>
      </w:tblGrid>
      <w:tr>
        <w:tc>
          <w:tcPr>
            <w:tcW w:type="dxa" w:w="2600"/>
            <w:shd w:fill="E5E7EB" w:val="clear"/>
          </w:tcPr>
          <w:p>
            <w:r>
              <w:rPr>
                <w:b/>
                <w:bCs/>
                <w:sz w:val="18"/>
                <w:szCs w:val="18"/>
              </w:rPr>
              <w:t xml:space="preserve">Demo product</w:t>
            </w:r>
          </w:p>
        </w:tc>
        <w:tc>
          <w:tcPr>
            <w:tcW w:type="dxa" w:w="1600"/>
            <w:shd w:fill="E5E7EB" w:val="clear"/>
          </w:tcPr>
          <w:p>
            <w:r>
              <w:rPr>
                <w:b/>
                <w:bCs/>
                <w:sz w:val="18"/>
                <w:szCs w:val="18"/>
              </w:rPr>
              <w:t xml:space="preserve">Potentially affected by</w:t>
            </w:r>
          </w:p>
        </w:tc>
        <w:tc>
          <w:tcPr>
            <w:tcW w:type="dxa" w:w="1800"/>
            <w:shd w:fill="E5E7EB" w:val="clear"/>
          </w:tcPr>
          <w:p>
            <w:r>
              <w:rPr>
                <w:b/>
                <w:bCs/>
                <w:sz w:val="18"/>
                <w:szCs w:val="18"/>
              </w:rPr>
              <w:t xml:space="preserve">Markets to review</w:t>
            </w:r>
          </w:p>
        </w:tc>
        <w:tc>
          <w:tcPr>
            <w:tcW w:type="dxa" w:w="3600"/>
            <w:shd w:fill="E5E7EB" w:val="clear"/>
          </w:tcPr>
          <w:p>
            <w:r>
              <w:rPr>
                <w:b/>
                <w:bCs/>
                <w:sz w:val="18"/>
                <w:szCs w:val="18"/>
              </w:rPr>
              <w:t xml:space="preserve">Processes to review</w:t>
            </w:r>
          </w:p>
        </w:tc>
      </w:tr>
      <w:tr>
        <w:tc>
          <w:tcPr>
            <w:tcW w:type="dxa" w:w="2600"/>
          </w:tcPr>
          <w:p>
            <w:r>
              <w:rPr>
                <w:b w:val="false"/>
                <w:bCs w:val="false"/>
                <w:sz w:val="18"/>
                <w:szCs w:val="18"/>
              </w:rPr>
              <w:t xml:space="preserve">Asterion PulseSense (wearable, Class II)</w:t>
            </w:r>
          </w:p>
        </w:tc>
        <w:tc>
          <w:tcPr>
            <w:tcW w:type="dxa" w:w="1600"/>
          </w:tcPr>
          <w:p>
            <w:r>
              <w:rPr>
                <w:b w:val="false"/>
                <w:bCs w:val="false"/>
                <w:sz w:val="18"/>
                <w:szCs w:val="18"/>
              </w:rPr>
              <w:t xml:space="preserve">D1, D3</w:t>
            </w:r>
          </w:p>
        </w:tc>
        <w:tc>
          <w:tcPr>
            <w:tcW w:type="dxa" w:w="1800"/>
          </w:tcPr>
          <w:p>
            <w:r>
              <w:rPr>
                <w:b w:val="false"/>
                <w:bCs w:val="false"/>
                <w:sz w:val="18"/>
                <w:szCs w:val="18"/>
              </w:rPr>
              <w:t xml:space="preserve">US, EU, UK</w:t>
            </w:r>
          </w:p>
        </w:tc>
        <w:tc>
          <w:tcPr>
            <w:tcW w:type="dxa" w:w="3600"/>
          </w:tcPr>
          <w:p>
            <w:r>
              <w:rPr>
                <w:b w:val="false"/>
                <w:bCs w:val="false"/>
                <w:sz w:val="18"/>
                <w:szCs w:val="18"/>
              </w:rPr>
              <w:t xml:space="preserve">Labeling, Regulatory Submission</w:t>
            </w:r>
          </w:p>
        </w:tc>
      </w:tr>
      <w:tr>
        <w:tc>
          <w:tcPr>
            <w:tcW w:type="dxa" w:w="2600"/>
          </w:tcPr>
          <w:p>
            <w:r>
              <w:rPr>
                <w:b w:val="false"/>
                <w:bCs w:val="false"/>
                <w:sz w:val="18"/>
                <w:szCs w:val="18"/>
              </w:rPr>
              <w:t xml:space="preserve">Asterion CardioTrack (implantable, Class III)</w:t>
            </w:r>
          </w:p>
        </w:tc>
        <w:tc>
          <w:tcPr>
            <w:tcW w:type="dxa" w:w="1600"/>
          </w:tcPr>
          <w:p>
            <w:r>
              <w:rPr>
                <w:b w:val="false"/>
                <w:bCs w:val="false"/>
                <w:sz w:val="18"/>
                <w:szCs w:val="18"/>
              </w:rPr>
              <w:t xml:space="preserve">D1, D4</w:t>
            </w:r>
          </w:p>
        </w:tc>
        <w:tc>
          <w:tcPr>
            <w:tcW w:type="dxa" w:w="1800"/>
          </w:tcPr>
          <w:p>
            <w:r>
              <w:rPr>
                <w:b w:val="false"/>
                <w:bCs w:val="false"/>
                <w:sz w:val="18"/>
                <w:szCs w:val="18"/>
              </w:rPr>
              <w:t xml:space="preserve">US, EU</w:t>
            </w:r>
          </w:p>
        </w:tc>
        <w:tc>
          <w:tcPr>
            <w:tcW w:type="dxa" w:w="3600"/>
          </w:tcPr>
          <w:p>
            <w:r>
              <w:rPr>
                <w:b w:val="false"/>
                <w:bCs w:val="false"/>
                <w:sz w:val="18"/>
                <w:szCs w:val="18"/>
              </w:rPr>
              <w:t xml:space="preserve">Labeling, Post-Market Surveillance</w:t>
            </w:r>
          </w:p>
        </w:tc>
      </w:tr>
      <w:tr>
        <w:tc>
          <w:tcPr>
            <w:tcW w:type="dxa" w:w="2600"/>
          </w:tcPr>
          <w:p>
            <w:r>
              <w:rPr>
                <w:b w:val="false"/>
                <w:bCs w:val="false"/>
                <w:sz w:val="18"/>
                <w:szCs w:val="18"/>
              </w:rPr>
              <w:t xml:space="preserve">Asterion NeoMonitor (ICU monitoring, Class II)</w:t>
            </w:r>
          </w:p>
        </w:tc>
        <w:tc>
          <w:tcPr>
            <w:tcW w:type="dxa" w:w="1600"/>
          </w:tcPr>
          <w:p>
            <w:r>
              <w:rPr>
                <w:b w:val="false"/>
                <w:bCs w:val="false"/>
                <w:sz w:val="18"/>
                <w:szCs w:val="18"/>
              </w:rPr>
              <w:t xml:space="preserve">D2, D3</w:t>
            </w:r>
          </w:p>
        </w:tc>
        <w:tc>
          <w:tcPr>
            <w:tcW w:type="dxa" w:w="1800"/>
          </w:tcPr>
          <w:p>
            <w:r>
              <w:rPr>
                <w:b w:val="false"/>
                <w:bCs w:val="false"/>
                <w:sz w:val="18"/>
                <w:szCs w:val="18"/>
              </w:rPr>
              <w:t xml:space="preserve">US, Canada</w:t>
            </w:r>
          </w:p>
        </w:tc>
        <w:tc>
          <w:tcPr>
            <w:tcW w:type="dxa" w:w="3600"/>
          </w:tcPr>
          <w:p>
            <w:r>
              <w:rPr>
                <w:b w:val="false"/>
                <w:bCs w:val="false"/>
                <w:sz w:val="18"/>
                <w:szCs w:val="18"/>
              </w:rPr>
              <w:t xml:space="preserve">Labeling, Clinical Evaluation</w:t>
            </w:r>
          </w:p>
        </w:tc>
      </w:tr>
      <w:tr>
        <w:tc>
          <w:tcPr>
            <w:tcW w:type="dxa" w:w="2600"/>
          </w:tcPr>
          <w:p>
            <w:r>
              <w:rPr>
                <w:b w:val="false"/>
                <w:bCs w:val="false"/>
                <w:sz w:val="18"/>
                <w:szCs w:val="18"/>
              </w:rPr>
              <w:t xml:space="preserve">Asterion VitalHub (bedside monitor, Class II)</w:t>
            </w:r>
          </w:p>
        </w:tc>
        <w:tc>
          <w:tcPr>
            <w:tcW w:type="dxa" w:w="1600"/>
          </w:tcPr>
          <w:p>
            <w:r>
              <w:rPr>
                <w:b w:val="false"/>
                <w:bCs w:val="false"/>
                <w:sz w:val="18"/>
                <w:szCs w:val="18"/>
              </w:rPr>
              <w:t xml:space="preserve">D2, D4, D5</w:t>
            </w:r>
          </w:p>
        </w:tc>
        <w:tc>
          <w:tcPr>
            <w:tcW w:type="dxa" w:w="1800"/>
          </w:tcPr>
          <w:p>
            <w:r>
              <w:rPr>
                <w:b w:val="false"/>
                <w:bCs w:val="false"/>
                <w:sz w:val="18"/>
                <w:szCs w:val="18"/>
              </w:rPr>
              <w:t xml:space="preserve">EU, UK, India</w:t>
            </w:r>
          </w:p>
        </w:tc>
        <w:tc>
          <w:tcPr>
            <w:tcW w:type="dxa" w:w="3600"/>
          </w:tcPr>
          <w:p>
            <w:r>
              <w:rPr>
                <w:b w:val="false"/>
                <w:bCs w:val="false"/>
                <w:sz w:val="18"/>
                <w:szCs w:val="18"/>
              </w:rPr>
              <w:t xml:space="preserve">Labeling, Regulatory Submission, PMS</w:t>
            </w:r>
          </w:p>
        </w:tc>
      </w:tr>
      <w:tr>
        <w:tc>
          <w:tcPr>
            <w:tcW w:type="dxa" w:w="2600"/>
          </w:tcPr>
          <w:p>
            <w:r>
              <w:rPr>
                <w:b w:val="false"/>
                <w:bCs w:val="false"/>
                <w:sz w:val="18"/>
                <w:szCs w:val="18"/>
              </w:rPr>
              <w:t xml:space="preserve">Asterion InfuFlow (infusion pump, Class II)</w:t>
            </w:r>
          </w:p>
        </w:tc>
        <w:tc>
          <w:tcPr>
            <w:tcW w:type="dxa" w:w="1600"/>
          </w:tcPr>
          <w:p>
            <w:r>
              <w:rPr>
                <w:b w:val="false"/>
                <w:bCs w:val="false"/>
                <w:sz w:val="18"/>
                <w:szCs w:val="18"/>
              </w:rPr>
              <w:t xml:space="preserve">D5</w:t>
            </w:r>
          </w:p>
        </w:tc>
        <w:tc>
          <w:tcPr>
            <w:tcW w:type="dxa" w:w="1800"/>
          </w:tcPr>
          <w:p>
            <w:r>
              <w:rPr>
                <w:b w:val="false"/>
                <w:bCs w:val="false"/>
                <w:sz w:val="18"/>
                <w:szCs w:val="18"/>
              </w:rPr>
              <w:t xml:space="preserve">US, India</w:t>
            </w:r>
          </w:p>
        </w:tc>
        <w:tc>
          <w:tcPr>
            <w:tcW w:type="dxa" w:w="3600"/>
          </w:tcPr>
          <w:p>
            <w:r>
              <w:rPr>
                <w:b w:val="false"/>
                <w:bCs w:val="false"/>
                <w:sz w:val="18"/>
                <w:szCs w:val="18"/>
              </w:rPr>
              <w:t xml:space="preserve">Regulatory Submission</w:t>
            </w:r>
          </w:p>
        </w:tc>
      </w:tr>
    </w:tbl>
    <w:p>
      <w:pPr>
        <w:pStyle w:val="Heading1"/>
        <w:spacing w:after="150" w:before="300"/>
      </w:pPr>
      <w:r>
        <w:t xml:space="preserve">5. Evidence required to assess each potential deficiency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tblGrid>
      <w:tr>
        <w:tc>
          <w:tcPr>
            <w:tcW w:type="dxa" w:w="1500"/>
            <w:shd w:fill="E5E7EB" w:val="clear"/>
          </w:tcPr>
          <w:p>
            <w:r>
              <w:rPr>
                <w:b/>
                <w:bCs/>
                <w:sz w:val="18"/>
                <w:szCs w:val="18"/>
              </w:rPr>
              <w:t xml:space="preserve">Deficiency</w:t>
            </w:r>
          </w:p>
        </w:tc>
        <w:tc>
          <w:tcPr>
            <w:tcW w:type="dxa" w:w="8100"/>
            <w:shd w:fill="E5E7EB" w:val="clear"/>
          </w:tcPr>
          <w:p>
            <w:r>
              <w:rPr>
                <w:b/>
                <w:bCs/>
                <w:sz w:val="18"/>
                <w:szCs w:val="18"/>
              </w:rPr>
              <w:t xml:space="preserve">Evidence a reviewer would need</w:t>
            </w:r>
          </w:p>
        </w:tc>
      </w:tr>
      <w:tr>
        <w:tc>
          <w:tcPr>
            <w:tcW w:type="dxa" w:w="1500"/>
          </w:tcPr>
          <w:p>
            <w:r>
              <w:rPr>
                <w:b w:val="false"/>
                <w:bCs w:val="false"/>
                <w:sz w:val="18"/>
                <w:szCs w:val="18"/>
              </w:rPr>
              <w:t xml:space="preserve">D1</w:t>
            </w:r>
          </w:p>
        </w:tc>
        <w:tc>
          <w:tcPr>
            <w:tcW w:type="dxa" w:w="8100"/>
          </w:tcPr>
          <w:p>
            <w:r>
              <w:rPr>
                <w:b w:val="false"/>
                <w:bCs w:val="false"/>
                <w:sz w:val="18"/>
                <w:szCs w:val="18"/>
              </w:rPr>
              <w:t xml:space="preserve">Current packaging artwork/specification showing UDI symbol placement.</w:t>
            </w:r>
          </w:p>
        </w:tc>
      </w:tr>
      <w:tr>
        <w:tc>
          <w:tcPr>
            <w:tcW w:type="dxa" w:w="1500"/>
          </w:tcPr>
          <w:p>
            <w:r>
              <w:rPr>
                <w:b w:val="false"/>
                <w:bCs w:val="false"/>
                <w:sz w:val="18"/>
                <w:szCs w:val="18"/>
              </w:rPr>
              <w:t xml:space="preserve">D2</w:t>
            </w:r>
          </w:p>
        </w:tc>
        <w:tc>
          <w:tcPr>
            <w:tcW w:type="dxa" w:w="8100"/>
          </w:tcPr>
          <w:p>
            <w:r>
              <w:rPr>
                <w:b w:val="false"/>
                <w:bCs w:val="false"/>
                <w:sz w:val="18"/>
                <w:szCs w:val="18"/>
              </w:rPr>
              <w:t xml:space="preserve">Companion software screenshots or a build showing eIFU delivery (link vs. cached render).</w:t>
            </w:r>
          </w:p>
        </w:tc>
      </w:tr>
      <w:tr>
        <w:tc>
          <w:tcPr>
            <w:tcW w:type="dxa" w:w="1500"/>
          </w:tcPr>
          <w:p>
            <w:r>
              <w:rPr>
                <w:b w:val="false"/>
                <w:bCs w:val="false"/>
                <w:sz w:val="18"/>
                <w:szCs w:val="18"/>
              </w:rPr>
              <w:t xml:space="preserve">D3</w:t>
            </w:r>
          </w:p>
        </w:tc>
        <w:tc>
          <w:tcPr>
            <w:tcW w:type="dxa" w:w="8100"/>
          </w:tcPr>
          <w:p>
            <w:r>
              <w:rPr>
                <w:b w:val="false"/>
                <w:bCs w:val="false"/>
                <w:sz w:val="18"/>
                <w:szCs w:val="18"/>
              </w:rPr>
              <w:t xml:space="preserve">Current labelling text/artwork for wireless-connectivity disclosures.</w:t>
            </w:r>
          </w:p>
        </w:tc>
      </w:tr>
      <w:tr>
        <w:tc>
          <w:tcPr>
            <w:tcW w:type="dxa" w:w="1500"/>
          </w:tcPr>
          <w:p>
            <w:r>
              <w:rPr>
                <w:b w:val="false"/>
                <w:bCs w:val="false"/>
                <w:sz w:val="18"/>
                <w:szCs w:val="18"/>
              </w:rPr>
              <w:t xml:space="preserve">D4</w:t>
            </w:r>
          </w:p>
        </w:tc>
        <w:tc>
          <w:tcPr>
            <w:tcW w:type="dxa" w:w="8100"/>
          </w:tcPr>
          <w:p>
            <w:r>
              <w:rPr>
                <w:b w:val="false"/>
                <w:bCs w:val="false"/>
                <w:sz w:val="18"/>
                <w:szCs w:val="18"/>
              </w:rPr>
              <w:t xml:space="preserve">The current post-market safety reporting SOP, showing the stated reporting window.</w:t>
            </w:r>
          </w:p>
        </w:tc>
      </w:tr>
      <w:tr>
        <w:tc>
          <w:tcPr>
            <w:tcW w:type="dxa" w:w="1500"/>
          </w:tcPr>
          <w:p>
            <w:r>
              <w:rPr>
                <w:b w:val="false"/>
                <w:bCs w:val="false"/>
                <w:sz w:val="18"/>
                <w:szCs w:val="18"/>
              </w:rPr>
              <w:t xml:space="preserve">D5</w:t>
            </w:r>
          </w:p>
        </w:tc>
        <w:tc>
          <w:tcPr>
            <w:tcW w:type="dxa" w:w="8100"/>
          </w:tcPr>
          <w:p>
            <w:r>
              <w:rPr>
                <w:b w:val="false"/>
                <w:bCs w:val="false"/>
                <w:sz w:val="18"/>
                <w:szCs w:val="18"/>
              </w:rPr>
              <w:t xml:space="preserve">The current registration record for the product/market pair.</w:t>
            </w:r>
          </w:p>
        </w:tc>
      </w:tr>
    </w:tbl>
    <w:p>
      <w:pPr>
        <w:pStyle w:val="Heading1"/>
        <w:spacing w:after="150" w:before="300"/>
      </w:pPr>
      <w:r>
        <w:t xml:space="preserve">6. Recommended human review steps</w:t>
      </w:r>
    </w:p>
    <w:p>
      <w:pPr>
        <w:pStyle w:val="ListParagraph"/>
        <w:numPr>
          <w:ilvl w:val="0"/>
          <w:numId w:val="2"/>
        </w:numPr>
      </w:pPr>
      <w:r>
        <w:t xml:space="preserve">A Regulatory Affairs reviewer confirms whether each "Potentially Affected" mapping above is accurate — PARIVART's deterministic matching only establishes a candidate link via product/market/process/jurisdiction overlap; it does not confirm actual non-compliance.</w:t>
      </w:r>
    </w:p>
    <w:p>
      <w:pPr>
        <w:pStyle w:val="ListParagraph"/>
        <w:numPr>
          <w:ilvl w:val="0"/>
          <w:numId w:val="2"/>
        </w:numPr>
      </w:pPr>
      <w:r>
        <w:t xml:space="preserve">For each confirmed candidate, the reviewer records an ImpactReview decision (ACCEPT, MODIFY, REJECT, or NEEDS_MORE_INFORMATION) against the generated impact assessment.</w:t>
      </w:r>
    </w:p>
    <w:p>
      <w:pPr>
        <w:pStyle w:val="ListParagraph"/>
        <w:numPr>
          <w:ilvl w:val="0"/>
          <w:numId w:val="2"/>
        </w:numPr>
      </w:pPr>
      <w:r>
        <w:t xml:space="preserve">Only on ACCEPT or MODIFY does a remediation Action get created, with the evidence in Section 5 attached as it is gathered.</w:t>
      </w:r>
    </w:p>
    <w:p>
      <w:pPr>
        <w:pStyle w:val="ListParagraph"/>
        <w:numPr>
          <w:ilvl w:val="0"/>
          <w:numId w:val="2"/>
        </w:numPr>
      </w:pPr>
      <w:r>
        <w:t xml:space="preserve">No Action is closed without the evidence listed in Section 5 being on file.</w:t>
      </w:r>
    </w:p>
    <w:p>
      <w:pPr>
        <w:pStyle w:val="Heading1"/>
        <w:spacing w:after="150" w:before="300"/>
      </w:pPr>
      <w:r>
        <w:t xml:space="preserve">7. Suggested actions, owners, priorities, and due dates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1300"/>
        <w:gridCol w:w="2500"/>
      </w:tblGrid>
      <w:tr>
        <w:tc>
          <w:tcPr>
            <w:tcW w:type="dxa" w:w="3200"/>
            <w:shd w:fill="E5E7EB" w:val="clear"/>
          </w:tcPr>
          <w:p>
            <w:r>
              <w:rPr>
                <w:b/>
                <w:bCs/>
                <w:sz w:val="18"/>
                <w:szCs w:val="18"/>
              </w:rPr>
              <w:t xml:space="preserve">Action</w:t>
            </w:r>
          </w:p>
        </w:tc>
        <w:tc>
          <w:tcPr>
            <w:tcW w:type="dxa" w:w="2600"/>
            <w:shd w:fill="E5E7EB" w:val="clear"/>
          </w:tcPr>
          <w:p>
            <w:r>
              <w:rPr>
                <w:b/>
                <w:bCs/>
                <w:sz w:val="18"/>
                <w:szCs w:val="18"/>
              </w:rPr>
              <w:t xml:space="preserve">Suggested owner role</w:t>
            </w:r>
          </w:p>
        </w:tc>
        <w:tc>
          <w:tcPr>
            <w:tcW w:type="dxa" w:w="1300"/>
            <w:shd w:fill="E5E7EB" w:val="clear"/>
          </w:tcPr>
          <w:p>
            <w:r>
              <w:rPr>
                <w:b/>
                <w:bCs/>
                <w:sz w:val="18"/>
                <w:szCs w:val="18"/>
              </w:rPr>
              <w:t xml:space="preserve">Priority</w:t>
            </w:r>
          </w:p>
        </w:tc>
        <w:tc>
          <w:tcPr>
            <w:tcW w:type="dxa" w:w="2500"/>
            <w:shd w:fill="E5E7EB" w:val="clear"/>
          </w:tcPr>
          <w:p>
            <w:r>
              <w:rPr>
                <w:b/>
                <w:bCs/>
                <w:sz w:val="18"/>
                <w:szCs w:val="18"/>
              </w:rPr>
              <w:t xml:space="preserve">Suggested due date</w:t>
            </w:r>
          </w:p>
        </w:tc>
      </w:tr>
      <w:tr>
        <w:tc>
          <w:tcPr>
            <w:tcW w:type="dxa" w:w="3200"/>
          </w:tcPr>
          <w:p>
            <w:r>
              <w:rPr>
                <w:b w:val="false"/>
                <w:bCs w:val="false"/>
                <w:sz w:val="18"/>
                <w:szCs w:val="18"/>
              </w:rPr>
              <w:t xml:space="preserve">Verify/update UDI symbol placement</w:t>
            </w:r>
          </w:p>
        </w:tc>
        <w:tc>
          <w:tcPr>
            <w:tcW w:type="dxa" w:w="2600"/>
          </w:tcPr>
          <w:p>
            <w:r>
              <w:rPr>
                <w:b w:val="false"/>
                <w:bCs w:val="false"/>
                <w:sz w:val="18"/>
                <w:szCs w:val="18"/>
              </w:rPr>
              <w:t xml:space="preserve">Regulatory Affairs Lead</w:t>
            </w:r>
          </w:p>
        </w:tc>
        <w:tc>
          <w:tcPr>
            <w:tcW w:type="dxa" w:w="1300"/>
          </w:tcPr>
          <w:p>
            <w:r>
              <w:rPr>
                <w:b w:val="false"/>
                <w:bCs w:val="false"/>
                <w:sz w:val="18"/>
                <w:szCs w:val="18"/>
              </w:rPr>
              <w:t xml:space="preserve">HIGH</w:t>
            </w:r>
          </w:p>
        </w:tc>
        <w:tc>
          <w:tcPr>
            <w:tcW w:type="dxa" w:w="2500"/>
          </w:tcPr>
          <w:p>
            <w:r>
              <w:rPr>
                <w:b w:val="false"/>
                <w:bCs w:val="false"/>
                <w:sz w:val="18"/>
                <w:szCs w:val="18"/>
              </w:rPr>
              <w:t xml:space="preserve">60 days before effective date</w:t>
            </w:r>
          </w:p>
        </w:tc>
      </w:tr>
      <w:tr>
        <w:tc>
          <w:tcPr>
            <w:tcW w:type="dxa" w:w="3200"/>
          </w:tcPr>
          <w:p>
            <w:r>
              <w:rPr>
                <w:b w:val="false"/>
                <w:bCs w:val="false"/>
                <w:sz w:val="18"/>
                <w:szCs w:val="18"/>
              </w:rPr>
              <w:t xml:space="preserve">Update companion software eIFU caching</w:t>
            </w:r>
          </w:p>
        </w:tc>
        <w:tc>
          <w:tcPr>
            <w:tcW w:type="dxa" w:w="2600"/>
          </w:tcPr>
          <w:p>
            <w:r>
              <w:rPr>
                <w:b w:val="false"/>
                <w:bCs w:val="false"/>
                <w:sz w:val="18"/>
                <w:szCs w:val="18"/>
              </w:rPr>
              <w:t xml:space="preserve">Software Engineering Lead</w:t>
            </w:r>
          </w:p>
        </w:tc>
        <w:tc>
          <w:tcPr>
            <w:tcW w:type="dxa" w:w="1300"/>
          </w:tcPr>
          <w:p>
            <w:r>
              <w:rPr>
                <w:b w:val="false"/>
                <w:bCs w:val="false"/>
                <w:sz w:val="18"/>
                <w:szCs w:val="18"/>
              </w:rPr>
              <w:t xml:space="preserve">HIGH</w:t>
            </w:r>
          </w:p>
        </w:tc>
        <w:tc>
          <w:tcPr>
            <w:tcW w:type="dxa" w:w="2500"/>
          </w:tcPr>
          <w:p>
            <w:r>
              <w:rPr>
                <w:b w:val="false"/>
                <w:bCs w:val="false"/>
                <w:sz w:val="18"/>
                <w:szCs w:val="18"/>
              </w:rPr>
              <w:t xml:space="preserve">90 days before effective date</w:t>
            </w:r>
          </w:p>
        </w:tc>
      </w:tr>
      <w:tr>
        <w:tc>
          <w:tcPr>
            <w:tcW w:type="dxa" w:w="3200"/>
          </w:tcPr>
          <w:p>
            <w:r>
              <w:rPr>
                <w:b w:val="false"/>
                <w:bCs w:val="false"/>
                <w:sz w:val="18"/>
                <w:szCs w:val="18"/>
              </w:rPr>
              <w:t xml:space="preserve">Add wireless update-mechanism disclosure</w:t>
            </w:r>
          </w:p>
        </w:tc>
        <w:tc>
          <w:tcPr>
            <w:tcW w:type="dxa" w:w="2600"/>
          </w:tcPr>
          <w:p>
            <w:r>
              <w:rPr>
                <w:b w:val="false"/>
                <w:bCs w:val="false"/>
                <w:sz w:val="18"/>
                <w:szCs w:val="18"/>
              </w:rPr>
              <w:t xml:space="preserve">Regulatory Affairs Lead</w:t>
            </w:r>
          </w:p>
        </w:tc>
        <w:tc>
          <w:tcPr>
            <w:tcW w:type="dxa" w:w="1300"/>
          </w:tcPr>
          <w:p>
            <w:r>
              <w:rPr>
                <w:b w:val="false"/>
                <w:bCs w:val="false"/>
                <w:sz w:val="18"/>
                <w:szCs w:val="18"/>
              </w:rPr>
              <w:t xml:space="preserve">MEDIUM</w:t>
            </w:r>
          </w:p>
        </w:tc>
        <w:tc>
          <w:tcPr>
            <w:tcW w:type="dxa" w:w="2500"/>
          </w:tcPr>
          <w:p>
            <w:r>
              <w:rPr>
                <w:b w:val="false"/>
                <w:bCs w:val="false"/>
                <w:sz w:val="18"/>
                <w:szCs w:val="18"/>
              </w:rPr>
              <w:t xml:space="preserve">60 days before effective date</w:t>
            </w:r>
          </w:p>
        </w:tc>
      </w:tr>
      <w:tr>
        <w:tc>
          <w:tcPr>
            <w:tcW w:type="dxa" w:w="3200"/>
          </w:tcPr>
          <w:p>
            <w:r>
              <w:rPr>
                <w:b w:val="false"/>
                <w:bCs w:val="false"/>
                <w:sz w:val="18"/>
                <w:szCs w:val="18"/>
              </w:rPr>
              <w:t xml:space="preserve">Update post-market reporting SOP</w:t>
            </w:r>
          </w:p>
        </w:tc>
        <w:tc>
          <w:tcPr>
            <w:tcW w:type="dxa" w:w="2600"/>
          </w:tcPr>
          <w:p>
            <w:r>
              <w:rPr>
                <w:b w:val="false"/>
                <w:bCs w:val="false"/>
                <w:sz w:val="18"/>
                <w:szCs w:val="18"/>
              </w:rPr>
              <w:t xml:space="preserve">Quality Manager</w:t>
            </w:r>
          </w:p>
        </w:tc>
        <w:tc>
          <w:tcPr>
            <w:tcW w:type="dxa" w:w="1300"/>
          </w:tcPr>
          <w:p>
            <w:r>
              <w:rPr>
                <w:b w:val="false"/>
                <w:bCs w:val="false"/>
                <w:sz w:val="18"/>
                <w:szCs w:val="18"/>
              </w:rPr>
              <w:t xml:space="preserve">MEDIUM</w:t>
            </w:r>
          </w:p>
        </w:tc>
        <w:tc>
          <w:tcPr>
            <w:tcW w:type="dxa" w:w="2500"/>
          </w:tcPr>
          <w:p>
            <w:r>
              <w:rPr>
                <w:b w:val="false"/>
                <w:bCs w:val="false"/>
                <w:sz w:val="18"/>
                <w:szCs w:val="18"/>
              </w:rPr>
              <w:t xml:space="preserve">30 days before effective date</w:t>
            </w:r>
          </w:p>
        </w:tc>
      </w:tr>
      <w:tr>
        <w:tc>
          <w:tcPr>
            <w:tcW w:type="dxa" w:w="3200"/>
          </w:tcPr>
          <w:p>
            <w:r>
              <w:rPr>
                <w:b w:val="false"/>
                <w:bCs w:val="false"/>
                <w:sz w:val="18"/>
                <w:szCs w:val="18"/>
              </w:rPr>
              <w:t xml:space="preserve">File registration compliance attestations</w:t>
            </w:r>
          </w:p>
        </w:tc>
        <w:tc>
          <w:tcPr>
            <w:tcW w:type="dxa" w:w="2600"/>
          </w:tcPr>
          <w:p>
            <w:r>
              <w:rPr>
                <w:b w:val="false"/>
                <w:bCs w:val="false"/>
                <w:sz w:val="18"/>
                <w:szCs w:val="18"/>
              </w:rPr>
              <w:t xml:space="preserve">Regulatory Affairs Lead</w:t>
            </w:r>
          </w:p>
        </w:tc>
        <w:tc>
          <w:tcPr>
            <w:tcW w:type="dxa" w:w="1300"/>
          </w:tcPr>
          <w:p>
            <w:r>
              <w:rPr>
                <w:b w:val="false"/>
                <w:bCs w:val="false"/>
                <w:sz w:val="18"/>
                <w:szCs w:val="18"/>
              </w:rPr>
              <w:t xml:space="preserve">HIGH</w:t>
            </w:r>
          </w:p>
        </w:tc>
        <w:tc>
          <w:tcPr>
            <w:tcW w:type="dxa" w:w="2500"/>
          </w:tcPr>
          <w:p>
            <w:r>
              <w:rPr>
                <w:b w:val="false"/>
                <w:bCs w:val="false"/>
                <w:sz w:val="18"/>
                <w:szCs w:val="18"/>
              </w:rPr>
              <w:t xml:space="preserve">30 days before effective date</w:t>
            </w:r>
          </w:p>
        </w:tc>
      </w:tr>
    </w:tbl>
    <w:p>
      <w:pPr>
        <w:pStyle w:val="Heading1"/>
        <w:spacing w:after="150" w:before="300"/>
      </w:pPr>
      <w:r>
        <w:t xml:space="preserve">8. Acceptance and closure criteria</w:t>
      </w:r>
    </w:p>
    <w:p>
      <w:pPr>
        <w:spacing w:after="120"/>
      </w:pPr>
      <w:r>
        <w:t xml:space="preserve">An action derived from this notice may be marked COMPLETED only when:</w:t>
      </w:r>
    </w:p>
    <w:p>
      <w:pPr>
        <w:pStyle w:val="ListParagraph"/>
        <w:numPr>
          <w:ilvl w:val="0"/>
          <w:numId w:val="1"/>
        </w:numPr>
        <w:spacing w:after="60"/>
      </w:pPr>
      <w:r>
        <w:t xml:space="preserve">The specific evidence listed in Section 5 for its deficiency is attached as Evidence on the action, AND</w:t>
      </w:r>
    </w:p>
    <w:p>
      <w:pPr>
        <w:pStyle w:val="ListParagraph"/>
        <w:numPr>
          <w:ilvl w:val="0"/>
          <w:numId w:val="1"/>
        </w:numPr>
        <w:spacing w:after="60"/>
      </w:pPr>
      <w:r>
        <w:t xml:space="preserve">A reviewer with appropriate authority has recorded an ImpactReview decision of ACCEPT on the governing impact assessment (or a later re-assessment superseding it), AND</w:t>
      </w:r>
    </w:p>
    <w:p>
      <w:pPr>
        <w:pStyle w:val="ListParagraph"/>
        <w:numPr>
          <w:ilvl w:val="0"/>
          <w:numId w:val="1"/>
        </w:numPr>
        <w:spacing w:after="60"/>
      </w:pPr>
      <w:r>
        <w:t xml:space="preserve">The AuditEvent trail for the action shows a complete OPEN -&gt; IN_PROGRESS -&gt; COMPLETED history with no unexplained status gaps.</w:t>
      </w:r>
    </w:p>
    <w:p>
      <w:pPr>
        <w:spacing w:after="120"/>
      </w:pPr>
      <w:r>
        <w:t xml:space="preserve">An action should instead be left BLOCKED if evidence cannot yet be produced, with a note explaining the blocker — never marked COMPLETED on the assumption that it will be produced later.</w:t>
      </w:r>
    </w:p>
    <w:p>
      <w:pPr>
        <w:pStyle w:val="Heading1"/>
        <w:spacing w:after="150" w:before="300"/>
      </w:pPr>
      <w:r>
        <w:t xml:space="preserve">9. Traceability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2100"/>
        <w:gridCol w:w="2300"/>
        <w:gridCol w:w="2500"/>
      </w:tblGrid>
      <w:tr>
        <w:tc>
          <w:tcPr>
            <w:tcW w:type="dxa" w:w="1400"/>
            <w:shd w:fill="E5E7EB" w:val="clear"/>
          </w:tcPr>
          <w:p>
            <w:r>
              <w:rPr>
                <w:b/>
                <w:bCs/>
                <w:sz w:val="18"/>
                <w:szCs w:val="18"/>
              </w:rPr>
              <w:t xml:space="preserve">Requirement</w:t>
            </w:r>
          </w:p>
        </w:tc>
        <w:tc>
          <w:tcPr>
            <w:tcW w:type="dxa" w:w="1300"/>
            <w:shd w:fill="E5E7EB" w:val="clear"/>
          </w:tcPr>
          <w:p>
            <w:r>
              <w:rPr>
                <w:b/>
                <w:bCs/>
                <w:sz w:val="18"/>
                <w:szCs w:val="18"/>
              </w:rPr>
              <w:t xml:space="preserve">Deficiency</w:t>
            </w:r>
          </w:p>
        </w:tc>
        <w:tc>
          <w:tcPr>
            <w:tcW w:type="dxa" w:w="2100"/>
            <w:shd w:fill="E5E7EB" w:val="clear"/>
          </w:tcPr>
          <w:p>
            <w:r>
              <w:rPr>
                <w:b/>
                <w:bCs/>
                <w:sz w:val="18"/>
                <w:szCs w:val="18"/>
              </w:rPr>
              <w:t xml:space="preserve">Affected product(s)</w:t>
            </w:r>
          </w:p>
        </w:tc>
        <w:tc>
          <w:tcPr>
            <w:tcW w:type="dxa" w:w="2300"/>
            <w:shd w:fill="E5E7EB" w:val="clear"/>
          </w:tcPr>
          <w:p>
            <w:r>
              <w:rPr>
                <w:b/>
                <w:bCs/>
                <w:sz w:val="18"/>
                <w:szCs w:val="18"/>
              </w:rPr>
              <w:t xml:space="preserve">Suggested action</w:t>
            </w:r>
          </w:p>
        </w:tc>
        <w:tc>
          <w:tcPr>
            <w:tcW w:type="dxa" w:w="2500"/>
            <w:shd w:fill="E5E7EB" w:val="clear"/>
          </w:tcPr>
          <w:p>
            <w:r>
              <w:rPr>
                <w:b/>
                <w:bCs/>
                <w:sz w:val="18"/>
                <w:szCs w:val="18"/>
              </w:rPr>
              <w:t xml:space="preserve">Evidence required</w:t>
            </w:r>
          </w:p>
        </w:tc>
      </w:tr>
      <w:tr>
        <w:tc>
          <w:tcPr>
            <w:tcW w:type="dxa" w:w="1400"/>
          </w:tcPr>
          <w:p>
            <w:r>
              <w:rPr>
                <w:b w:val="false"/>
                <w:bCs w:val="false"/>
                <w:sz w:val="18"/>
                <w:szCs w:val="18"/>
              </w:rPr>
              <w:t xml:space="preserve">R1</w:t>
            </w:r>
          </w:p>
        </w:tc>
        <w:tc>
          <w:tcPr>
            <w:tcW w:type="dxa" w:w="1300"/>
          </w:tcPr>
          <w:p>
            <w:r>
              <w:rPr>
                <w:b w:val="false"/>
                <w:bCs w:val="false"/>
                <w:sz w:val="18"/>
                <w:szCs w:val="18"/>
              </w:rPr>
              <w:t xml:space="preserve">D1</w:t>
            </w:r>
          </w:p>
        </w:tc>
        <w:tc>
          <w:tcPr>
            <w:tcW w:type="dxa" w:w="2100"/>
          </w:tcPr>
          <w:p>
            <w:r>
              <w:rPr>
                <w:b w:val="false"/>
                <w:bCs w:val="false"/>
                <w:sz w:val="18"/>
                <w:szCs w:val="18"/>
              </w:rPr>
              <w:t xml:space="preserve">PulseSense, CardioTrack</w:t>
            </w:r>
          </w:p>
        </w:tc>
        <w:tc>
          <w:tcPr>
            <w:tcW w:type="dxa" w:w="2300"/>
          </w:tcPr>
          <w:p>
            <w:r>
              <w:rPr>
                <w:b w:val="false"/>
                <w:bCs w:val="false"/>
                <w:sz w:val="18"/>
                <w:szCs w:val="18"/>
              </w:rPr>
              <w:t xml:space="preserve">Verify/update UDI placement</w:t>
            </w:r>
          </w:p>
        </w:tc>
        <w:tc>
          <w:tcPr>
            <w:tcW w:type="dxa" w:w="2500"/>
          </w:tcPr>
          <w:p>
            <w:r>
              <w:rPr>
                <w:b w:val="false"/>
                <w:bCs w:val="false"/>
                <w:sz w:val="18"/>
                <w:szCs w:val="18"/>
              </w:rPr>
              <w:t xml:space="preserve">Packaging artwork/spec</w:t>
            </w:r>
          </w:p>
        </w:tc>
      </w:tr>
      <w:tr>
        <w:tc>
          <w:tcPr>
            <w:tcW w:type="dxa" w:w="1400"/>
          </w:tcPr>
          <w:p>
            <w:r>
              <w:rPr>
                <w:b w:val="false"/>
                <w:bCs w:val="false"/>
                <w:sz w:val="18"/>
                <w:szCs w:val="18"/>
              </w:rPr>
              <w:t xml:space="preserve">R2</w:t>
            </w:r>
          </w:p>
        </w:tc>
        <w:tc>
          <w:tcPr>
            <w:tcW w:type="dxa" w:w="1300"/>
          </w:tcPr>
          <w:p>
            <w:r>
              <w:rPr>
                <w:b w:val="false"/>
                <w:bCs w:val="false"/>
                <w:sz w:val="18"/>
                <w:szCs w:val="18"/>
              </w:rPr>
              <w:t xml:space="preserve">D2</w:t>
            </w:r>
          </w:p>
        </w:tc>
        <w:tc>
          <w:tcPr>
            <w:tcW w:type="dxa" w:w="2100"/>
          </w:tcPr>
          <w:p>
            <w:r>
              <w:rPr>
                <w:b w:val="false"/>
                <w:bCs w:val="false"/>
                <w:sz w:val="18"/>
                <w:szCs w:val="18"/>
              </w:rPr>
              <w:t xml:space="preserve">NeoMonitor, VitalHub</w:t>
            </w:r>
          </w:p>
        </w:tc>
        <w:tc>
          <w:tcPr>
            <w:tcW w:type="dxa" w:w="2300"/>
          </w:tcPr>
          <w:p>
            <w:r>
              <w:rPr>
                <w:b w:val="false"/>
                <w:bCs w:val="false"/>
                <w:sz w:val="18"/>
                <w:szCs w:val="18"/>
              </w:rPr>
              <w:t xml:space="preserve">Update eIFU caching</w:t>
            </w:r>
          </w:p>
        </w:tc>
        <w:tc>
          <w:tcPr>
            <w:tcW w:type="dxa" w:w="2500"/>
          </w:tcPr>
          <w:p>
            <w:r>
              <w:rPr>
                <w:b w:val="false"/>
                <w:bCs w:val="false"/>
                <w:sz w:val="18"/>
                <w:szCs w:val="18"/>
              </w:rPr>
              <w:t xml:space="preserve">Software screenshots/build</w:t>
            </w:r>
          </w:p>
        </w:tc>
      </w:tr>
      <w:tr>
        <w:tc>
          <w:tcPr>
            <w:tcW w:type="dxa" w:w="1400"/>
          </w:tcPr>
          <w:p>
            <w:r>
              <w:rPr>
                <w:b w:val="false"/>
                <w:bCs w:val="false"/>
                <w:sz w:val="18"/>
                <w:szCs w:val="18"/>
              </w:rPr>
              <w:t xml:space="preserve">R3</w:t>
            </w:r>
          </w:p>
        </w:tc>
        <w:tc>
          <w:tcPr>
            <w:tcW w:type="dxa" w:w="1300"/>
          </w:tcPr>
          <w:p>
            <w:r>
              <w:rPr>
                <w:b w:val="false"/>
                <w:bCs w:val="false"/>
                <w:sz w:val="18"/>
                <w:szCs w:val="18"/>
              </w:rPr>
              <w:t xml:space="preserve">D3</w:t>
            </w:r>
          </w:p>
        </w:tc>
        <w:tc>
          <w:tcPr>
            <w:tcW w:type="dxa" w:w="2100"/>
          </w:tcPr>
          <w:p>
            <w:r>
              <w:rPr>
                <w:b w:val="false"/>
                <w:bCs w:val="false"/>
                <w:sz w:val="18"/>
                <w:szCs w:val="18"/>
              </w:rPr>
              <w:t xml:space="preserve">PulseSense, NeoMonitor</w:t>
            </w:r>
          </w:p>
        </w:tc>
        <w:tc>
          <w:tcPr>
            <w:tcW w:type="dxa" w:w="2300"/>
          </w:tcPr>
          <w:p>
            <w:r>
              <w:rPr>
                <w:b w:val="false"/>
                <w:bCs w:val="false"/>
                <w:sz w:val="18"/>
                <w:szCs w:val="18"/>
              </w:rPr>
              <w:t xml:space="preserve">Add wireless disclosure</w:t>
            </w:r>
          </w:p>
        </w:tc>
        <w:tc>
          <w:tcPr>
            <w:tcW w:type="dxa" w:w="2500"/>
          </w:tcPr>
          <w:p>
            <w:r>
              <w:rPr>
                <w:b w:val="false"/>
                <w:bCs w:val="false"/>
                <w:sz w:val="18"/>
                <w:szCs w:val="18"/>
              </w:rPr>
              <w:t xml:space="preserve">Current labelling text/artwork</w:t>
            </w:r>
          </w:p>
        </w:tc>
      </w:tr>
      <w:tr>
        <w:tc>
          <w:tcPr>
            <w:tcW w:type="dxa" w:w="1400"/>
          </w:tcPr>
          <w:p>
            <w:r>
              <w:rPr>
                <w:b w:val="false"/>
                <w:bCs w:val="false"/>
                <w:sz w:val="18"/>
                <w:szCs w:val="18"/>
              </w:rPr>
              <w:t xml:space="preserve">R4</w:t>
            </w:r>
          </w:p>
        </w:tc>
        <w:tc>
          <w:tcPr>
            <w:tcW w:type="dxa" w:w="1300"/>
          </w:tcPr>
          <w:p>
            <w:r>
              <w:rPr>
                <w:b w:val="false"/>
                <w:bCs w:val="false"/>
                <w:sz w:val="18"/>
                <w:szCs w:val="18"/>
              </w:rPr>
              <w:t xml:space="preserve">D4</w:t>
            </w:r>
          </w:p>
        </w:tc>
        <w:tc>
          <w:tcPr>
            <w:tcW w:type="dxa" w:w="2100"/>
          </w:tcPr>
          <w:p>
            <w:r>
              <w:rPr>
                <w:b w:val="false"/>
                <w:bCs w:val="false"/>
                <w:sz w:val="18"/>
                <w:szCs w:val="18"/>
              </w:rPr>
              <w:t xml:space="preserve">CardioTrack, VitalHub</w:t>
            </w:r>
          </w:p>
        </w:tc>
        <w:tc>
          <w:tcPr>
            <w:tcW w:type="dxa" w:w="2300"/>
          </w:tcPr>
          <w:p>
            <w:r>
              <w:rPr>
                <w:b w:val="false"/>
                <w:bCs w:val="false"/>
                <w:sz w:val="18"/>
                <w:szCs w:val="18"/>
              </w:rPr>
              <w:t xml:space="preserve">Update reporting SOP</w:t>
            </w:r>
          </w:p>
        </w:tc>
        <w:tc>
          <w:tcPr>
            <w:tcW w:type="dxa" w:w="2500"/>
          </w:tcPr>
          <w:p>
            <w:r>
              <w:rPr>
                <w:b w:val="false"/>
                <w:bCs w:val="false"/>
                <w:sz w:val="18"/>
                <w:szCs w:val="18"/>
              </w:rPr>
              <w:t xml:space="preserve">Current reporting SOP</w:t>
            </w:r>
          </w:p>
        </w:tc>
      </w:tr>
      <w:tr>
        <w:tc>
          <w:tcPr>
            <w:tcW w:type="dxa" w:w="1400"/>
          </w:tcPr>
          <w:p>
            <w:r>
              <w:rPr>
                <w:b w:val="false"/>
                <w:bCs w:val="false"/>
                <w:sz w:val="18"/>
                <w:szCs w:val="18"/>
              </w:rPr>
              <w:t xml:space="preserve">R5</w:t>
            </w:r>
          </w:p>
        </w:tc>
        <w:tc>
          <w:tcPr>
            <w:tcW w:type="dxa" w:w="1300"/>
          </w:tcPr>
          <w:p>
            <w:r>
              <w:rPr>
                <w:b w:val="false"/>
                <w:bCs w:val="false"/>
                <w:sz w:val="18"/>
                <w:szCs w:val="18"/>
              </w:rPr>
              <w:t xml:space="preserve">D5</w:t>
            </w:r>
          </w:p>
        </w:tc>
        <w:tc>
          <w:tcPr>
            <w:tcW w:type="dxa" w:w="2100"/>
          </w:tcPr>
          <w:p>
            <w:r>
              <w:rPr>
                <w:b w:val="false"/>
                <w:bCs w:val="false"/>
                <w:sz w:val="18"/>
                <w:szCs w:val="18"/>
              </w:rPr>
              <w:t xml:space="preserve">VitalHub, InfuFlow</w:t>
            </w:r>
          </w:p>
        </w:tc>
        <w:tc>
          <w:tcPr>
            <w:tcW w:type="dxa" w:w="2300"/>
          </w:tcPr>
          <w:p>
            <w:r>
              <w:rPr>
                <w:b w:val="false"/>
                <w:bCs w:val="false"/>
                <w:sz w:val="18"/>
                <w:szCs w:val="18"/>
              </w:rPr>
              <w:t xml:space="preserve">File registration attestations</w:t>
            </w:r>
          </w:p>
        </w:tc>
        <w:tc>
          <w:tcPr>
            <w:tcW w:type="dxa" w:w="2500"/>
          </w:tcPr>
          <w:p>
            <w:r>
              <w:rPr>
                <w:b w:val="false"/>
                <w:bCs w:val="false"/>
                <w:sz w:val="18"/>
                <w:szCs w:val="18"/>
              </w:rPr>
              <w:t xml:space="preserve">Current registration record</w:t>
            </w:r>
          </w:p>
        </w:tc>
      </w:tr>
    </w:tbl>
    <w:p>
      <w:pPr>
        <w:pBdr>
          <w:top w:val="single" w:color="B45309" w:sz="12"/>
          <w:left w:val="single" w:color="B45309" w:sz="12"/>
          <w:bottom w:val="single" w:color="B45309" w:sz="12"/>
          <w:right w:val="single" w:color="B45309" w:sz="12"/>
        </w:pBdr>
        <w:shd w:fill="FFF3CD" w:val="clear"/>
        <w:spacing w:after="200" w:before="100"/>
      </w:pPr>
      <w:r>
        <w:rPr>
          <w:b/>
          <w:bCs/>
          <w:color w:val="92400E"/>
        </w:rPr>
        <w:t xml:space="preserve">Reminder: this entire document — authority, identifier, dates, requirements, deficiencies, and portfolio mapping — is fictional and created only to demonstrate the PARIVART product. It must not be treated as a real regulatory instrument, legal advice, or evidence of an actual compliance gap.</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2026-10-03T08:25:23.457Z</dcterms:created>
  <dcterms:modified xsi:type="dcterms:W3CDTF">2026-10-03T08:25:23.465Z</dcterms:modified>
</cp:coreProperties>
</file>

<file path=docProps/custom.xml><?xml version="1.0" encoding="utf-8"?>
<Properties xmlns="http://schemas.openxmlformats.org/officeDocument/2006/custom-properties" xmlns:vt="http://schemas.openxmlformats.org/officeDocument/2006/docPropsVTypes"/>
</file>