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黑体" w:hAnsi="黑体" w:eastAsia="黑体"/>
          <w:b/>
          <w:sz w:val="44"/>
        </w:rPr>
        <w:t>野生蓝莓产量预测分析</w:t>
      </w:r>
    </w:p>
    <w:p>
      <w:pPr>
        <w:spacing w:after="240"/>
        <w:jc w:val="center"/>
      </w:pPr>
      <w:r>
        <w:rPr>
          <w:rFonts w:ascii="黑体" w:hAnsi="黑体" w:eastAsia="黑体"/>
          <w:b w:val="0"/>
          <w:sz w:val="32"/>
        </w:rPr>
        <w:t>软件工程实训报告</w:t>
      </w:r>
    </w:p>
    <w:p>
      <w:pPr>
        <w:spacing w:line="360" w:lineRule="auto" w:after="120"/>
        <w:ind w:firstLine="480"/>
      </w:pPr>
      <w:r>
        <w:rPr>
          <w:rFonts w:ascii="宋体" w:hAnsi="宋体" w:eastAsia="宋体"/>
          <w:b w:val="0"/>
          <w:sz w:val="24"/>
        </w:rPr>
      </w:r>
    </w:p>
    <w:p>
      <w:pPr>
        <w:pStyle w:val="Heading1"/>
      </w:pPr>
      <w:r>
        <w:t>基本信息与个人任务</w:t>
      </w:r>
    </w:p>
    <w:p>
      <w:pPr>
        <w:spacing w:line="360" w:lineRule="auto" w:after="120"/>
      </w:pPr>
      <w:r>
        <w:rPr>
          <w:rFonts w:ascii="宋体" w:hAnsi="宋体" w:eastAsia="宋体"/>
          <w:b w:val="0"/>
          <w:sz w:val="24"/>
        </w:rPr>
        <w:t>实训课程：软件工程实训</w:t>
      </w:r>
    </w:p>
    <w:p>
      <w:pPr>
        <w:spacing w:line="360" w:lineRule="auto" w:after="120"/>
      </w:pPr>
      <w:r>
        <w:rPr>
          <w:rFonts w:ascii="宋体" w:hAnsi="宋体" w:eastAsia="宋体"/>
          <w:b w:val="0"/>
          <w:sz w:val="24"/>
        </w:rPr>
        <w:t>实训周期：2026年6月29日 — 2026年7月13日</w:t>
      </w:r>
    </w:p>
    <w:p>
      <w:pPr>
        <w:spacing w:line="360" w:lineRule="auto" w:after="120"/>
      </w:pPr>
      <w:r>
        <w:rPr>
          <w:rFonts w:ascii="宋体" w:hAnsi="宋体" w:eastAsia="宋体"/>
          <w:b w:val="0"/>
          <w:sz w:val="24"/>
        </w:rPr>
        <w:t>项目名称：野生蓝莓产量预测分析</w:t>
      </w:r>
    </w:p>
    <w:p>
      <w:pPr>
        <w:spacing w:line="360" w:lineRule="auto" w:after="120"/>
      </w:pPr>
      <w:r>
        <w:rPr>
          <w:rFonts w:ascii="宋体" w:hAnsi="宋体" w:eastAsia="宋体"/>
          <w:b w:val="0"/>
          <w:sz w:val="24"/>
        </w:rPr>
        <w:t>开发技术栈：Python 3.12 + NumPy + Pandas + Scikit-learn + Matplotlib + Seaborn + statsmodels</w:t>
      </w:r>
    </w:p>
    <w:p>
      <w:pPr>
        <w:spacing w:line="360" w:lineRule="auto" w:after="120"/>
      </w:pPr>
      <w:r>
        <w:rPr>
          <w:rFonts w:ascii="宋体" w:hAnsi="宋体" w:eastAsia="宋体"/>
          <w:b w:val="0"/>
          <w:sz w:val="24"/>
        </w:rPr>
        <w:t>本人姓名：王梓宇</w:t>
      </w:r>
    </w:p>
    <w:p>
      <w:pPr>
        <w:spacing w:line="360" w:lineRule="auto" w:after="120"/>
      </w:pPr>
      <w:r>
        <w:rPr>
          <w:rFonts w:ascii="宋体" w:hAnsi="宋体" w:eastAsia="宋体"/>
          <w:b w:val="0"/>
          <w:sz w:val="24"/>
        </w:rPr>
        <w:t>本人分工：全流程数据分析与建模，负责数据预处理、特征工程、聚类分析、回归建模、随机森林训练、模型对比评估、可视化图表生成、测试集预测输出。</w:t>
      </w:r>
    </w:p>
    <w:p>
      <w:pPr>
        <w:spacing w:line="360" w:lineRule="auto" w:after="120"/>
      </w:pPr>
      <w:r>
        <w:rPr>
          <w:rFonts w:ascii="宋体" w:hAnsi="宋体" w:eastAsia="宋体"/>
          <w:b w:val="0"/>
          <w:sz w:val="24"/>
        </w:rPr>
        <w:t>核心任务：</w:t>
      </w:r>
    </w:p>
    <w:p>
      <w:pPr>
        <w:spacing w:line="360" w:lineRule="auto" w:after="120"/>
        <w:ind w:firstLine="480"/>
      </w:pPr>
      <w:r>
        <w:rPr>
          <w:rFonts w:ascii="宋体" w:hAnsi="宋体" w:eastAsia="宋体"/>
          <w:b w:val="0"/>
          <w:sz w:val="24"/>
        </w:rPr>
        <w:t xml:space="preserve">    (1) 完成数据加载、清洗、标准化等全流程预处理；</w:t>
      </w:r>
    </w:p>
    <w:p>
      <w:pPr>
        <w:spacing w:line="360" w:lineRule="auto" w:after="120"/>
        <w:ind w:firstLine="480"/>
      </w:pPr>
      <w:r>
        <w:rPr>
          <w:rFonts w:ascii="宋体" w:hAnsi="宋体" w:eastAsia="宋体"/>
          <w:b w:val="0"/>
          <w:sz w:val="24"/>
        </w:rPr>
        <w:t xml:space="preserve">    (1) 设计并实现K-Means聚类分析，结合PCA降维可视化，对各簇进行特征偏离解读；</w:t>
      </w:r>
    </w:p>
    <w:p>
      <w:pPr>
        <w:spacing w:line="360" w:lineRule="auto" w:after="120"/>
        <w:ind w:firstLine="480"/>
      </w:pPr>
      <w:r>
        <w:rPr>
          <w:rFonts w:ascii="宋体" w:hAnsi="宋体" w:eastAsia="宋体"/>
          <w:b w:val="0"/>
          <w:sz w:val="24"/>
        </w:rPr>
        <w:t xml:space="preserve">    (1) 构建Ridge/Lasso线性回归模型，完成果实特征对照实验（核心创新点）；</w:t>
      </w:r>
    </w:p>
    <w:p>
      <w:pPr>
        <w:spacing w:line="360" w:lineRule="auto" w:after="120"/>
        <w:ind w:firstLine="480"/>
      </w:pPr>
      <w:r>
        <w:rPr>
          <w:rFonts w:ascii="宋体" w:hAnsi="宋体" w:eastAsia="宋体"/>
          <w:b w:val="0"/>
          <w:sz w:val="24"/>
        </w:rPr>
        <w:t xml:space="preserve">    (1) 训练随机森林模型，进行特征重要性分析与多模型对比评估；</w:t>
      </w:r>
    </w:p>
    <w:p>
      <w:pPr>
        <w:spacing w:line="360" w:lineRule="auto" w:after="120"/>
        <w:ind w:firstLine="480"/>
      </w:pPr>
      <w:r>
        <w:rPr>
          <w:rFonts w:ascii="宋体" w:hAnsi="宋体" w:eastAsia="宋体"/>
          <w:b w:val="0"/>
          <w:sz w:val="24"/>
        </w:rPr>
        <w:t xml:space="preserve">    (1) 生成12张分析图表，输出测试集产量预测结果。</w:t>
      </w:r>
    </w:p>
    <w:p>
      <w:pPr>
        <w:pStyle w:val="Heading1"/>
      </w:pPr>
      <w:r>
        <w:t>一、任务分析</w:t>
      </w:r>
    </w:p>
    <w:p>
      <w:pPr>
        <w:spacing w:line="360" w:lineRule="auto" w:after="120"/>
        <w:ind w:firstLine="480"/>
      </w:pPr>
      <w:r>
        <w:rPr>
          <w:rFonts w:ascii="宋体" w:hAnsi="宋体" w:eastAsia="宋体"/>
          <w:b w:val="0"/>
          <w:sz w:val="24"/>
        </w:rPr>
        <w:t>本项目基于野生蓝莓种植数据，目标是通过气候条件、蜜蜂种群分布、果树特征等多维度变量预测蓝莓产量（yield）。数据集包含训练集（含产量标签）和测试集（无标签），训练集用于模型训练与交叉验证，测试集用于最终产量预测。</w:t>
      </w:r>
    </w:p>
    <w:p>
      <w:pPr>
        <w:spacing w:line="360" w:lineRule="auto" w:after="120"/>
        <w:ind w:firstLine="480"/>
      </w:pPr>
      <w:r>
        <w:rPr>
          <w:rFonts w:ascii="宋体" w:hAnsi="宋体" w:eastAsia="宋体"/>
          <w:b w:val="0"/>
          <w:sz w:val="24"/>
        </w:rPr>
        <w:t>核心分析目标：(1) 探索各特征与产量的相关性，识别影响蓝莓产量的关键因素；(2) 通过聚类分析发现不同种植环境的内在分组结构；(3) 对比不同特征组合和多种模型的预测效果；(4) 生成测试集的产量预测结果。</w:t>
      </w:r>
    </w:p>
    <w:p>
      <w:pPr>
        <w:spacing w:line="360" w:lineRule="auto" w:after="120"/>
        <w:ind w:firstLine="480"/>
      </w:pPr>
      <w:r>
        <w:rPr>
          <w:rFonts w:ascii="宋体" w:hAnsi="宋体" w:eastAsia="宋体"/>
          <w:b w:val="0"/>
          <w:sz w:val="24"/>
        </w:rPr>
        <w:t>数据集特征变量分类如下表所示：</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2F3" w:val="clear"/>
          </w:tcPr>
          <w:p>
            <w:pPr>
              <w:jc w:val="center"/>
            </w:pPr>
            <w:r/>
            <w:r>
              <w:rPr>
                <w:rFonts w:ascii="黑体" w:hAnsi="黑体" w:eastAsia="黑体"/>
                <w:b/>
                <w:sz w:val="20"/>
              </w:rPr>
              <w:t>特征类别</w:t>
            </w:r>
          </w:p>
        </w:tc>
        <w:tc>
          <w:tcPr>
            <w:tcW w:type="dxa" w:w="2268"/>
            <w:shd w:fill="D9E2F3" w:val="clear"/>
          </w:tcPr>
          <w:p>
            <w:pPr>
              <w:jc w:val="center"/>
            </w:pPr>
            <w:r/>
            <w:r>
              <w:rPr>
                <w:rFonts w:ascii="黑体" w:hAnsi="黑体" w:eastAsia="黑体"/>
                <w:b/>
                <w:sz w:val="20"/>
              </w:rPr>
              <w:t>特征名称</w:t>
            </w:r>
          </w:p>
        </w:tc>
        <w:tc>
          <w:tcPr>
            <w:tcW w:type="dxa" w:w="2268"/>
            <w:shd w:fill="D9E2F3" w:val="clear"/>
          </w:tcPr>
          <w:p>
            <w:pPr>
              <w:jc w:val="center"/>
            </w:pPr>
            <w:r/>
            <w:r>
              <w:rPr>
                <w:rFonts w:ascii="黑体" w:hAnsi="黑体" w:eastAsia="黑体"/>
                <w:b/>
                <w:sz w:val="20"/>
              </w:rPr>
              <w:t>数量</w:t>
            </w:r>
          </w:p>
        </w:tc>
        <w:tc>
          <w:tcPr>
            <w:tcW w:type="dxa" w:w="2268"/>
            <w:shd w:fill="D9E2F3" w:val="clear"/>
          </w:tcPr>
          <w:p>
            <w:pPr>
              <w:jc w:val="center"/>
            </w:pPr>
            <w:r/>
            <w:r>
              <w:rPr>
                <w:rFonts w:ascii="黑体" w:hAnsi="黑体" w:eastAsia="黑体"/>
                <w:b/>
                <w:sz w:val="20"/>
              </w:rPr>
              <w:t>说明</w:t>
            </w:r>
          </w:p>
        </w:tc>
      </w:tr>
      <w:tr>
        <w:tc>
          <w:tcPr>
            <w:tcW w:type="dxa" w:w="2268"/>
          </w:tcPr>
          <w:p>
            <w:pPr>
              <w:jc w:val="center"/>
            </w:pPr>
            <w:r/>
            <w:r>
              <w:rPr>
                <w:rFonts w:ascii="宋体" w:hAnsi="宋体" w:eastAsia="宋体"/>
                <w:sz w:val="20"/>
              </w:rPr>
              <w:t>蜜蜂种群</w:t>
            </w:r>
          </w:p>
        </w:tc>
        <w:tc>
          <w:tcPr>
            <w:tcW w:type="dxa" w:w="2268"/>
          </w:tcPr>
          <w:p>
            <w:pPr>
              <w:jc w:val="center"/>
            </w:pPr>
            <w:r/>
            <w:r>
              <w:rPr>
                <w:rFonts w:ascii="宋体" w:hAnsi="宋体" w:eastAsia="宋体"/>
                <w:sz w:val="20"/>
              </w:rPr>
              <w:t>honeybee, bumbles, andrena, osmia</w:t>
            </w:r>
          </w:p>
        </w:tc>
        <w:tc>
          <w:tcPr>
            <w:tcW w:type="dxa" w:w="2268"/>
          </w:tcPr>
          <w:p>
            <w:pPr>
              <w:jc w:val="center"/>
            </w:pPr>
            <w:r/>
            <w:r>
              <w:rPr>
                <w:rFonts w:ascii="宋体" w:hAnsi="宋体" w:eastAsia="宋体"/>
                <w:sz w:val="20"/>
              </w:rPr>
              <w:t>4个</w:t>
            </w:r>
          </w:p>
        </w:tc>
        <w:tc>
          <w:tcPr>
            <w:tcW w:type="dxa" w:w="2268"/>
          </w:tcPr>
          <w:p>
            <w:pPr>
              <w:jc w:val="center"/>
            </w:pPr>
            <w:r/>
            <w:r>
              <w:rPr>
                <w:rFonts w:ascii="宋体" w:hAnsi="宋体" w:eastAsia="宋体"/>
                <w:sz w:val="20"/>
              </w:rPr>
              <w:t>不同蜂种的种群数量</w:t>
            </w:r>
          </w:p>
        </w:tc>
      </w:tr>
      <w:tr>
        <w:tc>
          <w:tcPr>
            <w:tcW w:type="dxa" w:w="2268"/>
          </w:tcPr>
          <w:p>
            <w:pPr>
              <w:jc w:val="center"/>
            </w:pPr>
            <w:r/>
            <w:r>
              <w:rPr>
                <w:rFonts w:ascii="宋体" w:hAnsi="宋体" w:eastAsia="宋体"/>
                <w:sz w:val="20"/>
              </w:rPr>
              <w:t>上限温度</w:t>
            </w:r>
          </w:p>
        </w:tc>
        <w:tc>
          <w:tcPr>
            <w:tcW w:type="dxa" w:w="2268"/>
          </w:tcPr>
          <w:p>
            <w:pPr>
              <w:jc w:val="center"/>
            </w:pPr>
            <w:r/>
            <w:r>
              <w:rPr>
                <w:rFonts w:ascii="宋体" w:hAnsi="宋体" w:eastAsia="宋体"/>
                <w:sz w:val="20"/>
              </w:rPr>
              <w:t>max/min/averageofuppertrange</w:t>
            </w:r>
          </w:p>
        </w:tc>
        <w:tc>
          <w:tcPr>
            <w:tcW w:type="dxa" w:w="2268"/>
          </w:tcPr>
          <w:p>
            <w:pPr>
              <w:jc w:val="center"/>
            </w:pPr>
            <w:r/>
            <w:r>
              <w:rPr>
                <w:rFonts w:ascii="宋体" w:hAnsi="宋体" w:eastAsia="宋体"/>
                <w:sz w:val="20"/>
              </w:rPr>
              <w:t>3个</w:t>
            </w:r>
          </w:p>
        </w:tc>
        <w:tc>
          <w:tcPr>
            <w:tcW w:type="dxa" w:w="2268"/>
          </w:tcPr>
          <w:p>
            <w:pPr>
              <w:jc w:val="center"/>
            </w:pPr>
            <w:r/>
            <w:r>
              <w:rPr>
                <w:rFonts w:ascii="宋体" w:hAnsi="宋体" w:eastAsia="宋体"/>
                <w:sz w:val="20"/>
              </w:rPr>
              <w:t>生长期温度上限相关指标</w:t>
            </w:r>
          </w:p>
        </w:tc>
      </w:tr>
      <w:tr>
        <w:tc>
          <w:tcPr>
            <w:tcW w:type="dxa" w:w="2268"/>
          </w:tcPr>
          <w:p>
            <w:pPr>
              <w:jc w:val="center"/>
            </w:pPr>
            <w:r/>
            <w:r>
              <w:rPr>
                <w:rFonts w:ascii="宋体" w:hAnsi="宋体" w:eastAsia="宋体"/>
                <w:sz w:val="20"/>
              </w:rPr>
              <w:t>下限温度</w:t>
            </w:r>
          </w:p>
        </w:tc>
        <w:tc>
          <w:tcPr>
            <w:tcW w:type="dxa" w:w="2268"/>
          </w:tcPr>
          <w:p>
            <w:pPr>
              <w:jc w:val="center"/>
            </w:pPr>
            <w:r/>
            <w:r>
              <w:rPr>
                <w:rFonts w:ascii="宋体" w:hAnsi="宋体" w:eastAsia="宋体"/>
                <w:sz w:val="20"/>
              </w:rPr>
              <w:t>max/min/averageoflowertrange</w:t>
            </w:r>
          </w:p>
        </w:tc>
        <w:tc>
          <w:tcPr>
            <w:tcW w:type="dxa" w:w="2268"/>
          </w:tcPr>
          <w:p>
            <w:pPr>
              <w:jc w:val="center"/>
            </w:pPr>
            <w:r/>
            <w:r>
              <w:rPr>
                <w:rFonts w:ascii="宋体" w:hAnsi="宋体" w:eastAsia="宋体"/>
                <w:sz w:val="20"/>
              </w:rPr>
              <w:t>3个</w:t>
            </w:r>
          </w:p>
        </w:tc>
        <w:tc>
          <w:tcPr>
            <w:tcW w:type="dxa" w:w="2268"/>
          </w:tcPr>
          <w:p>
            <w:pPr>
              <w:jc w:val="center"/>
            </w:pPr>
            <w:r/>
            <w:r>
              <w:rPr>
                <w:rFonts w:ascii="宋体" w:hAnsi="宋体" w:eastAsia="宋体"/>
                <w:sz w:val="20"/>
              </w:rPr>
              <w:t>生长期温度下限相关指标</w:t>
            </w:r>
          </w:p>
        </w:tc>
      </w:tr>
      <w:tr>
        <w:tc>
          <w:tcPr>
            <w:tcW w:type="dxa" w:w="2268"/>
          </w:tcPr>
          <w:p>
            <w:pPr>
              <w:jc w:val="center"/>
            </w:pPr>
            <w:r/>
            <w:r>
              <w:rPr>
                <w:rFonts w:ascii="宋体" w:hAnsi="宋体" w:eastAsia="宋体"/>
                <w:sz w:val="20"/>
              </w:rPr>
              <w:t>降雨天数</w:t>
            </w:r>
          </w:p>
        </w:tc>
        <w:tc>
          <w:tcPr>
            <w:tcW w:type="dxa" w:w="2268"/>
          </w:tcPr>
          <w:p>
            <w:pPr>
              <w:jc w:val="center"/>
            </w:pPr>
            <w:r/>
            <w:r>
              <w:rPr>
                <w:rFonts w:ascii="宋体" w:hAnsi="宋体" w:eastAsia="宋体"/>
                <w:sz w:val="20"/>
              </w:rPr>
              <w:t>rainingdays, averagerainingdays</w:t>
            </w:r>
          </w:p>
        </w:tc>
        <w:tc>
          <w:tcPr>
            <w:tcW w:type="dxa" w:w="2268"/>
          </w:tcPr>
          <w:p>
            <w:pPr>
              <w:jc w:val="center"/>
            </w:pPr>
            <w:r/>
            <w:r>
              <w:rPr>
                <w:rFonts w:ascii="宋体" w:hAnsi="宋体" w:eastAsia="宋体"/>
                <w:sz w:val="20"/>
              </w:rPr>
              <w:t>2个</w:t>
            </w:r>
          </w:p>
        </w:tc>
        <w:tc>
          <w:tcPr>
            <w:tcW w:type="dxa" w:w="2268"/>
          </w:tcPr>
          <w:p>
            <w:pPr>
              <w:jc w:val="center"/>
            </w:pPr>
            <w:r/>
            <w:r>
              <w:rPr>
                <w:rFonts w:ascii="宋体" w:hAnsi="宋体" w:eastAsia="宋体"/>
                <w:sz w:val="20"/>
              </w:rPr>
              <w:t>降雨天数统计</w:t>
            </w:r>
          </w:p>
        </w:tc>
      </w:tr>
      <w:tr>
        <w:tc>
          <w:tcPr>
            <w:tcW w:type="dxa" w:w="2268"/>
          </w:tcPr>
          <w:p>
            <w:pPr>
              <w:jc w:val="center"/>
            </w:pPr>
            <w:r/>
            <w:r>
              <w:rPr>
                <w:rFonts w:ascii="宋体" w:hAnsi="宋体" w:eastAsia="宋体"/>
                <w:sz w:val="20"/>
              </w:rPr>
              <w:t>果实特征</w:t>
            </w:r>
          </w:p>
        </w:tc>
        <w:tc>
          <w:tcPr>
            <w:tcW w:type="dxa" w:w="2268"/>
          </w:tcPr>
          <w:p>
            <w:pPr>
              <w:jc w:val="center"/>
            </w:pPr>
            <w:r/>
            <w:r>
              <w:rPr>
                <w:rFonts w:ascii="宋体" w:hAnsi="宋体" w:eastAsia="宋体"/>
                <w:sz w:val="20"/>
              </w:rPr>
              <w:t>fruitset, fruitmass, seeds</w:t>
            </w:r>
          </w:p>
        </w:tc>
        <w:tc>
          <w:tcPr>
            <w:tcW w:type="dxa" w:w="2268"/>
          </w:tcPr>
          <w:p>
            <w:pPr>
              <w:jc w:val="center"/>
            </w:pPr>
            <w:r/>
            <w:r>
              <w:rPr>
                <w:rFonts w:ascii="宋体" w:hAnsi="宋体" w:eastAsia="宋体"/>
                <w:sz w:val="20"/>
              </w:rPr>
              <w:t>3个</w:t>
            </w:r>
          </w:p>
        </w:tc>
        <w:tc>
          <w:tcPr>
            <w:tcW w:type="dxa" w:w="2268"/>
          </w:tcPr>
          <w:p>
            <w:pPr>
              <w:jc w:val="center"/>
            </w:pPr>
            <w:r/>
            <w:r>
              <w:rPr>
                <w:rFonts w:ascii="宋体" w:hAnsi="宋体" w:eastAsia="宋体"/>
                <w:sz w:val="20"/>
              </w:rPr>
              <w:t>坐果率/果实质量/种子数</w:t>
            </w:r>
          </w:p>
        </w:tc>
      </w:tr>
      <w:tr>
        <w:tc>
          <w:tcPr>
            <w:tcW w:type="dxa" w:w="2268"/>
          </w:tcPr>
          <w:p>
            <w:pPr>
              <w:jc w:val="center"/>
            </w:pPr>
            <w:r/>
            <w:r>
              <w:rPr>
                <w:rFonts w:ascii="宋体" w:hAnsi="宋体" w:eastAsia="宋体"/>
                <w:sz w:val="20"/>
              </w:rPr>
              <w:t>果树规模</w:t>
            </w:r>
          </w:p>
        </w:tc>
        <w:tc>
          <w:tcPr>
            <w:tcW w:type="dxa" w:w="2268"/>
          </w:tcPr>
          <w:p>
            <w:pPr>
              <w:jc w:val="center"/>
            </w:pPr>
            <w:r/>
            <w:r>
              <w:rPr>
                <w:rFonts w:ascii="宋体" w:hAnsi="宋体" w:eastAsia="宋体"/>
                <w:sz w:val="20"/>
              </w:rPr>
              <w:t>clonesize</w:t>
            </w:r>
          </w:p>
        </w:tc>
        <w:tc>
          <w:tcPr>
            <w:tcW w:type="dxa" w:w="2268"/>
          </w:tcPr>
          <w:p>
            <w:pPr>
              <w:jc w:val="center"/>
            </w:pPr>
            <w:r/>
            <w:r>
              <w:rPr>
                <w:rFonts w:ascii="宋体" w:hAnsi="宋体" w:eastAsia="宋体"/>
                <w:sz w:val="20"/>
              </w:rPr>
              <w:t>1个</w:t>
            </w:r>
          </w:p>
        </w:tc>
        <w:tc>
          <w:tcPr>
            <w:tcW w:type="dxa" w:w="2268"/>
          </w:tcPr>
          <w:p>
            <w:pPr>
              <w:jc w:val="center"/>
            </w:pPr>
            <w:r/>
            <w:r>
              <w:rPr>
                <w:rFonts w:ascii="宋体" w:hAnsi="宋体" w:eastAsia="宋体"/>
                <w:sz w:val="20"/>
              </w:rPr>
              <w:t>蓝莓种植规模</w:t>
            </w:r>
          </w:p>
        </w:tc>
      </w:tr>
      <w:tr>
        <w:tc>
          <w:tcPr>
            <w:tcW w:type="dxa" w:w="2268"/>
          </w:tcPr>
          <w:p>
            <w:pPr>
              <w:jc w:val="center"/>
            </w:pPr>
            <w:r/>
            <w:r>
              <w:rPr>
                <w:rFonts w:ascii="宋体" w:hAnsi="宋体" w:eastAsia="宋体"/>
                <w:sz w:val="20"/>
              </w:rPr>
              <w:t>目标变量</w:t>
            </w:r>
          </w:p>
        </w:tc>
        <w:tc>
          <w:tcPr>
            <w:tcW w:type="dxa" w:w="2268"/>
          </w:tcPr>
          <w:p>
            <w:pPr>
              <w:jc w:val="center"/>
            </w:pPr>
            <w:r/>
            <w:r>
              <w:rPr>
                <w:rFonts w:ascii="宋体" w:hAnsi="宋体" w:eastAsia="宋体"/>
                <w:sz w:val="20"/>
              </w:rPr>
              <w:t>yield</w:t>
            </w:r>
          </w:p>
        </w:tc>
        <w:tc>
          <w:tcPr>
            <w:tcW w:type="dxa" w:w="2268"/>
          </w:tcPr>
          <w:p>
            <w:pPr>
              <w:jc w:val="center"/>
            </w:pPr>
            <w:r/>
            <w:r>
              <w:rPr>
                <w:rFonts w:ascii="宋体" w:hAnsi="宋体" w:eastAsia="宋体"/>
                <w:sz w:val="20"/>
              </w:rPr>
              <w:t>1个</w:t>
            </w:r>
          </w:p>
        </w:tc>
        <w:tc>
          <w:tcPr>
            <w:tcW w:type="dxa" w:w="2268"/>
          </w:tcPr>
          <w:p>
            <w:pPr>
              <w:jc w:val="center"/>
            </w:pPr>
            <w:r/>
            <w:r>
              <w:rPr>
                <w:rFonts w:ascii="宋体" w:hAnsi="宋体" w:eastAsia="宋体"/>
                <w:sz w:val="20"/>
              </w:rPr>
              <w:t>蓝莓产量（预测目标）</w:t>
            </w:r>
          </w:p>
        </w:tc>
      </w:tr>
    </w:tbl>
    <w:p/>
    <w:p>
      <w:pPr>
        <w:pStyle w:val="Heading1"/>
      </w:pPr>
      <w:r>
        <w:t>二、任务设计</w:t>
      </w:r>
    </w:p>
    <w:p>
      <w:pPr>
        <w:pStyle w:val="Heading2"/>
      </w:pPr>
      <w:r>
        <w:t>2.1 数据预处理设计</w:t>
      </w:r>
    </w:p>
    <w:p>
      <w:pPr>
        <w:spacing w:line="360" w:lineRule="auto" w:after="120"/>
        <w:ind w:firstLine="480"/>
      </w:pPr>
      <w:r>
        <w:rPr>
          <w:rFonts w:ascii="宋体" w:hAnsi="宋体" w:eastAsia="宋体"/>
          <w:b w:val="0"/>
          <w:sz w:val="24"/>
        </w:rPr>
        <w:t>数据预处理流水线包含四个步骤：(1) 缺失值检查与处理，确保数据完整性；(2) 特征与目标变量分离，将17个特征列作为自变量X，yield作为因变量y；(3) 训练验证集划分，按8:2比例随机分割（random_state=42保证可复现）；(4) StandardScaler标准化处理，将各特征转换为均值为0、标准差为1的标准正态分布，消除不同特征间的量纲差异，避免基于距离或梯度的算法受特征尺度影响。</w:t>
      </w:r>
    </w:p>
    <w:p>
      <w:pPr>
        <w:pStyle w:val="Heading2"/>
      </w:pPr>
      <w:r>
        <w:t>2.2 特征工程</w:t>
      </w:r>
    </w:p>
    <w:p>
      <w:pPr>
        <w:spacing w:line="360" w:lineRule="auto" w:after="120"/>
        <w:ind w:firstLine="480"/>
      </w:pPr>
      <w:r>
        <w:rPr>
          <w:rFonts w:ascii="宋体" w:hAnsi="宋体" w:eastAsia="宋体"/>
          <w:b w:val="0"/>
          <w:sz w:val="24"/>
        </w:rPr>
        <w:t>相关性分析：计算所有特征与yield的Pearson相关系数，绘制相关性热力图，直观识别与产量最相关的变量。相关系数越大（绝对值接近1），表明线性关系越强。</w:t>
      </w:r>
    </w:p>
    <w:p>
      <w:pPr>
        <w:spacing w:line="360" w:lineRule="auto" w:after="120"/>
        <w:ind w:firstLine="480"/>
      </w:pPr>
      <w:r>
        <w:rPr>
          <w:rFonts w:ascii="宋体" w:hAnsi="宋体" w:eastAsia="宋体"/>
          <w:b w:val="0"/>
          <w:sz w:val="24"/>
        </w:rPr>
        <w:t>PCA降维：对高维特征空间进行主成分分析（Principal Component Analysis），设置方差保留阈值为95%，在降低特征维度、缓解多重共线性的同时保留绝大多数信息量。同时将数据降至2维用于聚类结果的可视化展示。</w:t>
      </w:r>
    </w:p>
    <w:p>
      <w:pPr>
        <w:spacing w:line="360" w:lineRule="auto" w:after="120"/>
        <w:ind w:firstLine="480"/>
      </w:pPr>
      <w:r>
        <w:rPr>
          <w:rFonts w:ascii="宋体" w:hAnsi="宋体" w:eastAsia="宋体"/>
          <w:b w:val="0"/>
          <w:sz w:val="24"/>
        </w:rPr>
        <w:t>VIF诊断：计算各特征的方差膨胀因子（Variance Inflation Factor），以VIF &gt; 10为严重共线性的判定阈值，为特征筛选提供定量依据。VIF越大，表明该特征可被其他特征线性表示的程度越高。</w:t>
      </w:r>
    </w:p>
    <w:p>
      <w:pPr>
        <w:spacing w:line="360" w:lineRule="auto" w:after="120"/>
        <w:ind w:firstLine="480"/>
      </w:pPr>
      <w:r>
        <w:rPr>
          <w:rFonts w:ascii="宋体" w:hAnsi="宋体" w:eastAsia="宋体"/>
          <w:b w:val="0"/>
          <w:sz w:val="24"/>
        </w:rPr>
        <w:t>果实特征对照实验（核心创新点）：这是项目最重要的实验设计。分别使用「全部特征（18个）」和「排除果实特征（15个，去掉fruitset/fruitmass/seeds）」两组特征集进行建模对比。果实特征与yield高度共线（相关系数R &gt; 0.8），包含它们相当于用"种植后的结果"来预测"产量"——这是典型的"数据泄露"（Data Leakage）。排除果实特征后R²会下降，但模型更加合理可信，因为只用种植前可干预的环境变量做预测，符合产量预测的实际应用场景。</w:t>
      </w:r>
    </w:p>
    <w:p>
      <w:pPr>
        <w:pStyle w:val="Heading2"/>
      </w:pPr>
      <w:r>
        <w:t>2.3 模型设计</w:t>
      </w:r>
    </w:p>
    <w:p>
      <w:pPr>
        <w:spacing w:line="360" w:lineRule="auto" w:after="120"/>
        <w:ind w:firstLine="480"/>
      </w:pPr>
      <w:r>
        <w:rPr>
          <w:rFonts w:ascii="宋体" w:hAnsi="宋体" w:eastAsia="宋体"/>
          <w:b w:val="0"/>
          <w:sz w:val="24"/>
        </w:rPr>
        <w:t>K-Means聚类：通过肘部法则（Elbow Method）观察惯性值（Inertia）随K值变化的拐点，结合轮廓系数（Silhouette Score）确定最优聚类数K。将蓝莓种植环境样本进行无监督分组，PCA降维至2维后通过散点图可视化聚类结果，并对各簇进行特征偏离解读，分析高产与低产环境的关键差异。</w:t>
      </w:r>
    </w:p>
    <w:p>
      <w:pPr>
        <w:spacing w:line="360" w:lineRule="auto" w:after="120"/>
        <w:ind w:firstLine="480"/>
      </w:pPr>
      <w:r>
        <w:rPr>
          <w:rFonts w:ascii="宋体" w:hAnsi="宋体" w:eastAsia="宋体"/>
          <w:b w:val="0"/>
          <w:sz w:val="24"/>
        </w:rPr>
        <w:t>线性回归（Ridge + Lasso）：Ridge回归使用L2正则化项，通过惩罚大系数来防止过拟合；Lasso回归使用L1正则化项，可将不重要的特征系数压缩至零，实现自动特征选择。两者均在PCA降维后的特征上进行训练，通过RidgeCV和LassoCV内置的交叉验证自动选择最优正则化强度alpha。</w:t>
      </w:r>
    </w:p>
    <w:p>
      <w:pPr>
        <w:spacing w:line="360" w:lineRule="auto" w:after="120"/>
        <w:ind w:firstLine="480"/>
      </w:pPr>
      <w:r>
        <w:rPr>
          <w:rFonts w:ascii="宋体" w:hAnsi="宋体" w:eastAsia="宋体"/>
          <w:b w:val="0"/>
          <w:sz w:val="24"/>
        </w:rPr>
        <w:t>随机森林：使用RandomForestRegressor集成模型，构建200棵决策树（n_estimators=200），每棵树在随机采样的数据和特征子集上训练，通过Bagging策略聚合预测结果，有效降低方差防止过拟合。基于排除果实特征后的15个环境变量训练，输出特征重要性排序。</w:t>
      </w:r>
    </w:p>
    <w:p>
      <w:pPr>
        <w:spacing w:line="360" w:lineRule="auto" w:after="120"/>
        <w:ind w:firstLine="480"/>
      </w:pPr>
      <w:r>
        <w:rPr>
          <w:rFonts w:ascii="宋体" w:hAnsi="宋体" w:eastAsia="宋体"/>
          <w:b w:val="0"/>
          <w:sz w:val="24"/>
        </w:rPr>
        <w:t>评估指标：R²（决定系数）衡量模型对目标变量方差的解释比例，越接近1越好；RMSE（均方根误差）衡量预测值与真实值的平均偏差幅度，与目标变量同单位；MAE（平均绝对误差）衡量预测偏差的绝对幅度，对异常值不敏感。</w:t>
      </w:r>
    </w:p>
    <w:p>
      <w:pPr>
        <w:pStyle w:val="Heading1"/>
      </w:pPr>
      <w:r>
        <w:t>三、任务实现</w:t>
      </w:r>
    </w:p>
    <w:p>
      <w:pPr>
        <w:pStyle w:val="Heading2"/>
      </w:pPr>
      <w:r>
        <w:t>3.1 工程代码结构</w:t>
      </w:r>
    </w:p>
    <w:p>
      <w:pPr>
        <w:spacing w:line="360" w:lineRule="auto" w:after="120"/>
        <w:ind w:firstLine="480"/>
      </w:pPr>
      <w:r>
        <w:rPr>
          <w:rFonts w:ascii="宋体" w:hAnsi="宋体" w:eastAsia="宋体"/>
          <w:b w:val="0"/>
          <w:sz w:val="24"/>
        </w:rPr>
        <w:t>工程项目采用模块化架构设计，按数据处理、特征工程、模型训练、可视化等功能拆分为独立模块，各模块职责清晰、可独立测试和维护。核心代码文件结构如下：</w:t>
      </w:r>
    </w:p>
    <w:tbl>
      <w:tblPr>
        <w:tblStyle w:val="TableGrid"/>
        <w:tblW w:type="auto" w:w="0"/>
        <w:jc w:val="center"/>
        <w:tblLook w:firstColumn="1" w:firstRow="1" w:lastColumn="0" w:lastRow="0" w:noHBand="0" w:noVBand="1" w:val="04A0"/>
      </w:tblPr>
      <w:tblGrid>
        <w:gridCol w:w="4536"/>
        <w:gridCol w:w="4536"/>
      </w:tblGrid>
      <w:tr>
        <w:tc>
          <w:tcPr>
            <w:tcW w:type="dxa" w:w="4536"/>
            <w:shd w:fill="D9E2F3" w:val="clear"/>
          </w:tcPr>
          <w:p>
            <w:pPr>
              <w:jc w:val="center"/>
            </w:pPr>
            <w:r/>
            <w:r>
              <w:rPr>
                <w:rFonts w:ascii="黑体" w:hAnsi="黑体" w:eastAsia="黑体"/>
                <w:b/>
                <w:sz w:val="20"/>
              </w:rPr>
              <w:t>目录/文件</w:t>
            </w:r>
          </w:p>
        </w:tc>
        <w:tc>
          <w:tcPr>
            <w:tcW w:type="dxa" w:w="4536"/>
            <w:shd w:fill="D9E2F3" w:val="clear"/>
          </w:tcPr>
          <w:p>
            <w:pPr>
              <w:jc w:val="center"/>
            </w:pPr>
            <w:r/>
            <w:r>
              <w:rPr>
                <w:rFonts w:ascii="黑体" w:hAnsi="黑体" w:eastAsia="黑体"/>
                <w:b/>
                <w:sz w:val="20"/>
              </w:rPr>
              <w:t>功能说明</w:t>
            </w:r>
          </w:p>
        </w:tc>
      </w:tr>
      <w:tr>
        <w:tc>
          <w:tcPr>
            <w:tcW w:type="dxa" w:w="4536"/>
          </w:tcPr>
          <w:p>
            <w:pPr>
              <w:jc w:val="center"/>
            </w:pPr>
            <w:r/>
            <w:r>
              <w:rPr>
                <w:rFonts w:ascii="宋体" w:hAnsi="宋体" w:eastAsia="宋体"/>
                <w:sz w:val="20"/>
              </w:rPr>
              <w:t>main.py</w:t>
            </w:r>
          </w:p>
        </w:tc>
        <w:tc>
          <w:tcPr>
            <w:tcW w:type="dxa" w:w="4536"/>
          </w:tcPr>
          <w:p>
            <w:pPr>
              <w:jc w:val="center"/>
            </w:pPr>
            <w:r/>
            <w:r>
              <w:rPr>
                <w:rFonts w:ascii="宋体" w:hAnsi="宋体" w:eastAsia="宋体"/>
                <w:sz w:val="20"/>
              </w:rPr>
              <w:t>全流程主脚本，串联从数据加载到测试集预测的所有步骤</w:t>
            </w:r>
          </w:p>
        </w:tc>
      </w:tr>
      <w:tr>
        <w:tc>
          <w:tcPr>
            <w:tcW w:type="dxa" w:w="4536"/>
          </w:tcPr>
          <w:p>
            <w:pPr>
              <w:jc w:val="center"/>
            </w:pPr>
            <w:r/>
            <w:r>
              <w:rPr>
                <w:rFonts w:ascii="宋体" w:hAnsi="宋体" w:eastAsia="宋体"/>
                <w:sz w:val="20"/>
              </w:rPr>
              <w:t>src/config.py</w:t>
            </w:r>
          </w:p>
        </w:tc>
        <w:tc>
          <w:tcPr>
            <w:tcW w:type="dxa" w:w="4536"/>
          </w:tcPr>
          <w:p>
            <w:pPr>
              <w:jc w:val="center"/>
            </w:pPr>
            <w:r/>
            <w:r>
              <w:rPr>
                <w:rFonts w:ascii="宋体" w:hAnsi="宋体" w:eastAsia="宋体"/>
                <w:sz w:val="20"/>
              </w:rPr>
              <w:t>全局配置文件：数据路径、特征分组列表、随机种子</w:t>
            </w:r>
          </w:p>
        </w:tc>
      </w:tr>
      <w:tr>
        <w:tc>
          <w:tcPr>
            <w:tcW w:type="dxa" w:w="4536"/>
          </w:tcPr>
          <w:p>
            <w:pPr>
              <w:jc w:val="center"/>
            </w:pPr>
            <w:r/>
            <w:r>
              <w:rPr>
                <w:rFonts w:ascii="宋体" w:hAnsi="宋体" w:eastAsia="宋体"/>
                <w:sz w:val="20"/>
              </w:rPr>
              <w:t>src/data/loader.py</w:t>
            </w:r>
          </w:p>
        </w:tc>
        <w:tc>
          <w:tcPr>
            <w:tcW w:type="dxa" w:w="4536"/>
          </w:tcPr>
          <w:p>
            <w:pPr>
              <w:jc w:val="center"/>
            </w:pPr>
            <w:r/>
            <w:r>
              <w:rPr>
                <w:rFonts w:ascii="宋体" w:hAnsi="宋体" w:eastAsia="宋体"/>
                <w:sz w:val="20"/>
              </w:rPr>
              <w:t>CSV数据加载模块，读取训练集和测试集</w:t>
            </w:r>
          </w:p>
        </w:tc>
      </w:tr>
      <w:tr>
        <w:tc>
          <w:tcPr>
            <w:tcW w:type="dxa" w:w="4536"/>
          </w:tcPr>
          <w:p>
            <w:pPr>
              <w:jc w:val="center"/>
            </w:pPr>
            <w:r/>
            <w:r>
              <w:rPr>
                <w:rFonts w:ascii="宋体" w:hAnsi="宋体" w:eastAsia="宋体"/>
                <w:sz w:val="20"/>
              </w:rPr>
              <w:t>src/data/preprocessor.py</w:t>
            </w:r>
          </w:p>
        </w:tc>
        <w:tc>
          <w:tcPr>
            <w:tcW w:type="dxa" w:w="4536"/>
          </w:tcPr>
          <w:p>
            <w:pPr>
              <w:jc w:val="center"/>
            </w:pPr>
            <w:r/>
            <w:r>
              <w:rPr>
                <w:rFonts w:ascii="宋体" w:hAnsi="宋体" w:eastAsia="宋体"/>
                <w:sz w:val="20"/>
              </w:rPr>
              <w:t>数据预处理：缺失值处理、训练验证划分、标准化</w:t>
            </w:r>
          </w:p>
        </w:tc>
      </w:tr>
      <w:tr>
        <w:tc>
          <w:tcPr>
            <w:tcW w:type="dxa" w:w="4536"/>
          </w:tcPr>
          <w:p>
            <w:pPr>
              <w:jc w:val="center"/>
            </w:pPr>
            <w:r/>
            <w:r>
              <w:rPr>
                <w:rFonts w:ascii="宋体" w:hAnsi="宋体" w:eastAsia="宋体"/>
                <w:sz w:val="20"/>
              </w:rPr>
              <w:t>src/features/engineering.py</w:t>
            </w:r>
          </w:p>
        </w:tc>
        <w:tc>
          <w:tcPr>
            <w:tcW w:type="dxa" w:w="4536"/>
          </w:tcPr>
          <w:p>
            <w:pPr>
              <w:jc w:val="center"/>
            </w:pPr>
            <w:r/>
            <w:r>
              <w:rPr>
                <w:rFonts w:ascii="宋体" w:hAnsi="宋体" w:eastAsia="宋体"/>
                <w:sz w:val="20"/>
              </w:rPr>
              <w:t>特征工程：PCA降维实现</w:t>
            </w:r>
          </w:p>
        </w:tc>
      </w:tr>
      <w:tr>
        <w:tc>
          <w:tcPr>
            <w:tcW w:type="dxa" w:w="4536"/>
          </w:tcPr>
          <w:p>
            <w:pPr>
              <w:jc w:val="center"/>
            </w:pPr>
            <w:r/>
            <w:r>
              <w:rPr>
                <w:rFonts w:ascii="宋体" w:hAnsi="宋体" w:eastAsia="宋体"/>
                <w:sz w:val="20"/>
              </w:rPr>
              <w:t>src/models/clustering.py</w:t>
            </w:r>
          </w:p>
        </w:tc>
        <w:tc>
          <w:tcPr>
            <w:tcW w:type="dxa" w:w="4536"/>
          </w:tcPr>
          <w:p>
            <w:pPr>
              <w:jc w:val="center"/>
            </w:pPr>
            <w:r/>
            <w:r>
              <w:rPr>
                <w:rFonts w:ascii="宋体" w:hAnsi="宋体" w:eastAsia="宋体"/>
                <w:sz w:val="20"/>
              </w:rPr>
              <w:t>K-Means聚类分析，含最优K值自动选择</w:t>
            </w:r>
          </w:p>
        </w:tc>
      </w:tr>
      <w:tr>
        <w:tc>
          <w:tcPr>
            <w:tcW w:type="dxa" w:w="4536"/>
          </w:tcPr>
          <w:p>
            <w:pPr>
              <w:jc w:val="center"/>
            </w:pPr>
            <w:r/>
            <w:r>
              <w:rPr>
                <w:rFonts w:ascii="宋体" w:hAnsi="宋体" w:eastAsia="宋体"/>
                <w:sz w:val="20"/>
              </w:rPr>
              <w:t>src/models/linear_regression.py</w:t>
            </w:r>
          </w:p>
        </w:tc>
        <w:tc>
          <w:tcPr>
            <w:tcW w:type="dxa" w:w="4536"/>
          </w:tcPr>
          <w:p>
            <w:pPr>
              <w:jc w:val="center"/>
            </w:pPr>
            <w:r/>
            <w:r>
              <w:rPr>
                <w:rFonts w:ascii="宋体" w:hAnsi="宋体" w:eastAsia="宋体"/>
                <w:sz w:val="20"/>
              </w:rPr>
              <w:t>Ridge/Lasso回归 + VIF多重共线性诊断</w:t>
            </w:r>
          </w:p>
        </w:tc>
      </w:tr>
      <w:tr>
        <w:tc>
          <w:tcPr>
            <w:tcW w:type="dxa" w:w="4536"/>
          </w:tcPr>
          <w:p>
            <w:pPr>
              <w:jc w:val="center"/>
            </w:pPr>
            <w:r/>
            <w:r>
              <w:rPr>
                <w:rFonts w:ascii="宋体" w:hAnsi="宋体" w:eastAsia="宋体"/>
                <w:sz w:val="20"/>
              </w:rPr>
              <w:t>src/models/random_forest.py</w:t>
            </w:r>
          </w:p>
        </w:tc>
        <w:tc>
          <w:tcPr>
            <w:tcW w:type="dxa" w:w="4536"/>
          </w:tcPr>
          <w:p>
            <w:pPr>
              <w:jc w:val="center"/>
            </w:pPr>
            <w:r/>
            <w:r>
              <w:rPr>
                <w:rFonts w:ascii="宋体" w:hAnsi="宋体" w:eastAsia="宋体"/>
                <w:sz w:val="20"/>
              </w:rPr>
              <w:t>随机森林模型训练、预测与特征重要性</w:t>
            </w:r>
          </w:p>
        </w:tc>
      </w:tr>
      <w:tr>
        <w:tc>
          <w:tcPr>
            <w:tcW w:type="dxa" w:w="4536"/>
          </w:tcPr>
          <w:p>
            <w:pPr>
              <w:jc w:val="center"/>
            </w:pPr>
            <w:r/>
            <w:r>
              <w:rPr>
                <w:rFonts w:ascii="宋体" w:hAnsi="宋体" w:eastAsia="宋体"/>
                <w:sz w:val="20"/>
              </w:rPr>
              <w:t>src/models/evaluation.py</w:t>
            </w:r>
          </w:p>
        </w:tc>
        <w:tc>
          <w:tcPr>
            <w:tcW w:type="dxa" w:w="4536"/>
          </w:tcPr>
          <w:p>
            <w:pPr>
              <w:jc w:val="center"/>
            </w:pPr>
            <w:r/>
            <w:r>
              <w:rPr>
                <w:rFonts w:ascii="宋体" w:hAnsi="宋体" w:eastAsia="宋体"/>
                <w:sz w:val="20"/>
              </w:rPr>
              <w:t>评估指标计算（R²/RMSE/MAE）与模型对比</w:t>
            </w:r>
          </w:p>
        </w:tc>
      </w:tr>
      <w:tr>
        <w:tc>
          <w:tcPr>
            <w:tcW w:type="dxa" w:w="4536"/>
          </w:tcPr>
          <w:p>
            <w:pPr>
              <w:jc w:val="center"/>
            </w:pPr>
            <w:r/>
            <w:r>
              <w:rPr>
                <w:rFonts w:ascii="宋体" w:hAnsi="宋体" w:eastAsia="宋体"/>
                <w:sz w:val="20"/>
              </w:rPr>
              <w:t>src/visualization/plots.py</w:t>
            </w:r>
          </w:p>
        </w:tc>
        <w:tc>
          <w:tcPr>
            <w:tcW w:type="dxa" w:w="4536"/>
          </w:tcPr>
          <w:p>
            <w:pPr>
              <w:jc w:val="center"/>
            </w:pPr>
            <w:r/>
            <w:r>
              <w:rPr>
                <w:rFonts w:ascii="宋体" w:hAnsi="宋体" w:eastAsia="宋体"/>
                <w:sz w:val="20"/>
              </w:rPr>
              <w:t>Matplotlib+Seaborn可视化，生成12种分析图表</w:t>
            </w:r>
          </w:p>
        </w:tc>
      </w:tr>
      <w:tr>
        <w:tc>
          <w:tcPr>
            <w:tcW w:type="dxa" w:w="4536"/>
          </w:tcPr>
          <w:p>
            <w:pPr>
              <w:jc w:val="center"/>
            </w:pPr>
            <w:r/>
            <w:r>
              <w:rPr>
                <w:rFonts w:ascii="宋体" w:hAnsi="宋体" w:eastAsia="宋体"/>
                <w:sz w:val="20"/>
              </w:rPr>
              <w:t>outputs/figures/</w:t>
            </w:r>
          </w:p>
        </w:tc>
        <w:tc>
          <w:tcPr>
            <w:tcW w:type="dxa" w:w="4536"/>
          </w:tcPr>
          <w:p>
            <w:pPr>
              <w:jc w:val="center"/>
            </w:pPr>
            <w:r/>
            <w:r>
              <w:rPr>
                <w:rFonts w:ascii="宋体" w:hAnsi="宋体" w:eastAsia="宋体"/>
                <w:sz w:val="20"/>
              </w:rPr>
              <w:t>输出图表保存目录</w:t>
            </w:r>
          </w:p>
        </w:tc>
      </w:tr>
      <w:tr>
        <w:tc>
          <w:tcPr>
            <w:tcW w:type="dxa" w:w="4536"/>
          </w:tcPr>
          <w:p>
            <w:pPr>
              <w:jc w:val="center"/>
            </w:pPr>
            <w:r/>
            <w:r>
              <w:rPr>
                <w:rFonts w:ascii="宋体" w:hAnsi="宋体" w:eastAsia="宋体"/>
                <w:sz w:val="20"/>
              </w:rPr>
              <w:t>outputs/models/</w:t>
            </w:r>
          </w:p>
        </w:tc>
        <w:tc>
          <w:tcPr>
            <w:tcW w:type="dxa" w:w="4536"/>
          </w:tcPr>
          <w:p>
            <w:pPr>
              <w:jc w:val="center"/>
            </w:pPr>
            <w:r/>
            <w:r>
              <w:rPr>
                <w:rFonts w:ascii="宋体" w:hAnsi="宋体" w:eastAsia="宋体"/>
                <w:sz w:val="20"/>
              </w:rPr>
              <w:t>模型预测结果（CSV）保存目录</w:t>
            </w:r>
          </w:p>
        </w:tc>
      </w:tr>
    </w:tbl>
    <w:p/>
    <w:p>
      <w:pPr>
        <w:pStyle w:val="Heading2"/>
      </w:pPr>
      <w:r>
        <w:t>3.2 核心算法实现说明</w:t>
      </w:r>
    </w:p>
    <w:p>
      <w:pPr>
        <w:spacing w:line="360" w:lineRule="auto" w:after="120"/>
        <w:ind w:firstLine="480"/>
      </w:pPr>
      <w:r>
        <w:rPr>
          <w:rFonts w:ascii="宋体" w:hAnsi="宋体" w:eastAsia="宋体"/>
          <w:b w:val="0"/>
          <w:sz w:val="24"/>
        </w:rPr>
        <w:t>K-Means聚类：使用sklearn.cluster.KMeans实现。核心参数为n_clusters（聚类数），通过循环K=2~10计算每种K值下的惯性值（模型内样本到簇中心的距离平方和）和轮廓系数（衡量样本与自身簇和其他簇的相似度差异），自动选择轮廓系数最高的K值作为最优聚类数。聚类完成后，使用PCA将17维特征降至2维，以散点图形式可视化聚类标签，直观展示样本分组效果。</w:t>
      </w:r>
    </w:p>
    <w:p>
      <w:pPr>
        <w:spacing w:line="360" w:lineRule="auto" w:after="120"/>
        <w:ind w:firstLine="480"/>
      </w:pPr>
      <w:r>
        <w:rPr>
          <w:rFonts w:ascii="宋体" w:hAnsi="宋体" w:eastAsia="宋体"/>
          <w:b w:val="0"/>
          <w:sz w:val="24"/>
        </w:rPr>
        <w:t>线性回归：先使用PCA（方差阈值0.95）对特征进行降维去相关处理，再将降维后的特征分别输入RidgeCV和LassoCV。两个CV类内部通过留一交叉验证或多折交叉验证自动搜索最优alpha值。训练完成后在20%验证集上使用regression_metrics函数计算R²、RMSE、MAE。使用statsmodels.api.OLS配合add_constant计算VIF值，诊断多重共线性。</w:t>
      </w:r>
    </w:p>
    <w:p>
      <w:pPr>
        <w:spacing w:line="360" w:lineRule="auto" w:after="120"/>
        <w:ind w:firstLine="480"/>
      </w:pPr>
      <w:r>
        <w:rPr>
          <w:rFonts w:ascii="宋体" w:hAnsi="宋体" w:eastAsia="宋体"/>
          <w:b w:val="0"/>
          <w:sz w:val="24"/>
        </w:rPr>
        <w:t>随机森林：使用sklearn.ensemble.RandomForestRegressor，设置n_estimators=200（决策树数量），random_state=42（保证结果可复现），其余参数使用默认值。训练完成后，通过feature_importances_属性获取每个特征对模型预测的贡献度（基于基尼不纯度或均方误差的减少量），按降序排序输出Top 5重要特征。</w:t>
      </w:r>
    </w:p>
    <w:p>
      <w:pPr>
        <w:pStyle w:val="Heading1"/>
      </w:pPr>
      <w:r>
        <w:t>四、任务测试与结果</w:t>
      </w:r>
    </w:p>
    <w:p>
      <w:pPr>
        <w:pStyle w:val="Heading2"/>
      </w:pPr>
      <w:r>
        <w:t>4.1 模型对比结果</w:t>
      </w:r>
    </w:p>
    <w:p>
      <w:pPr>
        <w:spacing w:line="360" w:lineRule="auto" w:after="120"/>
        <w:ind w:firstLine="480"/>
      </w:pPr>
      <w:r>
        <w:rPr>
          <w:rFonts w:ascii="宋体" w:hAnsi="宋体" w:eastAsia="宋体"/>
          <w:b w:val="0"/>
          <w:sz w:val="24"/>
        </w:rPr>
        <w:t>在验证集（20%训练数据）上对5种模型-特征组合方案进行了系统对比，结果如下表所示：</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2F3" w:val="clear"/>
          </w:tcPr>
          <w:p>
            <w:pPr>
              <w:jc w:val="center"/>
            </w:pPr>
            <w:r/>
            <w:r>
              <w:rPr>
                <w:rFonts w:ascii="黑体" w:hAnsi="黑体" w:eastAsia="黑体"/>
                <w:b/>
                <w:sz w:val="20"/>
              </w:rPr>
              <w:t>模型</w:t>
            </w:r>
          </w:p>
        </w:tc>
        <w:tc>
          <w:tcPr>
            <w:tcW w:type="dxa" w:w="2268"/>
            <w:shd w:fill="D9E2F3" w:val="clear"/>
          </w:tcPr>
          <w:p>
            <w:pPr>
              <w:jc w:val="center"/>
            </w:pPr>
            <w:r/>
            <w:r>
              <w:rPr>
                <w:rFonts w:ascii="黑体" w:hAnsi="黑体" w:eastAsia="黑体"/>
                <w:b/>
                <w:sz w:val="20"/>
              </w:rPr>
              <w:t>特征组合</w:t>
            </w:r>
          </w:p>
        </w:tc>
        <w:tc>
          <w:tcPr>
            <w:tcW w:type="dxa" w:w="2268"/>
            <w:shd w:fill="D9E2F3" w:val="clear"/>
          </w:tcPr>
          <w:p>
            <w:pPr>
              <w:jc w:val="center"/>
            </w:pPr>
            <w:r/>
            <w:r>
              <w:rPr>
                <w:rFonts w:ascii="黑体" w:hAnsi="黑体" w:eastAsia="黑体"/>
                <w:b/>
                <w:sz w:val="20"/>
              </w:rPr>
              <w:t>技术方案</w:t>
            </w:r>
          </w:p>
        </w:tc>
        <w:tc>
          <w:tcPr>
            <w:tcW w:type="dxa" w:w="2268"/>
            <w:shd w:fill="D9E2F3" w:val="clear"/>
          </w:tcPr>
          <w:p>
            <w:pPr>
              <w:jc w:val="center"/>
            </w:pPr>
            <w:r/>
            <w:r>
              <w:rPr>
                <w:rFonts w:ascii="黑体" w:hAnsi="黑体" w:eastAsia="黑体"/>
                <w:b/>
                <w:sz w:val="20"/>
              </w:rPr>
              <w:t>性能评价</w:t>
            </w:r>
          </w:p>
        </w:tc>
      </w:tr>
      <w:tr>
        <w:tc>
          <w:tcPr>
            <w:tcW w:type="dxa" w:w="2268"/>
          </w:tcPr>
          <w:p>
            <w:pPr>
              <w:jc w:val="center"/>
            </w:pPr>
            <w:r/>
            <w:r>
              <w:rPr>
                <w:rFonts w:ascii="宋体" w:hAnsi="宋体" w:eastAsia="宋体"/>
                <w:sz w:val="20"/>
              </w:rPr>
              <w:t>Ridge回归</w:t>
            </w:r>
          </w:p>
        </w:tc>
        <w:tc>
          <w:tcPr>
            <w:tcW w:type="dxa" w:w="2268"/>
          </w:tcPr>
          <w:p>
            <w:pPr>
              <w:jc w:val="center"/>
            </w:pPr>
            <w:r/>
            <w:r>
              <w:rPr>
                <w:rFonts w:ascii="宋体" w:hAnsi="宋体" w:eastAsia="宋体"/>
                <w:sz w:val="20"/>
              </w:rPr>
              <w:t>全部特征（含果实特征）</w:t>
            </w:r>
          </w:p>
        </w:tc>
        <w:tc>
          <w:tcPr>
            <w:tcW w:type="dxa" w:w="2268"/>
          </w:tcPr>
          <w:p>
            <w:pPr>
              <w:jc w:val="center"/>
            </w:pPr>
            <w:r/>
            <w:r>
              <w:rPr>
                <w:rFonts w:ascii="宋体" w:hAnsi="宋体" w:eastAsia="宋体"/>
                <w:sz w:val="20"/>
              </w:rPr>
              <w:t>18特征→PCA降维→RidgeCV</w:t>
            </w:r>
          </w:p>
        </w:tc>
        <w:tc>
          <w:tcPr>
            <w:tcW w:type="dxa" w:w="2268"/>
          </w:tcPr>
          <w:p>
            <w:pPr>
              <w:jc w:val="center"/>
            </w:pPr>
            <w:r/>
            <w:r>
              <w:rPr>
                <w:rFonts w:ascii="宋体" w:hAnsi="宋体" w:eastAsia="宋体"/>
                <w:sz w:val="20"/>
              </w:rPr>
              <w:t>R² ≈ 0.78，表现最佳但存在数据泄露</w:t>
            </w:r>
          </w:p>
        </w:tc>
      </w:tr>
      <w:tr>
        <w:tc>
          <w:tcPr>
            <w:tcW w:type="dxa" w:w="2268"/>
          </w:tcPr>
          <w:p>
            <w:pPr>
              <w:jc w:val="center"/>
            </w:pPr>
            <w:r/>
            <w:r>
              <w:rPr>
                <w:rFonts w:ascii="宋体" w:hAnsi="宋体" w:eastAsia="宋体"/>
                <w:sz w:val="20"/>
              </w:rPr>
              <w:t>Lasso回归</w:t>
            </w:r>
          </w:p>
        </w:tc>
        <w:tc>
          <w:tcPr>
            <w:tcW w:type="dxa" w:w="2268"/>
          </w:tcPr>
          <w:p>
            <w:pPr>
              <w:jc w:val="center"/>
            </w:pPr>
            <w:r/>
            <w:r>
              <w:rPr>
                <w:rFonts w:ascii="宋体" w:hAnsi="宋体" w:eastAsia="宋体"/>
                <w:sz w:val="20"/>
              </w:rPr>
              <w:t>全部特征（含果实特征）</w:t>
            </w:r>
          </w:p>
        </w:tc>
        <w:tc>
          <w:tcPr>
            <w:tcW w:type="dxa" w:w="2268"/>
          </w:tcPr>
          <w:p>
            <w:pPr>
              <w:jc w:val="center"/>
            </w:pPr>
            <w:r/>
            <w:r>
              <w:rPr>
                <w:rFonts w:ascii="宋体" w:hAnsi="宋体" w:eastAsia="宋体"/>
                <w:sz w:val="20"/>
              </w:rPr>
              <w:t>18特征→PCA降维→LassoCV</w:t>
            </w:r>
          </w:p>
        </w:tc>
        <w:tc>
          <w:tcPr>
            <w:tcW w:type="dxa" w:w="2268"/>
          </w:tcPr>
          <w:p>
            <w:pPr>
              <w:jc w:val="center"/>
            </w:pPr>
            <w:r/>
            <w:r>
              <w:rPr>
                <w:rFonts w:ascii="宋体" w:hAnsi="宋体" w:eastAsia="宋体"/>
                <w:sz w:val="20"/>
              </w:rPr>
              <w:t>R² ≈ 0.78，与Ridge基本持平</w:t>
            </w:r>
          </w:p>
        </w:tc>
      </w:tr>
      <w:tr>
        <w:tc>
          <w:tcPr>
            <w:tcW w:type="dxa" w:w="2268"/>
          </w:tcPr>
          <w:p>
            <w:pPr>
              <w:jc w:val="center"/>
            </w:pPr>
            <w:r/>
            <w:r>
              <w:rPr>
                <w:rFonts w:ascii="宋体" w:hAnsi="宋体" w:eastAsia="宋体"/>
                <w:sz w:val="20"/>
              </w:rPr>
              <w:t>Ridge回归</w:t>
            </w:r>
          </w:p>
        </w:tc>
        <w:tc>
          <w:tcPr>
            <w:tcW w:type="dxa" w:w="2268"/>
          </w:tcPr>
          <w:p>
            <w:pPr>
              <w:jc w:val="center"/>
            </w:pPr>
            <w:r/>
            <w:r>
              <w:rPr>
                <w:rFonts w:ascii="宋体" w:hAnsi="宋体" w:eastAsia="宋体"/>
                <w:sz w:val="20"/>
              </w:rPr>
              <w:t>排除果实特征</w:t>
            </w:r>
          </w:p>
        </w:tc>
        <w:tc>
          <w:tcPr>
            <w:tcW w:type="dxa" w:w="2268"/>
          </w:tcPr>
          <w:p>
            <w:pPr>
              <w:jc w:val="center"/>
            </w:pPr>
            <w:r/>
            <w:r>
              <w:rPr>
                <w:rFonts w:ascii="宋体" w:hAnsi="宋体" w:eastAsia="宋体"/>
                <w:sz w:val="20"/>
              </w:rPr>
              <w:t>15特征→PCA降维→RidgeCV</w:t>
            </w:r>
          </w:p>
        </w:tc>
        <w:tc>
          <w:tcPr>
            <w:tcW w:type="dxa" w:w="2268"/>
          </w:tcPr>
          <w:p>
            <w:pPr>
              <w:jc w:val="center"/>
            </w:pPr>
            <w:r/>
            <w:r>
              <w:rPr>
                <w:rFonts w:ascii="宋体" w:hAnsi="宋体" w:eastAsia="宋体"/>
                <w:sz w:val="20"/>
              </w:rPr>
              <w:t>R² ≈ 0.33，合理方案但预测力下降</w:t>
            </w:r>
          </w:p>
        </w:tc>
      </w:tr>
      <w:tr>
        <w:tc>
          <w:tcPr>
            <w:tcW w:type="dxa" w:w="2268"/>
          </w:tcPr>
          <w:p>
            <w:pPr>
              <w:jc w:val="center"/>
            </w:pPr>
            <w:r/>
            <w:r>
              <w:rPr>
                <w:rFonts w:ascii="宋体" w:hAnsi="宋体" w:eastAsia="宋体"/>
                <w:sz w:val="20"/>
              </w:rPr>
              <w:t>Lasso回归</w:t>
            </w:r>
          </w:p>
        </w:tc>
        <w:tc>
          <w:tcPr>
            <w:tcW w:type="dxa" w:w="2268"/>
          </w:tcPr>
          <w:p>
            <w:pPr>
              <w:jc w:val="center"/>
            </w:pPr>
            <w:r/>
            <w:r>
              <w:rPr>
                <w:rFonts w:ascii="宋体" w:hAnsi="宋体" w:eastAsia="宋体"/>
                <w:sz w:val="20"/>
              </w:rPr>
              <w:t>排除果实特征</w:t>
            </w:r>
          </w:p>
        </w:tc>
        <w:tc>
          <w:tcPr>
            <w:tcW w:type="dxa" w:w="2268"/>
          </w:tcPr>
          <w:p>
            <w:pPr>
              <w:jc w:val="center"/>
            </w:pPr>
            <w:r/>
            <w:r>
              <w:rPr>
                <w:rFonts w:ascii="宋体" w:hAnsi="宋体" w:eastAsia="宋体"/>
                <w:sz w:val="20"/>
              </w:rPr>
              <w:t>15特征→PCA降维→LassoCV</w:t>
            </w:r>
          </w:p>
        </w:tc>
        <w:tc>
          <w:tcPr>
            <w:tcW w:type="dxa" w:w="2268"/>
          </w:tcPr>
          <w:p>
            <w:pPr>
              <w:jc w:val="center"/>
            </w:pPr>
            <w:r/>
            <w:r>
              <w:rPr>
                <w:rFonts w:ascii="宋体" w:hAnsi="宋体" w:eastAsia="宋体"/>
                <w:sz w:val="20"/>
              </w:rPr>
              <w:t>R² ≈ 0.33，与Ridge基本持平</w:t>
            </w:r>
          </w:p>
        </w:tc>
      </w:tr>
      <w:tr>
        <w:tc>
          <w:tcPr>
            <w:tcW w:type="dxa" w:w="2268"/>
          </w:tcPr>
          <w:p>
            <w:pPr>
              <w:jc w:val="center"/>
            </w:pPr>
            <w:r/>
            <w:r>
              <w:rPr>
                <w:rFonts w:ascii="宋体" w:hAnsi="宋体" w:eastAsia="宋体"/>
                <w:sz w:val="20"/>
              </w:rPr>
              <w:t>随机森林</w:t>
            </w:r>
          </w:p>
        </w:tc>
        <w:tc>
          <w:tcPr>
            <w:tcW w:type="dxa" w:w="2268"/>
          </w:tcPr>
          <w:p>
            <w:pPr>
              <w:jc w:val="center"/>
            </w:pPr>
            <w:r/>
            <w:r>
              <w:rPr>
                <w:rFonts w:ascii="宋体" w:hAnsi="宋体" w:eastAsia="宋体"/>
                <w:sz w:val="20"/>
              </w:rPr>
              <w:t>排除果实特征</w:t>
            </w:r>
          </w:p>
        </w:tc>
        <w:tc>
          <w:tcPr>
            <w:tcW w:type="dxa" w:w="2268"/>
          </w:tcPr>
          <w:p>
            <w:pPr>
              <w:jc w:val="center"/>
            </w:pPr>
            <w:r/>
            <w:r>
              <w:rPr>
                <w:rFonts w:ascii="宋体" w:hAnsi="宋体" w:eastAsia="宋体"/>
                <w:sz w:val="20"/>
              </w:rPr>
              <w:t>15特征→200棵树</w:t>
            </w:r>
          </w:p>
        </w:tc>
        <w:tc>
          <w:tcPr>
            <w:tcW w:type="dxa" w:w="2268"/>
          </w:tcPr>
          <w:p>
            <w:pPr>
              <w:jc w:val="center"/>
            </w:pPr>
            <w:r/>
            <w:r>
              <w:rPr>
                <w:rFonts w:ascii="宋体" w:hAnsi="宋体" w:eastAsia="宋体"/>
                <w:sz w:val="20"/>
              </w:rPr>
              <w:t>略优于线性回归，可输出特征重要性排序</w:t>
            </w:r>
          </w:p>
        </w:tc>
      </w:tr>
    </w:tbl>
    <w:p/>
    <w:p>
      <w:pPr>
        <w:spacing w:line="360" w:lineRule="auto" w:after="120"/>
        <w:ind w:firstLine="480"/>
      </w:pPr>
      <w:r>
        <w:rPr>
          <w:rFonts w:ascii="宋体" w:hAnsi="宋体" w:eastAsia="宋体"/>
          <w:b w:val="0"/>
          <w:sz w:val="24"/>
        </w:rPr>
        <w:t>核心发现与讨论：</w:t>
      </w:r>
    </w:p>
    <w:p>
      <w:pPr>
        <w:spacing w:line="360" w:lineRule="auto" w:after="120"/>
        <w:ind w:firstLine="480"/>
      </w:pPr>
      <w:r>
        <w:rPr>
          <w:rFonts w:ascii="宋体" w:hAnsi="宋体" w:eastAsia="宋体"/>
          <w:b w:val="0"/>
          <w:sz w:val="24"/>
        </w:rPr>
        <w:t>1. 果实特征的"作弊"本质：fruitset（坐果率）、fruitmass（果实质量）、seeds（种子数）这三个特征与yield的相关系数均超过0.8，呈现出极强的线性相关。从统计学角度看，包含它们时模型R²高达0.78，表现优异。但从业务逻辑角度看，这三个特征都是种植后产生的"结果"变量，在实际产量预测场景中无法提前获知——用"结果"预测"结果"构成数据泄露（Data Leakage），模型虽好看但无实用价值。</w:t>
      </w:r>
    </w:p>
    <w:p>
      <w:pPr>
        <w:spacing w:line="360" w:lineRule="auto" w:after="120"/>
        <w:ind w:firstLine="480"/>
      </w:pPr>
      <w:r>
        <w:rPr>
          <w:rFonts w:ascii="宋体" w:hAnsi="宋体" w:eastAsia="宋体"/>
          <w:b w:val="0"/>
          <w:sz w:val="24"/>
        </w:rPr>
        <w:t>2. 合理模型的性能：排除果实特征后，R²降至约0.33。这意味着仅使用种植前可获取的环境变量（蜜蜂种群、温度、降雨、种植规模），可以解释产量变异的三分之一左右。考虑到农业系统中大量不可控因素（病虫害、极端天气、土壤微环境差异等），这一结果具有实际参考价值。</w:t>
      </w:r>
    </w:p>
    <w:p>
      <w:pPr>
        <w:spacing w:line="360" w:lineRule="auto" w:after="120"/>
        <w:ind w:firstLine="480"/>
      </w:pPr>
      <w:r>
        <w:rPr>
          <w:rFonts w:ascii="宋体" w:hAnsi="宋体" w:eastAsia="宋体"/>
          <w:b w:val="0"/>
          <w:sz w:val="24"/>
        </w:rPr>
        <w:t>3. 线性模型 vs 随机森林：在排除果实特征后，随机森林略优于Ridge/Lasso。随机森林能捕捉特征间的非线性关系和交互效应，这是线性模型无法做到的。此外，随机森林提供的特征重要性排序能帮助我们理解哪些环境因素对产量影响最大，具有可解释性优势。</w:t>
      </w:r>
    </w:p>
    <w:p>
      <w:pPr>
        <w:pStyle w:val="Heading2"/>
      </w:pPr>
      <w:r>
        <w:t>4.2 聚类分析结果</w:t>
      </w:r>
    </w:p>
    <w:p>
      <w:pPr>
        <w:spacing w:line="360" w:lineRule="auto" w:after="120"/>
        <w:ind w:firstLine="480"/>
      </w:pPr>
      <w:r>
        <w:rPr>
          <w:rFonts w:ascii="宋体" w:hAnsi="宋体" w:eastAsia="宋体"/>
          <w:b w:val="0"/>
          <w:sz w:val="24"/>
        </w:rPr>
        <w:t>通过肘部法则观察inertia值随K增加的变化曲线，结合轮廓系数评价聚类质量，成功确定了最优聚类数K。PCA降维至2维后的聚类散点图清晰展示了不同种植环境样本的自然分组和群组边界。</w:t>
      </w:r>
    </w:p>
    <w:p>
      <w:pPr>
        <w:spacing w:line="360" w:lineRule="auto" w:after="120"/>
        <w:ind w:firstLine="480"/>
      </w:pPr>
      <w:r>
        <w:rPr>
          <w:rFonts w:ascii="宋体" w:hAnsi="宋体" w:eastAsia="宋体"/>
          <w:b w:val="0"/>
          <w:sz w:val="24"/>
        </w:rPr>
        <w:t>对各簇进行的特征偏离分析揭示了重要规律：高产簇（yield均值较高）通常伴随着较高的bumbles（熊蜂）和andrena（地蜂）种群数量、适宜的温度范围；而低产簇则往往与极端温度条件、较低的蜜蜂种群密度相关联。这些发现为蓝莓种植管理提供了数据驱动的决策支持——例如，在预测产量较低的种植区域，可针对性地增加蜂箱投放或调整种植密度。</w:t>
      </w:r>
    </w:p>
    <w:p>
      <w:pPr>
        <w:pStyle w:val="Heading2"/>
      </w:pPr>
      <w:r>
        <w:t>4.3 测试集预测</w:t>
      </w:r>
    </w:p>
    <w:p>
      <w:pPr>
        <w:spacing w:line="360" w:lineRule="auto" w:after="120"/>
        <w:ind w:firstLine="480"/>
      </w:pPr>
      <w:r>
        <w:rPr>
          <w:rFonts w:ascii="宋体" w:hAnsi="宋体" w:eastAsia="宋体"/>
          <w:b w:val="0"/>
          <w:sz w:val="24"/>
        </w:rPr>
        <w:t>综合考虑模型合理性、预测性能和可解释性，最终选择随机森林模型（排除果实特征，n_estimators=200）作为最终预测模型。使用该模型对测试集全部样本进行产量预测，预测结果已保存至 outputs/models/test_predictions.csv 文件。预测值分布合理、无明显异常，模型具备实际参考价值，可用于辅助蓝莓种植管理的产量预估和资源配置决策。</w:t>
      </w:r>
    </w:p>
    <w:p>
      <w:pPr>
        <w:pStyle w:val="Heading1"/>
      </w:pPr>
      <w:r>
        <w:t>五、个人总结</w:t>
      </w:r>
    </w:p>
    <w:p>
      <w:pPr>
        <w:spacing w:line="360" w:lineRule="auto" w:after="120"/>
        <w:ind w:firstLine="480"/>
      </w:pPr>
      <w:r>
        <w:rPr>
          <w:rFonts w:ascii="宋体" w:hAnsi="宋体" w:eastAsia="宋体"/>
          <w:b w:val="0"/>
          <w:sz w:val="24"/>
        </w:rPr>
        <w:t>技术收获：通过本项目系统掌握了数据分析全流程——从数据预处理、探索性数据分析（EDA）、特征工程到建模评估的完整方法论体系。深入理解了线性回归的正则化方法：Ridge（L2正则化，惩罚大系数但不稀疏）和Lasso（L1正则化，可实现特征选择），以及它们在不同场景下的适用性。学会了随机森林等集成学习方法的实际应用和调参。</w:t>
      </w:r>
    </w:p>
    <w:p>
      <w:pPr>
        <w:spacing w:line="360" w:lineRule="auto" w:after="120"/>
        <w:ind w:firstLine="480"/>
      </w:pPr>
      <w:r>
        <w:rPr>
          <w:rFonts w:ascii="宋体" w:hAnsi="宋体" w:eastAsia="宋体"/>
          <w:b w:val="0"/>
          <w:sz w:val="24"/>
        </w:rPr>
        <w:t>最大的收获来自果实特征对照实验——深刻体会到评价模型不能只看R²数值。包含果实特征时R²=0.78看似漂亮，但这是用"未来信息"预测"未来"，属于典型的数据泄露。排除后R²=0.33虽然数字上不够惊艳，但模型逻辑自洽、符合实际应用约束。"高R²不等于好模型"这句话在实践中得到了充分验证，这一认知将贯穿今后的所有建模工作。</w:t>
      </w:r>
    </w:p>
    <w:p>
      <w:pPr>
        <w:spacing w:line="360" w:lineRule="auto" w:after="120"/>
        <w:ind w:firstLine="480"/>
      </w:pPr>
      <w:r>
        <w:rPr>
          <w:rFonts w:ascii="宋体" w:hAnsi="宋体" w:eastAsia="宋体"/>
          <w:b w:val="0"/>
          <w:sz w:val="24"/>
        </w:rPr>
        <w:t>自身不足：特征工程方面深度不够，仅使用了PCA降维和基本的特征选择，未尝试特征交叉组合、多项式特征构造等高级方法。模型调参较为基础，主要使用了默认参数和简单的交叉验证来进行alpha选择，后续可尝试GridSearchCV网格搜索或贝叶斯优化（如Optuna框架）进行更系统化的超参数搜索。统计学理论基础有待加强，对模型的数学假设条件（如线性回归的残差正态性、同方差性等）和局限性理解需进一步深化。</w:t>
      </w:r>
    </w:p>
    <w:p>
      <w:pPr>
        <w:spacing w:line="360" w:lineRule="auto" w:after="120"/>
        <w:ind w:firstLine="480"/>
      </w:pPr>
      <w:r>
        <w:rPr>
          <w:rFonts w:ascii="宋体" w:hAnsi="宋体" w:eastAsia="宋体"/>
          <w:b w:val="0"/>
          <w:sz w:val="24"/>
        </w:rPr>
        <w:t>团队协作感悟：本项目为个人独立完成的数据分析任务，但在过程中通过与同学的技术讨论和交流，获得了不同的分析视角和方法建议。体会到了代码审查（Code Review）和技术分享的重要性——他人的反馈往往能发现自己忽略的问题。</w:t>
      </w:r>
    </w:p>
    <w:p>
      <w:pPr>
        <w:spacing w:line="360" w:lineRule="auto" w:after="120"/>
        <w:ind w:firstLine="480"/>
      </w:pPr>
      <w:r>
        <w:rPr>
          <w:rFonts w:ascii="宋体" w:hAnsi="宋体" w:eastAsia="宋体"/>
          <w:b w:val="0"/>
          <w:sz w:val="24"/>
        </w:rPr>
        <w:t>工具使用心得：熟练掌握了Python数据科学生态工具链——NumPy（数值计算）、Pandas（数据处理）、Scikit-learn（机器学习）、Matplotlib + Seaborn（数据可视化）、statsmodels（统计建模）。学会了使用uv进行Python项目的依赖管理（替代传统的pip+virtualenv），使用Git进行版本控制和代码历史追溯。在可视化方面，解决了Matplotlib在中文环境下字体缺失的问题（配置SimHei字体），以及服务器环境（无GUI）下使用Agg非交互式后端替代默认的TkAgg后端。</w:t>
      </w:r>
    </w:p>
    <w:p>
      <w:pPr>
        <w:spacing w:line="360" w:lineRule="auto" w:after="120"/>
        <w:ind w:firstLine="480"/>
      </w:pPr>
      <w:r>
        <w:rPr>
          <w:rFonts w:ascii="宋体" w:hAnsi="宋体" w:eastAsia="宋体"/>
          <w:b w:val="0"/>
          <w:sz w:val="24"/>
        </w:rPr>
        <w:t>未来提升规划：(1) 学习XGBoost和LightGBM等梯度提升树模型，它们在实际竞赛和工业应用中通常优于随机森林；(2) 了解深度学习（如MLP/TabNet）在表格数据回归预测中的应用场景和优劣势；(3) 加强统计学理论基础（假设检验、贝叶斯推断等），提升数据分析的严谨性；(4) 学习更系统的特征工程方法论（目标编码、特征交叉、自动化特征生成），提升从原始数据中构造高价值特征的能力。</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