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 xmlns:w14="http://schemas.microsoft.com/office/word/2010/wordml" xmlns:mc="http://schemas.openxmlformats.org/markup-compatibility/2006" mc:Ignorable="w14">
  <w:body>
    <w:p w14:paraId="11B24D68">
      <w:pPr>
        <w:spacing w:before="2400" w:after="0" w:line="348" w:lineRule="auto"/>
        <w:jc w:val="center"/>
      </w:pPr>
      <w:r>
        <w:rPr>
          <w:rFonts w:hint="eastAsia" w:ascii="Times New Roman" w:hAnsi="Times New Roman" w:eastAsia="黑体" w:cs="Times New Roman"/>
          <w:b w:val="0"/>
          <w:i w:val="0"/>
          <w:color w:val="000000"/>
          <w:sz w:val="40"/>
        </w:rPr>
        <w:t>AI 智能体（Agent）技术现状</w:t>
      </w:r>
      <w:r>
        <w:rPr>
          <w:rFonts w:ascii="Times New Roman" w:hAnsi="Times New Roman" w:eastAsia="黑体" w:cs="Times New Roman"/>
          <w:b w:val="0"/>
          <w:i w:val="0"/>
          <w:color w:val="000000"/>
          <w:sz w:val="40"/>
        </w:rPr>
        <w:br w:type="textWrapping"/>
      </w:r>
      <w:r>
        <w:rPr>
          <w:rFonts w:hint="eastAsia" w:ascii="Times New Roman" w:hAnsi="Times New Roman" w:eastAsia="黑体" w:cs="Times New Roman"/>
          <w:b w:val="0"/>
          <w:i w:val="0"/>
          <w:color w:val="000000"/>
          <w:sz w:val="40"/>
        </w:rPr>
        <w:t>与分类调查报告</w:t>
      </w:r>
    </w:p>
    <w:p w14:paraId="3193DA44">
      <w:pPr>
        <w:spacing w:before="280" w:after="1520"/>
        <w:jc w:val="center"/>
      </w:pPr>
      <w:r>
        <w:rPr>
          <w:rFonts w:hint="eastAsia" w:ascii="Times New Roman" w:hAnsi="Times New Roman" w:eastAsia="黑体" w:cs="Times New Roman"/>
          <w:b w:val="0"/>
          <w:i w:val="0"/>
          <w:color w:val="000000"/>
          <w:sz w:val="26"/>
        </w:rPr>
        <w:t>—— 基于文献调研与自建系统的分析</w:t>
      </w:r>
    </w:p>
    <w:p w14:paraId="5F92F2B5">
      <w:pPr>
        <w:spacing w:before="200" w:after="80" w:line="336" w:lineRule="auto"/>
        <w:jc w:val="center"/>
      </w:pPr>
      <w:r>
        <w:rPr>
          <w:rFonts w:hint="eastAsia" w:ascii="Times New Roman" w:hAnsi="Times New Roman" w:eastAsia="黑体" w:cs="Times New Roman"/>
          <w:b w:val="0"/>
          <w:i w:val="0"/>
          <w:color w:val="000000"/>
          <w:sz w:val="28"/>
        </w:rPr>
        <w:t>课程：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8"/>
        </w:rPr>
        <w:t>人工智能技术</w:t>
      </w:r>
    </w:p>
    <w:p w14:paraId="51492BA1">
      <w:pPr>
        <w:spacing w:before="80" w:after="80" w:line="336" w:lineRule="auto"/>
        <w:jc w:val="center"/>
      </w:pPr>
      <w:r>
        <w:rPr>
          <w:rFonts w:hint="eastAsia" w:ascii="Times New Roman" w:hAnsi="Times New Roman" w:eastAsia="黑体" w:cs="Times New Roman"/>
          <w:b w:val="0"/>
          <w:i w:val="0"/>
          <w:color w:val="000000"/>
          <w:sz w:val="28"/>
        </w:rPr>
        <w:t>专业：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8"/>
        </w:rPr>
        <w:t>软件工程</w:t>
      </w:r>
    </w:p>
    <w:p w14:paraId="5A6EF373">
      <w:pPr>
        <w:spacing w:before="80" w:after="80" w:line="336" w:lineRule="auto"/>
        <w:jc w:val="center"/>
      </w:pPr>
      <w:r>
        <w:rPr>
          <w:rFonts w:hint="eastAsia" w:ascii="Times New Roman" w:hAnsi="Times New Roman" w:eastAsia="黑体" w:cs="Times New Roman"/>
          <w:b w:val="0"/>
          <w:i w:val="0"/>
          <w:color w:val="000000"/>
          <w:sz w:val="28"/>
        </w:rPr>
        <w:t>班级：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8"/>
        </w:rPr>
        <w:t>软件 2406 班</w:t>
      </w:r>
    </w:p>
    <w:p w14:paraId="2DF65086">
      <w:pPr>
        <w:spacing w:before="80" w:after="80" w:line="336" w:lineRule="auto"/>
        <w:jc w:val="center"/>
      </w:pPr>
      <w:r>
        <w:rPr>
          <w:rFonts w:hint="eastAsia" w:ascii="Times New Roman" w:hAnsi="Times New Roman" w:eastAsia="黑体" w:cs="Times New Roman"/>
          <w:b w:val="0"/>
          <w:i w:val="0"/>
          <w:color w:val="000000"/>
          <w:sz w:val="28"/>
        </w:rPr>
        <w:t>姓名：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8"/>
        </w:rPr>
        <w:t>孙秋实</w:t>
      </w:r>
    </w:p>
    <w:p w14:paraId="1864A9B0">
      <w:pPr>
        <w:spacing w:before="80" w:after="80" w:line="336" w:lineRule="auto"/>
        <w:jc w:val="center"/>
      </w:pPr>
      <w:r>
        <w:rPr>
          <w:rFonts w:hint="eastAsia" w:ascii="Times New Roman" w:hAnsi="Times New Roman" w:eastAsia="黑体" w:cs="Times New Roman"/>
          <w:b w:val="0"/>
          <w:i w:val="0"/>
          <w:color w:val="000000"/>
          <w:sz w:val="28"/>
        </w:rPr>
        <w:t>学号：</w:t>
      </w: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20245715</w:t>
      </w:r>
    </w:p>
    <w:p w14:paraId="5DDD8E5B">
      <w:pPr>
        <w:spacing w:before="80" w:after="80" w:line="336" w:lineRule="auto"/>
        <w:jc w:val="center"/>
      </w:pPr>
      <w:r>
        <w:rPr>
          <w:rFonts w:hint="eastAsia" w:ascii="Times New Roman" w:hAnsi="Times New Roman" w:eastAsia="黑体" w:cs="Times New Roman"/>
          <w:b w:val="0"/>
          <w:i w:val="0"/>
          <w:color w:val="000000"/>
          <w:sz w:val="28"/>
        </w:rPr>
        <w:t>日期：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8"/>
        </w:rPr>
        <w:t>2026 年 10 月</w:t>
      </w:r>
    </w:p>
    <w:p w14:paraId="1A495D3A">
      <w:pPr>
        <w:spacing w:before="0" w:after="0"/>
      </w:pPr>
      <w:r>
        <w:br w:type="page"/>
      </w:r>
    </w:p>
    <w:p w14:paraId="316496F7">
      <w:pPr>
        <w:pStyle w:val="000008"/>
      </w:pPr>
      <w:r>
        <w:rPr>
          <w:rFonts w:hint="eastAsia" w:ascii="Times New Roman" w:hAnsi="Times New Roman" w:eastAsia="黑体" w:cs="Times New Roman"/>
          <w:b w:val="0"/>
          <w:i w:val="0"/>
          <w:color w:val="000000"/>
          <w:sz w:val="32"/>
        </w:rPr>
        <w:t>摘　　要</w:t>
      </w:r>
    </w:p>
    <w:p w14:paraId="6ED9C6EA">
      <w:pPr>
        <w:ind w:firstLine="480" w:firstLineChars="200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本报告以文献与产品资料调研为基础，围绕四个问题展开：智能体的概念界定与核心结构、现有智能体的分类、智能体与具身智能的工程联系，以及自建系统的落地实践。分类从“自主程度与交互形态”“应用领域”“技术实现路线”三个维度进行，逐项说明划分依据、代表对象与判断标准，并注明对象类型与资料查询日期（2026 年 10 月 22 日）。</w:t>
      </w:r>
    </w:p>
    <w:p w14:paraId="554AF6C3">
      <w:pPr>
        <w:ind w:firstLine="480" w:firstLineChars="200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主要结论有四项。其一，智能体不是单一产品形态，而是“模型 + 规划 + 工具 + 反馈 + 人在回路”的系统组合；判断标准是能否在运行时自主决定下一步，而非是否调用大语言模型。其二，公开基准显示智能体在长程、多步交互的真实任务上仍显著落后于人类，当前可靠性主要靠权限分级、证据校验与人工审核等工程约束保障。其三，工程架构层面，具身智能可视为同一决策内核在物理世界的延伸，但受接口适配、实时控制与仿真—真实迁移制约。其四，自建系统 AIcap 的实践表明，按操作后果分级授权并要求结论绑定原文证据，是当前条件下较为可行的可靠性设计。</w:t>
      </w:r>
    </w:p>
    <w:p w14:paraId="7DB21C91">
      <w:pPr>
        <w:spacing w:before="280"/>
        <w:ind w:firstLine="480" w:firstLineChars="200"/>
      </w:pPr>
      <w:r>
        <w:rPr>
          <w:rFonts w:hint="eastAsia" w:ascii="Times New Roman" w:hAnsi="Times New Roman" w:eastAsia="黑体" w:cs="Times New Roman"/>
          <w:b w:val="0"/>
          <w:i w:val="0"/>
          <w:color w:val="000000"/>
          <w:sz w:val="24"/>
        </w:rPr>
        <w:t>关键词：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智能体；大语言模型；具身智能；多智能体系统；人在回路</w:t>
      </w:r>
    </w:p>
    <w:p w14:paraId="61249B99">
      <w:pPr>
        <w:pStyle w:val="000008"/>
      </w:pPr>
      <w:r>
        <w:rPr>
          <w:rFonts w:hint="eastAsia" w:ascii="Times New Roman" w:hAnsi="Times New Roman" w:eastAsia="黑体" w:cs="Times New Roman"/>
          <w:b w:val="0"/>
          <w:i w:val="0"/>
          <w:color w:val="000000"/>
          <w:sz w:val="32"/>
        </w:rPr>
        <w:t>第一章 智能体的概念与核心结构</w:t>
      </w:r>
    </w:p>
    <w:p w14:paraId="0624A4BC">
      <w:pPr>
        <w:pStyle w:val="00000a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8"/>
        </w:rPr>
        <w:t>1.1 概念界定与判断标准</w:t>
      </w:r>
    </w:p>
    <w:p w14:paraId="22CAA361">
      <w:pPr>
        <w:ind w:firstLine="480" w:firstLineChars="200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智能体（Agent）在经典人工智能文献中被定义为能够感知环境、并基于感知自主采取行动以达成目标的实体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vertAlign w:val="superscript"/>
        </w:rPr>
        <w:t>[1]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。本报告讨论以大型语言模型（LLM）为核心控制器的软件智能体：这类系统利用模型完成意图理解、任务规划与决策，并结合工具调用、环境反馈执行任务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vertAlign w:val="superscript"/>
        </w:rPr>
        <w:t>[2]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。</w:t>
      </w:r>
    </w:p>
    <w:p w14:paraId="226E3F13">
      <w:pPr>
        <w:ind w:firstLine="480" w:firstLineChars="200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判断一个系统是否属于智能体，关键不在是否调用大模型，而在能否在运行时自主决定下一步。传统脚本与 RPA 的控制流完全预先确定，不能自主选择工具；对话式助手多为单轮或短程交互，动态调整能力弱；若所有分支都由开发者事先写死，即使调用了大模型，其工程性质也更接近“带 AI 能力的工作流”。此外需注意，模型能力不等于系统表现，系统能否稳定完成任务还取决于工具可靠性、反馈质量以及是否存在校验与人审环节。</w:t>
      </w:r>
    </w:p>
    <w:p w14:paraId="457E006C">
      <w:pPr>
        <w:pStyle w:val="00000a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8"/>
        </w:rPr>
        <w:t>1.2 核心模块与参考架构</w:t>
      </w:r>
    </w:p>
    <w:p w14:paraId="70ED1177">
      <w:pPr>
        <w:ind w:firstLine="480" w:firstLineChars="200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从功能构成看，软件智能体通常包含规划、记忆、工具使用与行动四个模块。规划把复杂目标拆解为子任务并确定执行顺序，实现方式包括结构化任务计划、工作流编排与基于反馈的动态规划，部分系统还引入反思机制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vertAlign w:val="superscript"/>
        </w:rPr>
        <w:t>[4]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。记忆至少涉及三个层次：上下文窗口（单次推理可见、长度受限）、会话状态（任务中间结果）与长期记忆（向量库或数据库中的持久化存储）；把前两者等同于“短期记忆”便于理解，但三者的实现机制与生命周期并不相同。工具使用通过函数调用或统一工具协议接入搜索、代码解释器、数据库与业务 API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vertAlign w:val="superscript"/>
        </w:rPr>
        <w:t>[13]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。行动负责把决策落到环境，而行动是否需要人工确认，是区分不同自主程度的关键。</w:t>
      </w:r>
    </w:p>
    <w:p w14:paraId="621772A6">
      <w:pPr>
        <w:ind w:firstLine="480" w:firstLineChars="200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图 1-1 给出本文采用的循环式参考架构：用户提出目标后系统先行规划，再调用工具，随后接收环境反馈并做一致性校验；校验不通过则回到规划环节，通过则交付或转人工确认。记忆并非流程中的独立步骤，而是贯穿各阶段的支撑设施。该架构是本文为便于分析采用的简化结构，并非唯一标准。</w:t>
      </w:r>
    </w:p>
    <w:p w14:paraId="1E879AA1">
      <w:pPr>
        <w:pStyle w:val="0000ac"/>
      </w:pPr>
      <w:r>
        <w:drawing>
          <wp:inline>
            <wp:extent cx="4752000" cy="1936000"/>
            <wp:docPr id="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fig1-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1936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26DFB48">
      <w:pPr>
        <w:pStyle w:val="0000ad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</w:rPr>
        <w:t>图 1-1　本文采用的智能体参考架构（简化示意）</w:t>
      </w:r>
    </w:p>
    <w:p w14:paraId="5EF8F8E8">
      <w:pPr>
        <w:pStyle w:val="00000a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8"/>
        </w:rPr>
        <w:t>1.3 典型运行范式</w:t>
      </w:r>
    </w:p>
    <w:p w14:paraId="4DCFE972">
      <w:pPr>
        <w:ind w:firstLine="480" w:firstLineChars="200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ReAct 让模型交替产生推理与行动，每一步基于环境反馈决定下一步，是当前最具代表性的范式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vertAlign w:val="superscript"/>
        </w:rPr>
        <w:t>[3]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；Plan-and-Execute 先做整体规划再逐段执行，并在执行受阻时重新规划；Reflexion 在失败后生成语言反思并写入情节记忆，供下次尝试使用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vertAlign w:val="superscript"/>
        </w:rPr>
        <w:t>[4]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；多智能体协作则由多个分工智能体互相调用，代表框架包括 AutoGen 与 MetaGPT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vertAlign w:val="superscript"/>
        </w:rPr>
        <w:t>[5][6]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。范式差异本质上是控制流生成时机的差异，这也决定了各类系统在可预测性与灵活性之间的取舍。</w:t>
      </w:r>
    </w:p>
    <w:p w14:paraId="6DFD5859">
      <w:pPr>
        <w:pStyle w:val="000008"/>
      </w:pPr>
      <w:r>
        <w:rPr>
          <w:rFonts w:hint="eastAsia" w:ascii="Times New Roman" w:hAnsi="Times New Roman" w:eastAsia="黑体" w:cs="Times New Roman"/>
          <w:b w:val="0"/>
          <w:i w:val="0"/>
          <w:color w:val="000000"/>
          <w:sz w:val="32"/>
        </w:rPr>
        <w:t>第二章 现有智能体的分类与发展现状</w:t>
      </w:r>
    </w:p>
    <w:p w14:paraId="7E018029">
      <w:pPr>
        <w:pStyle w:val="00000a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8"/>
        </w:rPr>
        <w:t>2.1 分类维度</w:t>
      </w:r>
    </w:p>
    <w:p w14:paraId="51BA5C0D">
      <w:pPr>
        <w:ind w:firstLine="480" w:firstLineChars="200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三个维度分别回答不同性质的问题，彼此并不互斥：自主程度与交互形态回答“系统如何接受目标、需要多少人工介入”，应用领域回答“系统解决什么问题、作用于哪类环境”，技术实现路线回答“系统依靠何种模型、工具与工作流运行”。被讨论的对象可能是产品、开发框架或平台、模型，也可能是企业，下文列举时均注明类型。产品资料查询时间为 2026 年 10 月 22 日；该领域产品更名与下线较为频繁，已知变动在正文中加注。</w:t>
      </w:r>
    </w:p>
    <w:p w14:paraId="1F80B0A6">
      <w:pPr>
        <w:pStyle w:val="00000a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8"/>
        </w:rPr>
        <w:t>2.2 按自主程度与交互形态</w:t>
      </w:r>
    </w:p>
    <w:p w14:paraId="5348856E">
      <w:pPr>
        <w:ind w:firstLine="480" w:firstLineChars="200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按人工介入的位置与频率，可分为四类（表 2-2）。这一维度回答的是“人如何参与”，而非“系统有多强”。需要说明两点：把 ChatGPT、Claude、Kimi 列为对话式助手，描述的是其主要交互入口，不等于能力上限，其中已有产品提供工具调用、深度研究或计算机操作能力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vertAlign w:val="superscript"/>
        </w:rPr>
        <w:t>[14]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；部分实验性产品则已经变动，例如 Google 的 Project Mariner 已于 2026 年 5 月停止服务，能力并入 Gemini 产品线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vertAlign w:val="superscript"/>
        </w:rPr>
        <w:t>[15]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。</w:t>
      </w:r>
    </w:p>
    <w:p w14:paraId="3780E735">
      <w:pPr>
        <w:pStyle w:val="0000ae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</w:rPr>
        <w:t>表 2-2　按自主程度与交互形态的分类</w:t>
      </w:r>
    </w:p>
    <w:tbl>
      <w:tblPr>
        <w:tblW w:w="8618" w:type="dxa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firstRow="1" w:lastRow="0" w:firstColumn="1" w:lastColumn="0" w:noHBand="0" w:noVBand="1" w:val="04A0"/>
      </w:tblPr>
      <w:tblGrid>
        <w:gridCol w:w="1644"/>
        <w:gridCol w:w="1360"/>
        <w:gridCol w:w="3685"/>
        <w:gridCol w:w="1927"/>
      </w:tblGrid>
      <w:tr>
        <w:trPr>
          <w:cantSplit w:val="1"/>
          <w:tblHeader w:val="1"/>
        </w:trPr>
        <w:tc>
          <w:tcPr>
            <w:tcW w:w="1644" w:type="dxa"/>
            <w:tcBorders>
              <w:bottom w:val="single" w:color="000000" w:sz="6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6C17F3">
            <w:pPr>
              <w:pStyle w:val="0000af"/>
              <w:keepNext w:val="1"/>
            </w:pPr>
            <w:r>
              <w:rPr>
                <w:rFonts w:hint="eastAsia" w:ascii="Times New Roman" w:hAnsi="Times New Roman" w:eastAsia="黑体" w:cs="Times New Roman"/>
                <w:b w:val="0"/>
                <w:i w:val="0"/>
                <w:color w:val="000000"/>
                <w:sz w:val="21"/>
              </w:rPr>
              <w:t>形态</w:t>
            </w:r>
          </w:p>
        </w:tc>
        <w:tc>
          <w:tcPr>
            <w:tcW w:w="1361" w:type="dxa"/>
            <w:tcBorders>
              <w:bottom w:val="single" w:color="000000" w:sz="6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DDF61C">
            <w:pPr>
              <w:pStyle w:val="0000af"/>
              <w:keepNext w:val="1"/>
            </w:pPr>
            <w:r>
              <w:rPr>
                <w:rFonts w:hint="eastAsia" w:ascii="Times New Roman" w:hAnsi="Times New Roman" w:eastAsia="黑体" w:cs="Times New Roman"/>
                <w:b w:val="0"/>
                <w:i w:val="0"/>
                <w:color w:val="000000"/>
                <w:sz w:val="21"/>
              </w:rPr>
              <w:t>对象类型</w:t>
            </w:r>
          </w:p>
        </w:tc>
        <w:tc>
          <w:tcPr>
            <w:tcW w:w="3685" w:type="dxa"/>
            <w:tcBorders>
              <w:bottom w:val="single" w:color="000000" w:sz="6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2E673D">
            <w:pPr>
              <w:pStyle w:val="0000af"/>
              <w:keepNext w:val="1"/>
            </w:pPr>
            <w:r>
              <w:rPr>
                <w:rFonts w:hint="eastAsia" w:ascii="Times New Roman" w:hAnsi="Times New Roman" w:eastAsia="黑体" w:cs="Times New Roman"/>
                <w:b w:val="0"/>
                <w:i w:val="0"/>
                <w:color w:val="000000"/>
                <w:sz w:val="21"/>
              </w:rPr>
              <w:t>代表对象</w:t>
            </w:r>
          </w:p>
        </w:tc>
        <w:tc>
          <w:tcPr>
            <w:tcW w:w="1928" w:type="dxa"/>
            <w:tcBorders>
              <w:bottom w:val="single" w:color="000000" w:sz="6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EF3931">
            <w:pPr>
              <w:pStyle w:val="0000af"/>
              <w:keepNext w:val="1"/>
            </w:pPr>
            <w:r>
              <w:rPr>
                <w:rFonts w:hint="eastAsia" w:ascii="Times New Roman" w:hAnsi="Times New Roman" w:eastAsia="黑体" w:cs="Times New Roman"/>
                <w:b w:val="0"/>
                <w:i w:val="0"/>
                <w:color w:val="000000"/>
                <w:sz w:val="21"/>
              </w:rPr>
              <w:t>人工介入程度</w:t>
            </w:r>
          </w:p>
        </w:tc>
      </w:tr>
      <w:tr>
        <w:trPr>
          <w:cantSplit w:val="1"/>
        </w:trPr>
        <w:tc>
          <w:tcPr>
            <w:tcW w:w="164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AFF545">
            <w:pPr>
              <w:pStyle w:val="0000af"/>
              <w:keepNext w:val="1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对话式助手</w:t>
            </w:r>
          </w:p>
        </w:tc>
        <w:tc>
          <w:tcPr>
            <w:tcW w:w="136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4F81C4">
            <w:pPr>
              <w:pStyle w:val="0000af"/>
              <w:keepNext w:val="1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产品</w:t>
            </w:r>
          </w:p>
        </w:tc>
        <w:tc>
          <w:tcPr>
            <w:tcW w:w="368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242A15">
            <w:pPr>
              <w:pStyle w:val="0000af"/>
              <w:keepNext w:val="1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ChatGPT、Claude、Kimi、文心一言、通义千问</w:t>
            </w:r>
          </w:p>
        </w:tc>
        <w:tc>
          <w:tcPr>
            <w:tcW w:w="192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93F201">
            <w:pPr>
              <w:pStyle w:val="0000af"/>
              <w:keepNext w:val="1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用户逐轮引导</w:t>
            </w:r>
          </w:p>
        </w:tc>
      </w:tr>
      <w:tr>
        <w:trPr>
          <w:cantSplit w:val="1"/>
        </w:trPr>
        <w:tc>
          <w:tcPr>
            <w:tcW w:w="164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DA320D">
            <w:pPr>
              <w:pStyle w:val="0000af"/>
              <w:keepNext w:val="1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人机协同型</w:t>
            </w:r>
          </w:p>
        </w:tc>
        <w:tc>
          <w:tcPr>
            <w:tcW w:w="136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AD1514">
            <w:pPr>
              <w:pStyle w:val="0000af"/>
              <w:keepNext w:val="1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产品功能</w:t>
            </w:r>
          </w:p>
        </w:tc>
        <w:tc>
          <w:tcPr>
            <w:tcW w:w="368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0177A9">
            <w:pPr>
              <w:pStyle w:val="0000af"/>
              <w:keepNext w:val="1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GitHub Copilot、Microsoft 365 Copilot、钉钉 AI</w:t>
            </w:r>
          </w:p>
        </w:tc>
        <w:tc>
          <w:tcPr>
            <w:tcW w:w="192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A47C78">
            <w:pPr>
              <w:pStyle w:val="0000af"/>
              <w:keepNext w:val="1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用户即时确认每一步</w:t>
            </w:r>
          </w:p>
        </w:tc>
      </w:tr>
      <w:tr>
        <w:trPr>
          <w:cantSplit w:val="1"/>
        </w:trPr>
        <w:tc>
          <w:tcPr>
            <w:tcW w:w="164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F338FC">
            <w:pPr>
              <w:pStyle w:val="0000af"/>
              <w:keepNext w:val="1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自主任务型</w:t>
            </w:r>
          </w:p>
        </w:tc>
        <w:tc>
          <w:tcPr>
            <w:tcW w:w="136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139E3A">
            <w:pPr>
              <w:pStyle w:val="0000af"/>
              <w:keepNext w:val="1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产品</w:t>
            </w:r>
          </w:p>
        </w:tc>
        <w:tc>
          <w:tcPr>
            <w:tcW w:w="368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E4E075">
            <w:pPr>
              <w:pStyle w:val="0000af"/>
              <w:keepNext w:val="1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ChatGPT agent、Manus、Devin、OpenHands</w:t>
            </w:r>
          </w:p>
        </w:tc>
        <w:tc>
          <w:tcPr>
            <w:tcW w:w="192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AF4BBB">
            <w:pPr>
              <w:pStyle w:val="0000af"/>
              <w:keepNext w:val="1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关键节点确认或事后审核</w:t>
            </w:r>
          </w:p>
        </w:tc>
      </w:tr>
      <w:tr>
        <w:trPr>
          <w:cantSplit w:val="1"/>
        </w:trPr>
        <w:tc>
          <w:tcPr>
            <w:tcW w:w="164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014CE9">
            <w:pPr>
              <w:pStyle w:val="0000af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多智能体协作系统</w:t>
            </w:r>
          </w:p>
        </w:tc>
        <w:tc>
          <w:tcPr>
            <w:tcW w:w="136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319565">
            <w:pPr>
              <w:pStyle w:val="0000af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框架 / 应用</w:t>
            </w:r>
          </w:p>
        </w:tc>
        <w:tc>
          <w:tcPr>
            <w:tcW w:w="368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A4E4B3">
            <w:pPr>
              <w:pStyle w:val="0000af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AutoGen、MetaGPT、CrewAI、AIcap</w:t>
            </w:r>
          </w:p>
        </w:tc>
        <w:tc>
          <w:tcPr>
            <w:tcW w:w="192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81D7E6">
            <w:pPr>
              <w:pStyle w:val="0000af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输出常设人工审核</w:t>
            </w:r>
          </w:p>
        </w:tc>
      </w:tr>
    </w:tbl>
    <w:p w14:paraId="14A427D8">
      <w:pPr>
        <w:pStyle w:val="0000b0"/>
        <w:spacing w:before="0" w:after="0" w:line="240" w:lineRule="auto"/>
      </w:pPr>
    </w:p>
    <w:p w14:paraId="3A80C8B8">
      <w:pPr>
        <w:pStyle w:val="00000a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8"/>
        </w:rPr>
        <w:t>2.3 按应用领域</w:t>
      </w:r>
    </w:p>
    <w:p w14:paraId="035D6632">
      <w:pPr>
        <w:ind w:firstLine="480" w:firstLineChars="200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应用领域最易写成长串清单。本报告按“作用环境”与“服务对象”两个坐标归纳为四个板块（图 2-1），以避免罗列掩盖各领域在技术约束上的差异。数字环境一侧，软件工程智能体覆盖需求分析、编码、调试与代码审查，办公智能体负责文档处理与流程搭建，研究智能体承担文献检索与信息交叉验证；商业与垂直行业智能体需区分“给出一份分析报告”与“调用业务系统执行操作并核验结果”，后者更符合智能体的定义。物理环境一侧，智能辅助驾驶、工业质检、仓储物流与家庭服务共同受制于实时性与可靠性要求，多数系统仍需专业人员监督。</w:t>
      </w:r>
    </w:p>
    <w:p w14:paraId="472D17D5">
      <w:pPr>
        <w:pStyle w:val="0000ac"/>
      </w:pPr>
      <w:r>
        <w:drawing>
          <wp:inline>
            <wp:extent cx="4031999" cy="2844138"/>
            <wp:docPr id="5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fig2-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1999" cy="284413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57EE07C">
      <w:pPr>
        <w:pStyle w:val="0000ad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</w:rPr>
        <w:t>图 2-1　按作用环境与服务对象划分的四个应用板块</w:t>
      </w:r>
    </w:p>
    <w:p w14:paraId="72ECE781">
      <w:pPr>
        <w:ind w:firstLine="480" w:firstLineChars="200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还需区分三个概念：智能体回答系统如何依据目标与反馈决策，属行为机制层面；具身智能回答智能如何在与物理世界交互中形成，属智能来源层面；多智能体系统回答多个智能单元如何分工协商，属组织层面。三者可叠加，不能互相替代。</w:t>
      </w:r>
    </w:p>
    <w:p w14:paraId="586B96B2">
      <w:pPr>
        <w:pStyle w:val="00000a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8"/>
        </w:rPr>
        <w:t>2.4 按技术实现路线</w:t>
      </w:r>
    </w:p>
    <w:p w14:paraId="0C953616">
      <w:pPr>
        <w:ind w:firstLine="480" w:firstLineChars="200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按控制流由谁决定，可分为三类：RPA + LLM 增强型在既有流程自动化上叠加自然语言理解，适合流程固定的内部场景；工作流与状态机编排型用显式图结构描述状态与转移，控制流可预测、可复放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vertAlign w:val="superscript"/>
        </w:rPr>
        <w:t>[12]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；规划—工具型以模型为决策核心，通过提示词与函数调用编排工具，是当前绝大多数软件智能体采用的路线。强化学习驱动型与世界模型辅助决策型不属同一划分维度——前者是训练方法，后者是模型结构，实际系统常组合使用；框架与平台型则跨路线提供构建底座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vertAlign w:val="superscript"/>
        </w:rPr>
        <w:t>[5][6][12]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。</w:t>
      </w:r>
    </w:p>
    <w:p w14:paraId="35955700">
      <w:pPr>
        <w:pStyle w:val="00000a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8"/>
        </w:rPr>
        <w:t>2.5 能力边界与评价指标</w:t>
      </w:r>
    </w:p>
    <w:p w14:paraId="54A5ED02">
      <w:pPr>
        <w:ind w:firstLine="480" w:firstLineChars="200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常用指标包括任务成功率、工具调用准确率、事实与证据一致性、执行成本与延迟，以及安全性与可控性。公开基准提供了量化参照：WebArena 上当时最好的 GPT-4 智能体端到端成功率为 14.41%，人类为 78.24%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vertAlign w:val="superscript"/>
        </w:rPr>
        <w:t>[7]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；GAIA 上人类正确率为 92%，配备插件的 GPT-4 为 15%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vertAlign w:val="superscript"/>
        </w:rPr>
        <w:t>[8]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（图 2-2）。这些数值为各基准发布时的报告结果，随模型迭代已有变化，但量级差距仍然存在。它提示两点：智能体在长程、多步工具配合的真实任务上仍显著落后于人类；“模型能力强”并不自动等价于“系统可靠”。</w:t>
      </w:r>
    </w:p>
    <w:p w14:paraId="085A3E01">
      <w:pPr>
        <w:pStyle w:val="0000ac"/>
      </w:pPr>
      <w:r>
        <w:drawing>
          <wp:inline>
            <wp:extent cx="4248000" cy="2175920"/>
            <wp:docPr id="8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fig2-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21759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A3ADC2C">
      <w:pPr>
        <w:pStyle w:val="0000ad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</w:rPr>
        <w:t>图 2-2　公开基准上智能体与人类基线的任务成功率对比</w:t>
      </w:r>
    </w:p>
    <w:p w14:paraId="49385C44">
      <w:pPr>
        <w:pStyle w:val="000008"/>
      </w:pPr>
      <w:r>
        <w:rPr>
          <w:rFonts w:hint="eastAsia" w:ascii="Times New Roman" w:hAnsi="Times New Roman" w:eastAsia="黑体" w:cs="Times New Roman"/>
          <w:b w:val="0"/>
          <w:i w:val="0"/>
          <w:color w:val="000000"/>
          <w:sz w:val="32"/>
        </w:rPr>
        <w:t>第三章 智能体与具身智能的联系</w:t>
      </w:r>
    </w:p>
    <w:p w14:paraId="23DE79FF">
      <w:pPr>
        <w:pStyle w:val="00000a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8"/>
        </w:rPr>
        <w:t>3.1 工程视角的类比</w:t>
      </w:r>
    </w:p>
    <w:p w14:paraId="44E7A218">
      <w:pPr>
        <w:ind w:firstLine="480" w:firstLineChars="200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在工程架构层面，智能体与具身智能的关系接近软件与物联网设备的关系：智能体是负责认知的软件层，机器人机体是带感知与执行能力的物理载体，二者互补，合起来才构成“能感知、会决策、可行动”的完整系统。但必须明确，这是用于解释系统分层、接口标准化与能力复用的工程类比，不是严格的一一对应；具身智能并不只是“给设备装上一个智能体”，还涉及感知建模、动作控制与物理约束。</w:t>
      </w:r>
    </w:p>
    <w:p w14:paraId="05F65902">
      <w:pPr>
        <w:ind w:firstLine="480" w:firstLineChars="200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这一类比带来三点洞察。其一，分层与接口标准化使部分机体能力可能像可复用模块被调用，但不同机体在传感器配置、动作空间与算力上差异很大，跨机体复用通常需要适配层、重训或重新验证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vertAlign w:val="superscript"/>
        </w:rPr>
        <w:t>[9]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。其二，软件先测试后发布、机器人先仿真后上真机，思路相近，但 Sim2Real 本身即是待解决的问题，仿真与真实在动力学、感知噪声与接触行为上存在差异，常用域随机化缓解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vertAlign w:val="superscript"/>
        </w:rPr>
        <w:t>[10]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，不能等同于“仿真通过即可上线”。其三，成批具身智能体会像成批物联网设备一样被统一管理，这一层相似性最强，差别在于工具调用是数字世界的离散动作，而机器人机体是物理世界的连续动作载体。</w:t>
      </w:r>
    </w:p>
    <w:p w14:paraId="1C9C91EB">
      <w:pPr>
        <w:pStyle w:val="00000a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8"/>
        </w:rPr>
        <w:t>3.2 案例与类比的边界</w:t>
      </w:r>
    </w:p>
    <w:p w14:paraId="27386D6A">
      <w:pPr>
        <w:ind w:firstLine="480" w:firstLineChars="200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以“从桌面拿起一个杯子”为例，一次完整执行可拆成认知层与控制层两条回路：感知环节获取环境与自身状态；模型结合指令判断目标物体、抓取点与操作顺序；规划被翻译为抓取位姿、关节轨迹与夹爪时序，受运动学与动力学约束；执行中持续判断是否成功，出现滑落或遇障则触发重新规划；结果回到认知层，决定重试、更换抓取方式或向人求助。这说明把“拿哪个、怎么拿”的认知与“把意图变成关节力矩”的控制分离，有利于能力复用；但同一决策换到自由度、夹爪型号不同的机器人上往往需要重新适配甚至重训，机器人不能被简单看成可随意更换的软件外设。</w:t>
      </w:r>
    </w:p>
    <w:p w14:paraId="242F9596">
      <w:pPr>
        <w:ind w:firstLine="480" w:firstLineChars="200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类比的边界还体现在三处：机器人自带运动控制与平衡能力，认知与身体的分界不如软硬件清晰；机体控制运行在毫秒级实时回路，与软件可容忍的秒级延迟不在同一量级；更进一步的观点认为部分智能本身“长在”身体结构中、无法与机体分离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vertAlign w:val="superscript"/>
        </w:rPr>
        <w:t>[11]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。因此分层设计解决的是接口与复用问题，而非智能的本质来源问题。</w:t>
      </w:r>
    </w:p>
    <w:p w14:paraId="766C77A0">
      <w:pPr>
        <w:pStyle w:val="000008"/>
      </w:pPr>
      <w:r>
        <w:rPr>
          <w:rFonts w:hint="eastAsia" w:ascii="Times New Roman" w:hAnsi="Times New Roman" w:eastAsia="黑体" w:cs="Times New Roman"/>
          <w:b w:val="0"/>
          <w:i w:val="0"/>
          <w:color w:val="000000"/>
          <w:sz w:val="32"/>
        </w:rPr>
        <w:t>第四章 自建智能体实践：以 AIcap 团队工作台为例</w:t>
      </w:r>
    </w:p>
    <w:p w14:paraId="2973974A">
      <w:pPr>
        <w:pStyle w:val="00000a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8"/>
        </w:rPr>
        <w:t>4.1 系统定位与权限分级</w:t>
      </w:r>
    </w:p>
    <w:p w14:paraId="0F6CC256">
      <w:pPr>
        <w:ind w:firstLine="480" w:firstLineChars="200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AIcap 是作者自主设计实现的、面向六周课程小团队的多智能体协作工作台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vertAlign w:val="superscript"/>
        </w:rPr>
        <w:t>[17]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，采用“一个主管 + 三个同事智能体”的设计：用户只与主管「本」对话，由「本」负责派活与统筹。系统并未对所有输出一刀切要求人审，而是按操作后果分级（表 4-1）：只读查询与展示类生成可自动执行，任何会改动正式数据的结论都必须先经人工审核。</w:t>
      </w:r>
    </w:p>
    <w:p w14:paraId="4EB31449">
      <w:pPr>
        <w:pStyle w:val="0000ae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</w:rPr>
        <w:t>表 4-1　按操作后果划分的权限分级</w:t>
      </w:r>
    </w:p>
    <w:tbl>
      <w:tblPr>
        <w:tblW w:w="8618" w:type="dxa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firstRow="1" w:lastRow="0" w:firstColumn="1" w:lastColumn="0" w:noHBand="0" w:noVBand="1" w:val="04A0"/>
      </w:tblPr>
      <w:tblGrid>
        <w:gridCol w:w="1530"/>
        <w:gridCol w:w="4252"/>
        <w:gridCol w:w="2835"/>
      </w:tblGrid>
      <w:tr>
        <w:trPr>
          <w:cantSplit w:val="1"/>
          <w:tblHeader w:val="1"/>
        </w:trPr>
        <w:tc>
          <w:tcPr>
            <w:tcW w:w="1531" w:type="dxa"/>
            <w:tcBorders>
              <w:bottom w:val="single" w:color="000000" w:sz="6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C8D3D0">
            <w:pPr>
              <w:pStyle w:val="0000af"/>
              <w:keepNext w:val="1"/>
            </w:pPr>
            <w:r>
              <w:rPr>
                <w:rFonts w:hint="eastAsia" w:ascii="Times New Roman" w:hAnsi="Times New Roman" w:eastAsia="黑体" w:cs="Times New Roman"/>
                <w:b w:val="0"/>
                <w:i w:val="0"/>
                <w:color w:val="000000"/>
                <w:sz w:val="21"/>
              </w:rPr>
              <w:t>操作类型</w:t>
            </w:r>
          </w:p>
        </w:tc>
        <w:tc>
          <w:tcPr>
            <w:tcW w:w="4252" w:type="dxa"/>
            <w:tcBorders>
              <w:bottom w:val="single" w:color="000000" w:sz="6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01ABA7">
            <w:pPr>
              <w:pStyle w:val="0000af"/>
              <w:keepNext w:val="1"/>
            </w:pPr>
            <w:r>
              <w:rPr>
                <w:rFonts w:hint="eastAsia" w:ascii="Times New Roman" w:hAnsi="Times New Roman" w:eastAsia="黑体" w:cs="Times New Roman"/>
                <w:b w:val="0"/>
                <w:i w:val="0"/>
                <w:color w:val="000000"/>
                <w:sz w:val="21"/>
              </w:rPr>
              <w:t>典型动作</w:t>
            </w:r>
          </w:p>
        </w:tc>
        <w:tc>
          <w:tcPr>
            <w:tcW w:w="2835" w:type="dxa"/>
            <w:tcBorders>
              <w:bottom w:val="single" w:color="000000" w:sz="6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D872BB">
            <w:pPr>
              <w:pStyle w:val="0000af"/>
              <w:keepNext w:val="1"/>
            </w:pPr>
            <w:r>
              <w:rPr>
                <w:rFonts w:hint="eastAsia" w:ascii="Times New Roman" w:hAnsi="Times New Roman" w:eastAsia="黑体" w:cs="Times New Roman"/>
                <w:b w:val="0"/>
                <w:i w:val="0"/>
                <w:color w:val="000000"/>
                <w:sz w:val="21"/>
              </w:rPr>
              <w:t>是否自动执行</w:t>
            </w:r>
          </w:p>
        </w:tc>
      </w:tr>
      <w:tr>
        <w:trPr>
          <w:cantSplit w:val="1"/>
        </w:trPr>
        <w:tc>
          <w:tcPr>
            <w:tcW w:w="153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58D530">
            <w:pPr>
              <w:pStyle w:val="0000af"/>
              <w:keepNext w:val="1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只读查询</w:t>
            </w:r>
          </w:p>
        </w:tc>
        <w:tc>
          <w:tcPr>
            <w:tcW w:w="425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86F916">
            <w:pPr>
              <w:pStyle w:val="0000af"/>
              <w:keepNext w:val="1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查故事、需求池、任务、成员、项目统计</w:t>
            </w:r>
          </w:p>
        </w:tc>
        <w:tc>
          <w:tcPr>
            <w:tcW w:w="283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2E3C95">
            <w:pPr>
              <w:pStyle w:val="0000af"/>
              <w:keepNext w:val="1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</w:tr>
      <w:tr>
        <w:trPr>
          <w:cantSplit w:val="1"/>
        </w:trPr>
        <w:tc>
          <w:tcPr>
            <w:tcW w:w="153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6DF8E1">
            <w:pPr>
              <w:pStyle w:val="0000af"/>
              <w:keepNext w:val="1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展示类生成</w:t>
            </w:r>
          </w:p>
        </w:tc>
        <w:tc>
          <w:tcPr>
            <w:tcW w:w="425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584FC5">
            <w:pPr>
              <w:pStyle w:val="0000af"/>
              <w:keepNext w:val="1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生成图表、整理视图、给出建议草稿</w:t>
            </w:r>
          </w:p>
        </w:tc>
        <w:tc>
          <w:tcPr>
            <w:tcW w:w="283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E3F747">
            <w:pPr>
              <w:pStyle w:val="0000af"/>
              <w:keepNext w:val="1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</w:tr>
      <w:tr>
        <w:trPr>
          <w:cantSplit w:val="1"/>
        </w:trPr>
        <w:tc>
          <w:tcPr>
            <w:tcW w:w="153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2CA6CB">
            <w:pPr>
              <w:pStyle w:val="0000af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写入类变更</w:t>
            </w:r>
          </w:p>
        </w:tc>
        <w:tc>
          <w:tcPr>
            <w:tcW w:w="425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3115EB">
            <w:pPr>
              <w:pStyle w:val="0000af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新建或改派任务、写入负责人与排期</w:t>
            </w:r>
          </w:p>
        </w:tc>
        <w:tc>
          <w:tcPr>
            <w:tcW w:w="283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2F2A84">
            <w:pPr>
              <w:pStyle w:val="0000af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否，须人工审核采纳后落库</w:t>
            </w:r>
          </w:p>
        </w:tc>
      </w:tr>
    </w:tbl>
    <w:p w14:paraId="424F8482">
      <w:pPr>
        <w:pStyle w:val="0000b0"/>
        <w:spacing w:before="0" w:after="0" w:line="240" w:lineRule="auto"/>
      </w:pPr>
    </w:p>
    <w:p w14:paraId="39AD33BC">
      <w:pPr>
        <w:pStyle w:val="00000a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8"/>
        </w:rPr>
        <w:t>4.2 架构与关键实现</w:t>
      </w:r>
    </w:p>
    <w:p w14:paraId="2CC856F0">
      <w:pPr>
        <w:ind w:firstLine="480" w:firstLineChars="200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系统的分层结构如图 4-1 所示。交互层提供对话入口、看板视图与审核中心；编排层由主管智能体负责目标分解与派活，并用 LangGraph 状态图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vertAlign w:val="superscript"/>
        </w:rPr>
        <w:t>[12]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对站会、规划、评审、回顾、需求细化五类会议分别建模；智能体层包括会议智能体「译」、画像智能体「衡」、画图智能体「绘」与任务提交智能体；工具与数据层提供五个只读工具、大模型 API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vertAlign w:val="superscript"/>
        </w:rPr>
        <w:t>[16]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、数据库与 GitHub 活动。</w:t>
      </w:r>
    </w:p>
    <w:p w14:paraId="6F7A00D3">
      <w:pPr>
        <w:pStyle w:val="0000ac"/>
      </w:pPr>
      <w:r>
        <w:drawing>
          <wp:inline>
            <wp:extent cx="4392000" cy="2521875"/>
            <wp:docPr id="11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fig4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5218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8837033">
      <w:pPr>
        <w:pStyle w:val="0000ad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</w:rPr>
        <w:t>图 4-1　AIcap 的分层架构</w:t>
      </w:r>
    </w:p>
    <w:p w14:paraId="715D5958">
      <w:pPr>
        <w:ind w:firstLine="480" w:firstLineChars="200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关键实现有四点。只读工具循环要求先查已有事实再提建议，以减少重复造需求。证据校验要求每条结论附原文证据片段，并拦截负责人未在原文出现、证据与原文不一致、覆盖片段不完整三类问题；需说明，证据校验只能减少无依据输出，不能保证消除幻觉。人在回路与留痕方面，结论进入审核中心，由人采纳、修改后采纳或拒绝，仅采纳项落库；每轮记录分析摘要、所调工具与观测结果，这不意味着能完整记录模型内部推理过程。模型底座接入第三方 API，调用失败时降级到规则引擎，使模型不可用时不会给出伪造结论。</w:t>
      </w:r>
    </w:p>
    <w:p w14:paraId="04387DAF">
      <w:pPr>
        <w:ind w:firstLine="480" w:firstLineChars="200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一次规划会的处理流程为：输入原始记录 → 调用只读工具比对已有条目 → 产出任务条目与原文证据 → 证据校验 → 通过者进入审核中心。其中“负责人未指定”的处理值得说明：当原文只说“登录页这周得改完”而未指明由谁完成时，系统不会编造负责人，而是标记“负责人待定”并保留证据，交由人工指定。其价值在于让系统在信息不足时明确承认不足，正对应 2.5 节提出的“事实与证据一致性”指标。</w:t>
      </w:r>
    </w:p>
    <w:p w14:paraId="4171DB16">
      <w:pPr>
        <w:pStyle w:val="00000a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8"/>
        </w:rPr>
        <w:t>4.3 已实现内容与后续评测</w:t>
      </w:r>
    </w:p>
    <w:p w14:paraId="37EC1083">
      <w:pPr>
        <w:ind w:firstLine="480" w:firstLineChars="200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已实现的部分包括五类会议的结构化分析、只读工具循环与证据绑定、审核中心与落库留痕；证据校验的拦截效果目前只有定性观察，任务信息抽取准确率尚未测量。因此本节将相关工作定位为评价指标与测试计划：构造带标注的会议记录统计抽取准确率与证据一致性；统计审核中心“直接采纳 / 修改后采纳 / 拒绝”的比例；统计“负责人待定”的比例，衡量系统在信息不足时是否恰当地选择了不猜测。该系统基于 LangGraph 与第三方大模型 API 等已有技术构建，因此更准确的说法是作者自主设计并实现了一套智能体协作系统，而非从底层构建全部技术栈。</w:t>
      </w:r>
    </w:p>
    <w:p w14:paraId="5EBF73AD">
      <w:pPr>
        <w:pStyle w:val="000008"/>
      </w:pPr>
      <w:r>
        <w:rPr>
          <w:rFonts w:hint="eastAsia" w:ascii="Times New Roman" w:hAnsi="Times New Roman" w:eastAsia="黑体" w:cs="Times New Roman"/>
          <w:b w:val="0"/>
          <w:i w:val="0"/>
          <w:color w:val="000000"/>
          <w:sz w:val="32"/>
        </w:rPr>
        <w:t>第五章 关于推理成本下降后智能体形态的猜想</w:t>
      </w:r>
    </w:p>
    <w:p w14:paraId="5348BDD3">
      <w:pPr>
        <w:ind w:firstLine="480" w:firstLineChars="200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本章为作者基于前文分析提出的个人假设，不属于已有事实陈述。</w:t>
      </w:r>
    </w:p>
    <w:p w14:paraId="7FF19178">
      <w:pPr>
        <w:ind w:firstLine="480" w:firstLineChars="200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当前使用大模型仍处在按 token 付费的阶段。借用早年长途电话的计费方式作比，类比的是计费形态与用户对单次成本的感知程度，而非技术原理：长途电话按分钟计费，用户会刻意节省；后来的移动流量改为按月订阅，用户不再逐次计算。据此推测，模型推理的计费方式也可能走向按量订阅。但 token 价格下降不等于推理成本可以忽略：硬件购置、耗电、延迟与运维成本依然存在，只是从用户感知的单价转移到设备与服务的固定投入上。</w:t>
      </w:r>
    </w:p>
    <w:p w14:paraId="217B0F32">
      <w:pPr>
        <w:ind w:firstLine="480" w:firstLineChars="200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沿着这一推理，如果推理足够便宜，“运行模型的设备”也许会像路由器一样放在每户家庭的角落：本地设备提供基础智能，重负载分流到按区域设立的算力中心，从而同时降低端到端延迟与数据外传风险。这台设备可以是一个带加密能力、运行较小参数模型的本地智能体，其最大吸引力在于记忆只留在本地——年龄与慢性病情况、体检报告、家居与能耗数据不必上传云端。但本地存储只降低传输环节的外流风险，不等于隐私安全，设备被入侵、备份泄露与权限配置不当等问题依然存在，仍需加密存储、访问控制与明确授权。</w:t>
      </w:r>
    </w:p>
    <w:p w14:paraId="20268A41">
      <w:pPr>
        <w:ind w:firstLine="480" w:firstLineChars="200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关于商业化，当前具身智能最现实的约束是成本。若能降价并批量制造，方向很可能是各家厂商铺开自有生态并配上自有设备，而这些设备未必是人形：汽车、无人机、扫地机器人，凡“带传感器与执行器的物理载体”都可能成为某个智能体的身体。技术上这并非从零开始，现有框架已支持多智能体协同编排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vertAlign w:val="superscript"/>
        </w:rPr>
        <w:t>[5][6][12]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；当智能体被分发到大量设备并通过云端互通时，形态与今天的物联网互联相当接近，区别在于物联网设备上报状态量，而具身智能体交换的是感知、决策与意图。由此可提出一个可检验的推测：智能体间的协作协议可能演化成下一代设备互联协议。但上述判断缺少对现有产品、价格与竞争格局的系统调研，更审慎的表述是：其商业化程度仍需进一步验证。</w:t>
      </w:r>
    </w:p>
    <w:p w14:paraId="52753BD2">
      <w:pPr>
        <w:pStyle w:val="000008"/>
      </w:pPr>
      <w:r>
        <w:rPr>
          <w:rFonts w:hint="eastAsia" w:ascii="Times New Roman" w:hAnsi="Times New Roman" w:eastAsia="黑体" w:cs="Times New Roman"/>
          <w:b w:val="0"/>
          <w:i w:val="0"/>
          <w:color w:val="000000"/>
          <w:sz w:val="32"/>
        </w:rPr>
        <w:t>第六章 结论与展望</w:t>
      </w:r>
    </w:p>
    <w:p w14:paraId="62794364">
      <w:pPr>
        <w:pStyle w:val="00000a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8"/>
        </w:rPr>
        <w:t>6.1 主要结论</w:t>
      </w:r>
    </w:p>
    <w:p w14:paraId="626F9A41">
      <w:pPr>
        <w:ind w:firstLine="480" w:firstLineChars="200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关于智能体是什么：它不是单一产品，而是“模型 + 规划 + 工具 + 反馈 + 人在回路”的系统组合，判断标准是能否在运行时自主决定下一步。关于现状：市场已从对话助手扩展到人机协同、自主任务与多智能体协作，但公开基准显示长程多步任务上智能体与人类仍有显著差距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vertAlign w:val="superscript"/>
        </w:rPr>
        <w:t>[7][8]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，可靠性主要靠工程约束保障。关于具身智能：工程架构层面的“软件—物联网设备”类比有助于理解分层与接口标准化，但具身智能还受接口适配、实时控制与仿真—真实迁移制约，不能简化为“给设备加装大模型”。</w:t>
      </w:r>
    </w:p>
    <w:p w14:paraId="57C97433">
      <w:pPr>
        <w:pStyle w:val="00000a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8"/>
        </w:rPr>
        <w:t>6.2 局限与后续工作</w:t>
      </w:r>
    </w:p>
    <w:p w14:paraId="17A57D5A">
      <w:pPr>
        <w:ind w:firstLine="480" w:firstLineChars="200"/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</w:rPr>
        <w:t>本报告存在三方面局限：缺少一手实测数据，产品描述主要依据公开资料且具有时效性；个人猜想未经实证；具身智能部分偏重概念，未涉及硬件与控制实现。后续可从三条线推进：为 AIcap 补充标注数据集，把评价指标从计划变为实测结果；跟踪家庭边缘算力设备的产品与成本曲线，检验第五章的假设；深入学习感知—控制链路，尤其是仿真—真实迁移与跨机体适配问题。</w:t>
      </w:r>
    </w:p>
    <w:p w14:paraId="0EB1C5EE">
      <w:pPr>
        <w:pStyle w:val="000008"/>
      </w:pPr>
      <w:r>
        <w:rPr>
          <w:rFonts w:hint="eastAsia" w:ascii="Times New Roman" w:hAnsi="Times New Roman" w:eastAsia="黑体" w:cs="Times New Roman"/>
          <w:b w:val="0"/>
          <w:i w:val="0"/>
          <w:color w:val="000000"/>
          <w:sz w:val="32"/>
        </w:rPr>
        <w:t>参考文献</w:t>
      </w:r>
    </w:p>
    <w:p w14:paraId="23492DE9">
      <w:pPr>
        <w:pStyle w:val="0000b1"/>
        <w:ind w:left="510" w:hanging="510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vertAlign w:val="superscript"/>
        </w:rPr>
        <w:t>[1]</w:t>
      </w:r>
      <w:r>
        <w:rPr>
          <w:rFonts w:ascii="Times New Roman" w:hAnsi="Times New Roman" w:eastAsia="宋体" w:cs="Times New Roman"/>
          <w:b w:val="0"/>
          <w:i w:val="0"/>
          <w:color w:val="000000"/>
          <w:sz w:val="18"/>
        </w:rPr>
        <w:t xml:space="preserve"> Wooldridge M, Jennings N R. Intelligent Agents: Theory and Practice[J]. The Knowledge Engineering Review, 1995, 10(2): 115-152.</w:t>
      </w:r>
    </w:p>
    <w:p w14:paraId="1B946593">
      <w:pPr>
        <w:pStyle w:val="0000b1"/>
        <w:ind w:left="510" w:hanging="510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vertAlign w:val="superscript"/>
        </w:rPr>
        <w:t>[2]</w:t>
      </w:r>
      <w:r>
        <w:rPr>
          <w:rFonts w:ascii="Times New Roman" w:hAnsi="Times New Roman" w:eastAsia="宋体" w:cs="Times New Roman"/>
          <w:b w:val="0"/>
          <w:i w:val="0"/>
          <w:color w:val="000000"/>
          <w:sz w:val="18"/>
        </w:rPr>
        <w:t xml:space="preserve"> Xi Z, Chen W, Guo X, et al. The Rise and Potential of Large Language Model Based Agents: A Survey[J]. arXiv:2309.07864, 2023.</w:t>
      </w:r>
    </w:p>
    <w:p w14:paraId="3D826390">
      <w:pPr>
        <w:pStyle w:val="0000b1"/>
        <w:ind w:left="510" w:hanging="510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vertAlign w:val="superscript"/>
        </w:rPr>
        <w:t>[3]</w:t>
      </w:r>
      <w:r>
        <w:rPr>
          <w:rFonts w:ascii="Times New Roman" w:hAnsi="Times New Roman" w:eastAsia="宋体" w:cs="Times New Roman"/>
          <w:b w:val="0"/>
          <w:i w:val="0"/>
          <w:color w:val="000000"/>
          <w:sz w:val="18"/>
        </w:rPr>
        <w:t xml:space="preserve"> Yao S, Zhao J, Yu D, et al. ReAct: Synergizing Reasoning and Acting in Language Models[C]. ICLR, 2023.</w:t>
      </w:r>
    </w:p>
    <w:p w14:paraId="03A7C3B6">
      <w:pPr>
        <w:pStyle w:val="0000b1"/>
        <w:ind w:left="510" w:hanging="510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vertAlign w:val="superscript"/>
        </w:rPr>
        <w:t>[4]</w:t>
      </w:r>
      <w:r>
        <w:rPr>
          <w:rFonts w:ascii="Times New Roman" w:hAnsi="Times New Roman" w:eastAsia="宋体" w:cs="Times New Roman"/>
          <w:b w:val="0"/>
          <w:i w:val="0"/>
          <w:color w:val="000000"/>
          <w:sz w:val="18"/>
        </w:rPr>
        <w:t xml:space="preserve"> Shinn N, Cassano F, Berman E, et al. Reflexion: Language Agents with Verbal Reinforcement Learning[C]. NeurIPS, 2023.</w:t>
      </w:r>
    </w:p>
    <w:p w14:paraId="2F024BE5">
      <w:pPr>
        <w:pStyle w:val="0000b1"/>
        <w:ind w:left="510" w:hanging="510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vertAlign w:val="superscript"/>
        </w:rPr>
        <w:t>[5]</w:t>
      </w:r>
      <w:r>
        <w:rPr>
          <w:rFonts w:ascii="Times New Roman" w:hAnsi="Times New Roman" w:eastAsia="宋体" w:cs="Times New Roman"/>
          <w:b w:val="0"/>
          <w:i w:val="0"/>
          <w:color w:val="000000"/>
          <w:sz w:val="18"/>
        </w:rPr>
        <w:t xml:space="preserve"> Wu Q, Bansal G, Zhang J, et al. AutoGen: Enabling Next-Gen LLM Applications via Multi-Agent Conversation[J]. arXiv:2308.08155, 2023.</w:t>
      </w:r>
    </w:p>
    <w:p w14:paraId="42B4EBE4">
      <w:pPr>
        <w:pStyle w:val="0000b1"/>
        <w:ind w:left="510" w:hanging="510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vertAlign w:val="superscript"/>
        </w:rPr>
        <w:t>[6]</w:t>
      </w:r>
      <w:r>
        <w:rPr>
          <w:rFonts w:ascii="Times New Roman" w:hAnsi="Times New Roman" w:eastAsia="宋体" w:cs="Times New Roman"/>
          <w:b w:val="0"/>
          <w:i w:val="0"/>
          <w:color w:val="000000"/>
          <w:sz w:val="18"/>
        </w:rPr>
        <w:t xml:space="preserve"> Hong S, Zhuge M, Chen J, et al. MetaGPT: Meta Programming for A Multi-Agent Collaborative Framework[J]. arXiv:2308.00352, 2023.</w:t>
      </w:r>
    </w:p>
    <w:p w14:paraId="4D5B92BE">
      <w:pPr>
        <w:pStyle w:val="0000b1"/>
        <w:ind w:left="510" w:hanging="510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vertAlign w:val="superscript"/>
        </w:rPr>
        <w:t>[7]</w:t>
      </w:r>
      <w:r>
        <w:rPr>
          <w:rFonts w:ascii="Times New Roman" w:hAnsi="Times New Roman" w:eastAsia="宋体" w:cs="Times New Roman"/>
          <w:b w:val="0"/>
          <w:i w:val="0"/>
          <w:color w:val="000000"/>
          <w:sz w:val="18"/>
        </w:rPr>
        <w:t xml:space="preserve"> Zhou S, Xu F F, Zhu H, et al. WebArena: A Realistic Web Environment for Building Autonomous Agents[C]. ICLR, 2024.</w:t>
      </w:r>
    </w:p>
    <w:p w14:paraId="7BA9244D">
      <w:pPr>
        <w:pStyle w:val="0000b1"/>
        <w:ind w:left="510" w:hanging="510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vertAlign w:val="superscript"/>
        </w:rPr>
        <w:t>[8]</w:t>
      </w:r>
      <w:r>
        <w:rPr>
          <w:rFonts w:ascii="Times New Roman" w:hAnsi="Times New Roman" w:eastAsia="宋体" w:cs="Times New Roman"/>
          <w:b w:val="0"/>
          <w:i w:val="0"/>
          <w:color w:val="000000"/>
          <w:sz w:val="18"/>
        </w:rPr>
        <w:t xml:space="preserve"> Mialon G, Fourrier C, Swift C, et al. GAIA: A Benchmark for General AI Assistants[C]. ICLR, 2024.</w:t>
      </w:r>
    </w:p>
    <w:p w14:paraId="4F2F5C27">
      <w:pPr>
        <w:pStyle w:val="0000b1"/>
        <w:ind w:left="510" w:hanging="510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vertAlign w:val="superscript"/>
        </w:rPr>
        <w:t>[9]</w:t>
      </w:r>
      <w:r>
        <w:rPr>
          <w:rFonts w:ascii="Times New Roman" w:hAnsi="Times New Roman" w:eastAsia="宋体" w:cs="Times New Roman"/>
          <w:b w:val="0"/>
          <w:i w:val="0"/>
          <w:color w:val="000000"/>
          <w:sz w:val="18"/>
        </w:rPr>
        <w:t xml:space="preserve"> Kim M J, Pertsch K, Karamcheti S, et al. OpenVLA: An Open-Source Vision-Language-Action Model[C]. CoRL, 2024.</w:t>
      </w:r>
    </w:p>
    <w:p w14:paraId="686908C0">
      <w:pPr>
        <w:pStyle w:val="0000b1"/>
        <w:ind w:left="510" w:hanging="510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vertAlign w:val="superscript"/>
        </w:rPr>
        <w:t>[10]</w:t>
      </w:r>
      <w:r>
        <w:rPr>
          <w:rFonts w:ascii="Times New Roman" w:hAnsi="Times New Roman" w:eastAsia="宋体" w:cs="Times New Roman"/>
          <w:b w:val="0"/>
          <w:i w:val="0"/>
          <w:color w:val="000000"/>
          <w:sz w:val="18"/>
        </w:rPr>
        <w:t xml:space="preserve"> Tobin J, Fong R, Ray A, et al. Domain Randomization for Transferring Deep Neural Networks from Simulation to the Real World[C]. IROS, 2017.</w:t>
      </w:r>
    </w:p>
    <w:p w14:paraId="42A67FFC">
      <w:pPr>
        <w:pStyle w:val="0000b1"/>
        <w:ind w:left="510" w:hanging="510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vertAlign w:val="superscript"/>
        </w:rPr>
        <w:t>[11]</w:t>
      </w:r>
      <w:r>
        <w:rPr>
          <w:rFonts w:ascii="Times New Roman" w:hAnsi="Times New Roman" w:eastAsia="宋体" w:cs="Times New Roman"/>
          <w:b w:val="0"/>
          <w:i w:val="0"/>
          <w:color w:val="000000"/>
          <w:sz w:val="18"/>
        </w:rPr>
        <w:t xml:space="preserve"> Pfeifer R, Bongard J. How the Body Shapes the Way We Think: A New View of Intelligence[M]. MIT Press, 2006.</w:t>
      </w:r>
    </w:p>
    <w:p w14:paraId="62EF080A">
      <w:pPr>
        <w:pStyle w:val="0000b1"/>
        <w:ind w:left="510" w:hanging="510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vertAlign w:val="superscript"/>
        </w:rPr>
        <w:t>[12]</w:t>
      </w:r>
      <w:r>
        <w:rPr>
          <w:rFonts w:ascii="Times New Roman" w:hAnsi="Times New Roman" w:eastAsia="宋体" w:cs="Times New Roman"/>
          <w:b w:val="0"/>
          <w:i w:val="0"/>
          <w:color w:val="000000"/>
          <w:sz w:val="18"/>
        </w:rPr>
        <w:t xml:space="preserve"> LangChain. LangGraph Documentation[EB/OL]. https://langchain-ai.github.io/langgraph/</w:t>
      </w:r>
    </w:p>
    <w:p w14:paraId="6A6E1A19">
      <w:pPr>
        <w:pStyle w:val="0000b1"/>
        <w:ind w:left="510" w:hanging="510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vertAlign w:val="superscript"/>
        </w:rPr>
        <w:t>[13]</w:t>
      </w:r>
      <w:r>
        <w:rPr>
          <w:rFonts w:ascii="Times New Roman" w:hAnsi="Times New Roman" w:eastAsia="宋体" w:cs="Times New Roman"/>
          <w:b w:val="0"/>
          <w:i w:val="0"/>
          <w:color w:val="000000"/>
          <w:sz w:val="18"/>
        </w:rPr>
        <w:t xml:space="preserve"> Anthropic. Model Context Protocol (MCP)[EB/OL]. https://modelcontextprotocol.io</w:t>
      </w:r>
    </w:p>
    <w:p w14:paraId="6D5466E7">
      <w:pPr>
        <w:pStyle w:val="0000b1"/>
        <w:ind w:left="510" w:hanging="510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vertAlign w:val="superscript"/>
        </w:rPr>
        <w:t>[14]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18"/>
        </w:rPr>
        <w:t xml:space="preserve"> OpenAI. Introducing ChatGPT agent[EB/OL]. OpenAI 官方博客, 2025-07-17.</w:t>
      </w:r>
    </w:p>
    <w:p w14:paraId="517753FF">
      <w:pPr>
        <w:pStyle w:val="0000b1"/>
        <w:ind w:left="510" w:hanging="510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vertAlign w:val="superscript"/>
        </w:rPr>
        <w:t>[15]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18"/>
        </w:rPr>
        <w:t xml:space="preserve"> Google. Project Mariner[EB/OL]. 官方页面已下线；据 Digital Trends 报道于 2026-05-04 停止服务.</w:t>
      </w:r>
    </w:p>
    <w:p w14:paraId="7E220FCF">
      <w:pPr>
        <w:pStyle w:val="0000b1"/>
        <w:ind w:left="510" w:hanging="510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vertAlign w:val="superscript"/>
        </w:rPr>
        <w:t>[16]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18"/>
        </w:rPr>
        <w:t xml:space="preserve"> DeepSeek. DeepSeek API 文档[EB/OL]. https://api-docs.deepseek.com</w:t>
      </w:r>
    </w:p>
    <w:p w14:paraId="3D0F9633">
      <w:pPr>
        <w:pStyle w:val="0000b1"/>
        <w:ind w:left="510" w:hanging="510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vertAlign w:val="superscript"/>
        </w:rPr>
        <w:t>[17]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18"/>
        </w:rPr>
        <w:t xml:space="preserve"> 孙秋实. AIcap：面向课程团队的多智能体协作工作台[EB/OL]. https://github.com/Wayne-SQS/AIcap（技术文档类资料的查询日期为 2026 年 10 月 22 日）</w:t>
      </w:r>
    </w:p>
    <w:sectPr w:rsidRPr="0006063C" w:rsidR="00FC693F" w:rsidSect="00034616">
      <w:headerReference r:id="rId5" w:type="default"/>
      <w:footerReference r:id="rId6" w:type="default"/>
      <w:pgSz w:w="11906" w:h="16838"/>
      <w:pgMar w:top="1361" w:right="1474" w:bottom="1361" w:left="1587" w:header="850" w:footer="992" w:gutter="0"/>
      <w:cols w:space="720"/>
      <w:titlePg w:val="1"/>
      <w:docGrid w:linePitch="36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50A20ED5">
    <w:pPr>
      <w:pStyle w:val="000006"/>
      <w:jc w:val="center"/>
    </w:pPr>
    <w:r>
      <w:rPr>
        <w:rFonts w:ascii="Times New Roman" w:hAnsi="Times New Roman" w:eastAsia="宋体" w:cs="Times New Roman"/>
        <w:b w:val="0"/>
        <w:i w:val="0"/>
        <w:color w:val="000000"/>
        <w:sz w:val="18"/>
      </w:rPr>
      <w:t xml:space="preserve">— </w:t>
    </w:r>
    <w:r>
      <w:rPr>
        <w:rFonts w:ascii="Times New Roman" w:hAnsi="Times New Roman" w:eastAsia="宋体" w:cs="Times New Roman"/>
        <w:b w:val="0"/>
        <w:i w:val="0"/>
        <w:color w:val="000000"/>
        <w:sz w:val="18"/>
      </w:rPr>
      <w:fldChar w:fldCharType="begin"/>
    </w:r>
    <w:r>
      <w:rPr>
        <w:rFonts w:ascii="Times New Roman" w:hAnsi="Times New Roman" w:eastAsia="宋体" w:cs="Times New Roman"/>
        <w:b w:val="0"/>
        <w:i w:val="0"/>
        <w:color w:val="000000"/>
        <w:sz w:val="18"/>
      </w:rPr>
      <w:instrText xml:space="preserve"> PAGE </w:instrText>
    </w:r>
    <w:r>
      <w:rPr>
        <w:rFonts w:ascii="Times New Roman" w:hAnsi="Times New Roman" w:eastAsia="宋体" w:cs="Times New Roman"/>
        <w:b w:val="0"/>
        <w:i w:val="0"/>
        <w:color w:val="000000"/>
        <w:sz w:val="18"/>
      </w:rPr>
      <w:fldChar w:fldCharType="separate"/>
    </w:r>
    <w:r>
      <w:rPr>
        <w:rFonts w:ascii="Times New Roman" w:hAnsi="Times New Roman" w:eastAsia="宋体" w:cs="Times New Roman"/>
        <w:b w:val="0"/>
        <w:i w:val="0"/>
        <w:color w:val="000000"/>
        <w:sz w:val="18"/>
      </w:rPr>
      <w:t>1</w:t>
    </w:r>
    <w:r>
      <w:rPr>
        <w:rFonts w:ascii="Times New Roman" w:hAnsi="Times New Roman" w:eastAsia="宋体" w:cs="Times New Roman"/>
        <w:b w:val="0"/>
        <w:i w:val="0"/>
        <w:color w:val="000000"/>
        <w:sz w:val="18"/>
      </w:rPr>
      <w:fldChar w:fldCharType="end"/>
    </w:r>
    <w:r>
      <w:rPr>
        <w:rFonts w:ascii="Times New Roman" w:hAnsi="Times New Roman" w:eastAsia="宋体" w:cs="Times New Roman"/>
        <w:b w:val="0"/>
        <w:i w:val="0"/>
        <w:color w:val="000000"/>
        <w:sz w:val="18"/>
      </w:rPr>
      <w:t xml:space="preserve"> —</w:t>
    </w:r>
  </w:p>
</w:ftr>
</file>

<file path=word/header1.xml><?xml version="1.0" encoding="utf-8"?>
<w:hdr xmlns:w="http://schemas.openxmlformats.org/wordprocessingml/2006/main" xmlns:w14="http://schemas.microsoft.com/office/word/2010/wordml" xmlns:mc="http://schemas.openxmlformats.org/markup-compatibility/2006" mc:Ignorable="w14">
  <w:p w14:paraId="30859FF1">
    <w:pPr>
      <w:pStyle w:val="000003"/>
      <w:pBdr>
        <w:bottom w:val="single" w:color="000000" w:sz="6" w:space="1"/>
      </w:pBdr>
      <w:jc w:val="center"/>
    </w:pPr>
    <w:r>
      <w:rPr>
        <w:rFonts w:hint="eastAsia" w:ascii="Times New Roman" w:hAnsi="Times New Roman" w:eastAsia="宋体" w:cs="Times New Roman"/>
        <w:b w:val="0"/>
        <w:i w:val="0"/>
        <w:color w:val="000000"/>
        <w:sz w:val="18"/>
      </w:rPr>
      <w:t>AI 智能体技术现状与分类调查报告</w:t>
    </w:r>
  </w:p>
</w:hdr>
</file>

<file path=word/numbering.xml><?xml version="1.0" encoding="utf-8"?>
<w:numbering xmlns:w="http://schemas.openxmlformats.org/wordprocessingml/2006/main">
  <w:abstractNum w:abstractNumId="0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2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3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num w:numId="6">
    <w:abstractNumId w:val="4"/>
  </w:num>
  <w:num w:numId="2">
    <w:abstractNumId w:val="0"/>
  </w:num>
  <w:num w:numId="3">
    <w:abstractNumId w:val="1"/>
  </w:num>
  <w:num w:numId="1">
    <w:abstractNumId w:val="3"/>
  </w:num>
  <w:num w:numId="4">
    <w:abstractNumId w:val="2"/>
  </w:num>
  <w:num w:numId="5">
    <w:abstractNumId w:val="5"/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compat>
    <w:useFELayout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Bibliography" w:uiPriority="37"/>
    <w:lsdException w:name="caption" w:uiPriority="35" w:qFormat="1"/>
    <w:lsdException w:name="heading 8" w:uiPriority="9" w:qFormat="1"/>
    <w:lsdException w:name="toc 6" w:uiPriority="39"/>
    <w:lsdException w:name="Light List Accent 4" w:uiPriority="61" w:semiHidden="0" w:unhideWhenUsed="0"/>
    <w:lsdException w:name="Medium Grid 2 Accent 3" w:uiPriority="68" w:semiHidden="0" w:unhideWhenUsed="0"/>
    <w:lsdException w:name="Colorful Shading Accent 4" w:uiPriority="71" w:semiHidden="0" w:unhideWhenUsed="0"/>
    <w:lsdException w:name="Colorful Shading Accent 3" w:uiPriority="71" w:semiHidden="0" w:unhideWhenUsed="0"/>
    <w:lsdException w:name="Colorful Grid" w:uiPriority="73" w:semiHidden="0" w:unhideWhenUsed="0"/>
    <w:lsdException w:name="heading 2" w:uiPriority="9" w:qFormat="1"/>
    <w:lsdException w:name="Dark List Accent 6" w:uiPriority="70" w:semiHidden="0" w:unhideWhenUsed="0"/>
    <w:lsdException w:name="toc 4" w:uiPriority="39"/>
    <w:lsdException w:name="Medium List 1 Accent 6" w:uiPriority="65" w:semiHidden="0" w:unhideWhenUsed="0"/>
    <w:lsdException w:name="Medium List 1 Accent 1" w:uiPriority="65" w:semiHidden="0" w:unhideWhenUsed="0"/>
    <w:lsdException w:name="Light Grid Accent 2" w:uiPriority="62" w:semiHidden="0" w:unhideWhenUsed="0"/>
    <w:lsdException w:name="Dark List Accent 3" w:uiPriority="70" w:semiHidden="0" w:unhideWhenUsed="0"/>
    <w:lsdException w:name="Strong" w:uiPriority="22" w:semiHidden="0" w:unhideWhenUsed="0" w:qFormat="1"/>
    <w:lsdException w:name="Subtle Emphasis" w:uiPriority="19" w:semiHidden="0" w:unhideWhenUsed="0" w:qFormat="1"/>
    <w:lsdException w:name="Light Shading" w:uiPriority="60" w:semiHidden="0" w:unhideWhenUsed="0"/>
    <w:lsdException w:name="Medium Shading 1 Accent 6" w:uiPriority="63" w:semiHidden="0" w:unhideWhenUsed="0"/>
    <w:lsdException w:name="Subtitle" w:uiPriority="11" w:semiHidden="0" w:unhideWhenUsed="0" w:qFormat="1"/>
    <w:lsdException w:name="heading 9" w:uiPriority="9" w:qFormat="1"/>
    <w:lsdException w:name="Colorful List Accent 6" w:uiPriority="72" w:semiHidden="0" w:unhideWhenUsed="0"/>
    <w:lsdException w:name="Colorful List Accent 2" w:uiPriority="72" w:semiHidden="0" w:unhideWhenUsed="0"/>
    <w:lsdException w:name="Medium Grid 2 Accent 1" w:uiPriority="68" w:semiHidden="0" w:unhideWhenUsed="0"/>
    <w:lsdException w:name="Medium Grid 2 Accent 2" w:uiPriority="68" w:semiHidden="0" w:unhideWhenUsed="0"/>
    <w:lsdException w:name="Dark List Accent 1" w:uiPriority="70" w:semiHidden="0" w:unhideWhenUsed="0"/>
    <w:lsdException w:name="Medium Grid 1 Accent 2" w:uiPriority="67" w:semiHidden="0" w:unhideWhenUsed="0"/>
    <w:lsdException w:name="Medium Grid 1 Accent 1" w:uiPriority="67" w:semiHidden="0" w:unhideWhenUsed="0"/>
    <w:lsdException w:name="toc 8" w:uiPriority="39"/>
    <w:lsdException w:name="Intense Emphasis" w:uiPriority="21" w:semiHidden="0" w:unhideWhenUsed="0" w:qFormat="1"/>
    <w:lsdException w:name="Light Grid Accent 1" w:uiPriority="62" w:semiHidden="0" w:unhideWhenUsed="0"/>
    <w:lsdException w:name="Colorful Grid Accent 1" w:uiPriority="73" w:semiHidden="0" w:unhideWhenUsed="0"/>
    <w:lsdException w:name="Medium Shading 1 Accent 4" w:uiPriority="63" w:semiHidden="0" w:unhideWhenUsed="0"/>
    <w:lsdException w:name="Medium List 1 Accent 5" w:uiPriority="65" w:semiHidden="0" w:unhideWhenUsed="0"/>
    <w:lsdException w:name="Medium List 2 Accent 3" w:uiPriority="66" w:semiHidden="0" w:unhideWhenUsed="0"/>
    <w:lsdException w:name="Title" w:uiPriority="10" w:semiHidden="0" w:unhideWhenUsed="0" w:qFormat="1"/>
    <w:lsdException w:name="Medium Shading 1 Accent 1" w:uiPriority="63" w:semiHidden="0" w:unhideWhenUsed="0"/>
    <w:lsdException w:name="Colorful Shading Accent 2" w:uiPriority="71" w:semiHidden="0" w:unhideWhenUsed="0"/>
    <w:lsdException w:name="Colorful Shading Accent 6" w:uiPriority="71" w:semiHidden="0" w:unhideWhenUsed="0"/>
    <w:lsdException w:name="Medium Grid 1" w:uiPriority="67" w:semiHidden="0" w:unhideWhenUsed="0"/>
    <w:lsdException w:name="Medium List 2 Accent 1" w:uiPriority="66" w:semiHidden="0" w:unhideWhenUsed="0"/>
    <w:lsdException w:name="Medium List 2 Accent 5" w:uiPriority="66" w:semiHidden="0" w:unhideWhenUsed="0"/>
    <w:lsdException w:name="Light Shading Accent 3" w:uiPriority="60" w:semiHidden="0" w:unhideWhenUsed="0"/>
    <w:lsdException w:name="Medium Grid 2" w:uiPriority="68" w:semiHidden="0" w:unhideWhenUsed="0"/>
    <w:lsdException w:name="Medium Grid 3 Accent 3" w:uiPriority="69" w:semiHidden="0" w:unhideWhenUsed="0"/>
    <w:lsdException w:name="toc 7" w:uiPriority="39"/>
    <w:lsdException w:name="Light List Accent 5" w:uiPriority="61" w:semiHidden="0" w:unhideWhenUsed="0"/>
    <w:lsdException w:name="Light List Accent 6" w:uiPriority="61" w:semiHidden="0" w:unhideWhenUsed="0"/>
    <w:lsdException w:name="Light List Accent 2" w:uiPriority="61" w:semiHidden="0" w:unhideWhenUsed="0"/>
    <w:lsdException w:name="Normal" w:uiPriority="0" w:semiHidden="0" w:unhideWhenUsed="0" w:qFormat="1"/>
    <w:lsdException w:name="Medium Shading 2" w:uiPriority="64" w:semiHidden="0" w:unhideWhenUsed="0"/>
    <w:lsdException w:name="Revision" w:unhideWhenUsed="0"/>
    <w:lsdException w:name="Medium Shading 2 Accent 5" w:uiPriority="64" w:semiHidden="0" w:unhideWhenUsed="0"/>
    <w:lsdException w:name="Medium Shading 2 Accent 6" w:uiPriority="64" w:semiHidden="0" w:unhideWhenUsed="0"/>
    <w:lsdException w:name="heading 3" w:uiPriority="9" w:qFormat="1"/>
    <w:lsdException w:name="Subtle Reference" w:uiPriority="31" w:semiHidden="0" w:unhideWhenUsed="0" w:qFormat="1"/>
    <w:lsdException w:name="TOC Heading" w:uiPriority="39" w:qFormat="1"/>
    <w:lsdException w:name="Light Shading Accent 5" w:uiPriority="60" w:semiHidden="0" w:unhideWhenUsed="0"/>
    <w:lsdException w:name="Table Grid" w:uiPriority="59" w:semiHidden="0" w:unhideWhenUsed="0"/>
    <w:lsdException w:name="Medium List 1" w:uiPriority="65" w:semiHidden="0" w:unhideWhenUsed="0"/>
    <w:lsdException w:name="Medium Grid 1 Accent 5" w:uiPriority="67" w:semiHidden="0" w:unhideWhenUsed="0"/>
    <w:lsdException w:name="Medium Grid 2 Accent 6" w:uiPriority="68" w:semiHidden="0" w:unhideWhenUsed="0"/>
    <w:lsdException w:name="Colorful Shading Accent 1" w:uiPriority="71" w:semiHidden="0" w:unhideWhenUsed="0"/>
    <w:lsdException w:name="Colorful List Accent 3" w:uiPriority="72" w:semiHidden="0" w:unhideWhenUsed="0"/>
    <w:lsdException w:name="toc 5" w:uiPriority="39"/>
    <w:lsdException w:name="Light Shading Accent 1" w:uiPriority="60" w:semiHidden="0" w:unhideWhenUsed="0"/>
    <w:lsdException w:name="Medium Grid 3 Accent 1" w:uiPriority="69" w:semiHidden="0" w:unhideWhenUsed="0"/>
    <w:lsdException w:name="Medium List 2 Accent 6" w:uiPriority="66" w:semiHidden="0" w:unhideWhenUsed="0"/>
    <w:lsdException w:name="toc 2" w:uiPriority="39"/>
    <w:lsdException w:name="Colorful Shading" w:uiPriority="71" w:semiHidden="0" w:unhideWhenUsed="0"/>
    <w:lsdException w:name="toc 1" w:uiPriority="39"/>
    <w:lsdException w:name="Intense Reference" w:uiPriority="32" w:semiHidden="0" w:unhideWhenUsed="0" w:qFormat="1"/>
    <w:lsdException w:name="toc 9" w:uiPriority="39"/>
    <w:lsdException w:name="Intense Quote" w:uiPriority="30" w:semiHidden="0" w:unhideWhenUsed="0" w:qFormat="1"/>
    <w:lsdException w:name="Medium Grid 3 Accent 2" w:uiPriority="69" w:semiHidden="0" w:unhideWhenUsed="0"/>
    <w:lsdException w:name="Colorful Grid Accent 4" w:uiPriority="73" w:semiHidden="0" w:unhideWhenUsed="0"/>
    <w:lsdException w:name="Medium Shading 1 Accent 5" w:uiPriority="63" w:semiHidden="0" w:unhideWhenUsed="0"/>
    <w:lsdException w:name="Light Grid Accent 6" w:uiPriority="62" w:semiHidden="0" w:unhideWhenUsed="0"/>
    <w:lsdException w:name="Light List Accent 3" w:uiPriority="61" w:semiHidden="0" w:unhideWhenUsed="0"/>
    <w:lsdException w:name="Light Grid Accent 5" w:uiPriority="62" w:semiHidden="0" w:unhideWhenUsed="0"/>
    <w:lsdException w:name="Medium List 2 Accent 2" w:uiPriority="66" w:semiHidden="0" w:unhideWhenUsed="0"/>
    <w:lsdException w:name="Dark List Accent 4" w:uiPriority="70" w:semiHidden="0" w:unhideWhenUsed="0"/>
    <w:lsdException w:name="Light Shading Accent 4" w:uiPriority="60" w:semiHidden="0" w:unhideWhenUsed="0"/>
    <w:lsdException w:name="Light Grid Accent 3" w:uiPriority="62" w:semiHidden="0" w:unhideWhenUsed="0"/>
    <w:lsdException w:name="Light List" w:uiPriority="61" w:semiHidden="0" w:unhideWhenUsed="0"/>
    <w:lsdException w:name="Medium Grid 1 Accent 4" w:uiPriority="67" w:semiHidden="0" w:unhideWhenUsed="0"/>
    <w:lsdException w:name="heading 6" w:uiPriority="9" w:qFormat="1"/>
    <w:lsdException w:name="Medium Grid 3 Accent 5" w:uiPriority="69" w:semiHidden="0" w:unhideWhenUsed="0"/>
    <w:lsdException w:name="List Paragraph" w:uiPriority="34" w:semiHidden="0" w:unhideWhenUsed="0" w:qFormat="1"/>
    <w:lsdException w:name="Medium List 1 Accent 2" w:uiPriority="65" w:semiHidden="0" w:unhideWhenUsed="0"/>
    <w:lsdException w:name="Medium Grid 1 Accent 3" w:uiPriority="67" w:semiHidden="0" w:unhideWhenUsed="0"/>
    <w:lsdException w:name="heading 5" w:uiPriority="9" w:qFormat="1"/>
    <w:lsdException w:name="Colorful List Accent 5" w:uiPriority="72" w:semiHidden="0" w:unhideWhenUsed="0"/>
    <w:lsdException w:name="Medium Shading 1 Accent 2" w:uiPriority="63" w:semiHidden="0" w:unhideWhenUsed="0"/>
    <w:lsdException w:name="Dark List" w:uiPriority="70" w:semiHidden="0" w:unhideWhenUsed="0"/>
    <w:lsdException w:name="No Spacing" w:uiPriority="1" w:semiHidden="0" w:unhideWhenUsed="0" w:qFormat="1"/>
    <w:lsdException w:name="Colorful List" w:uiPriority="72" w:semiHidden="0" w:unhideWhenUsed="0"/>
    <w:lsdException w:name="Emphasis" w:uiPriority="20" w:semiHidden="0" w:unhideWhenUsed="0" w:qFormat="1"/>
    <w:lsdException w:name="heading 4" w:uiPriority="9" w:qFormat="1"/>
    <w:lsdException w:name="Colorful List Accent 1" w:uiPriority="72" w:semiHidden="0" w:unhideWhenUsed="0"/>
    <w:lsdException w:name="Default Paragraph Font" w:uiPriority="1"/>
    <w:lsdException w:name="toc 3" w:uiPriority="39"/>
    <w:lsdException w:name="Light Grid Accent 4" w:uiPriority="62" w:semiHidden="0" w:unhideWhenUsed="0"/>
    <w:lsdException w:name="Medium List 2" w:uiPriority="66" w:semiHidden="0" w:unhideWhenUsed="0"/>
    <w:lsdException w:name="Colorful Grid Accent 6" w:uiPriority="73" w:semiHidden="0" w:unhideWhenUsed="0"/>
    <w:lsdException w:name="Colorful Grid Accent 2" w:uiPriority="73" w:semiHidden="0" w:unhideWhenUsed="0"/>
    <w:lsdException w:name="Medium Shading 2 Accent 3" w:uiPriority="64" w:semiHidden="0" w:unhideWhenUsed="0"/>
    <w:lsdException w:name="Dark List Accent 5" w:uiPriority="70" w:semiHidden="0" w:unhideWhenUsed="0"/>
    <w:lsdException w:name="Medium List 2 Accent 4" w:uiPriority="66" w:semiHidden="0" w:unhideWhenUsed="0"/>
    <w:lsdException w:name="Colorful List Accent 4" w:uiPriority="72" w:semiHidden="0" w:unhideWhenUsed="0"/>
    <w:lsdException w:name="Quote" w:uiPriority="29" w:semiHidden="0" w:unhideWhenUsed="0" w:qFormat="1"/>
    <w:lsdException w:name="Colorful Shading Accent 5" w:uiPriority="71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Shading 1 Accent 3" w:uiPriority="63" w:semiHidden="0" w:unhideWhenUsed="0"/>
    <w:lsdException w:name="Dark List Accent 2" w:uiPriority="70" w:semiHidden="0" w:unhideWhenUsed="0"/>
    <w:lsdException w:name="Light Grid" w:uiPriority="62" w:semiHidden="0" w:unhideWhenUsed="0"/>
    <w:lsdException w:name="Medium Grid 2 Accent 5" w:uiPriority="68" w:semiHidden="0" w:unhideWhenUsed="0"/>
    <w:lsdException w:name="Placeholder Text" w:unhideWhenUsed="0"/>
    <w:lsdException w:name="Medium Shading 1" w:uiPriority="63" w:semiHidden="0" w:unhideWhenUsed="0"/>
    <w:lsdException w:name="Medium Grid 2 Accent 4" w:uiPriority="68" w:semiHidden="0" w:unhideWhenUsed="0"/>
    <w:lsdException w:name="Book Title" w:uiPriority="33" w:semiHidden="0" w:unhideWhenUsed="0" w:qFormat="1"/>
    <w:lsdException w:name="Medium Grid 3 Accent 4" w:uiPriority="69" w:semiHidden="0" w:unhideWhenUsed="0"/>
    <w:lsdException w:name="Medium Grid 3 Accent 6" w:uiPriority="69" w:semiHidden="0" w:unhideWhenUsed="0"/>
    <w:lsdException w:name="Medium List 1 Accent 3" w:uiPriority="65" w:semiHidden="0" w:unhideWhenUsed="0"/>
    <w:lsdException w:name="Colorful Grid Accent 5" w:uiPriority="73" w:semiHidden="0" w:unhideWhenUsed="0"/>
    <w:lsdException w:name="Medium Shading 2 Accent 1" w:uiPriority="64" w:semiHidden="0" w:unhideWhenUsed="0"/>
    <w:lsdException w:name="Light List Accent 1" w:uiPriority="61" w:semiHidden="0" w:unhideWhenUsed="0"/>
    <w:lsdException w:name="heading 1" w:uiPriority="9" w:semiHidden="0" w:unhideWhenUsed="0" w:qFormat="1"/>
    <w:lsdException w:name="Medium Grid 1 Accent 6" w:uiPriority="67" w:semiHidden="0" w:unhideWhenUsed="0"/>
    <w:lsdException w:name="Medium Grid 3" w:uiPriority="69" w:semiHidden="0" w:unhideWhenUsed="0"/>
    <w:lsdException w:name="Medium Shading 2 Accent 2" w:uiPriority="64" w:semiHidden="0" w:unhideWhenUsed="0"/>
    <w:lsdException w:name="heading 7" w:uiPriority="9" w:qFormat="1"/>
    <w:lsdException w:name="Light Shading Accent 2" w:uiPriority="60" w:semiHidden="0" w:unhideWhenUsed="0"/>
    <w:lsdException w:name="Light Shading Accent 6" w:uiPriority="60" w:semiHidden="0" w:unhideWhenUsed="0"/>
    <w:lsdException w:name="Colorful Grid Accent 3" w:uiPriority="73" w:semiHidden="0" w:unhideWhenUsed="0"/>
  </w:latentStyles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000025" w:customStyle="1">
    <w:name w:val="Body Text 2 Char"/>
    <w:basedOn w:val="000005"/>
    <w:link w:val="000024"/>
    <w:uiPriority w:val="99"/>
    <w:rsid w:val="00AA1D8D"/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000002" w:default="1">
    <w:name w:val="Normal"/>
    <w:qFormat w:val="1"/>
    <w:rsid w:val="00FC693F"/>
    <w:pPr>
      <w:spacing w:before="0" w:after="0" w:line="336" w:lineRule="auto"/>
      <w:jc w:val="both"/>
    </w:pPr>
    <w:rPr>
      <w:rFonts w:ascii="Times New Roman" w:hAnsi="Times New Roman" w:eastAsia="宋体" w:cs="Times New Roman"/>
      <w:b w:val="0"/>
      <w:i w:val="0"/>
      <w:color w:val="000000"/>
      <w:sz w:val="24"/>
    </w:r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numbering" w:styleId="00001b" w:default="1">
    <w:name w:val="No List"/>
    <w:uiPriority w:val="99"/>
    <w:semiHidden w:val="1"/>
    <w:unhideWhenUsed w:val="1"/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</w:style>
  <w:style w:type="paragraph" w:styleId="0000af" w:customStyle="1">
    <w:name w:val="表格文字"/>
    <w:pPr>
      <w:spacing w:before="0" w:after="0" w:line="240" w:lineRule="auto"/>
      <w:ind w:firstLine="0"/>
      <w:jc w:val="center"/>
    </w:pPr>
    <w:rPr>
      <w:rFonts w:ascii="Times New Roman" w:hAnsi="Times New Roman" w:eastAsia="宋体" w:cs="Times New Roman"/>
      <w:b w:val="0"/>
      <w:i w:val="0"/>
      <w:color w:val="000000"/>
      <w:sz w:val="21"/>
    </w:r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DBE5F1" w:themeFill="accent1" w:themeFillTint="33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Horz">
      <w:tblPr/>
      <w:tcPr>
        <w:shd w:val="clear" w:color="auto" w:fill="FDE9D9" w:themeFill="accent6" w:themeFillTint="33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FDE4D0" w:themeFill="accent6" w:themeFillTint="3F"/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1"/>
      </w:numPr>
      <w:contextualSpacing w:val="1"/>
    </w:p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paragraph" w:styleId="0000ac" w:customStyle="1">
    <w:name w:val="图"/>
    <w:pPr>
      <w:keepNext w:val="1"/>
      <w:spacing w:before="200" w:after="0" w:line="240" w:lineRule="auto"/>
      <w:ind w:firstLine="0"/>
      <w:jc w:val="center"/>
    </w:pPr>
    <w:rPr>
      <w:rFonts w:ascii="Times New Roman" w:hAnsi="Times New Roman" w:eastAsia="宋体" w:cs="Times New Roman"/>
      <w:b w:val="0"/>
      <w:i w:val="0"/>
      <w:color w:val="000000"/>
      <w:sz w:val="24"/>
    </w:r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2"/>
      </w:numPr>
      <w:contextualSpacing w:val="1"/>
    </w:p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neCell">
      <w:rPr>
        <w:color w:val="000000" w:themeColor="text1"/>
      </w:r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B6DDE8" w:themeFill="accent5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 w:val="1"/>
        <w:bCs w:val="1"/>
      </w:rPr>
    </w:tblStyle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3"/>
      </w:numPr>
      <w:contextualSpacing w:val="1"/>
    </w:p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4"/>
      </w:numPr>
      <w:contextualSpacing w:val="1"/>
    </w:p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 w:val="1"/>
        <w:bCs w:val="1"/>
      </w:rPr>
    </w:tblStyle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0000b0" w:customStyle="1">
    <w:name w:val="注"/>
    <w:pPr>
      <w:spacing w:before="120" w:after="240" w:line="240" w:lineRule="auto"/>
      <w:ind w:firstLine="0"/>
      <w:jc w:val="left"/>
    </w:pPr>
    <w:rPr>
      <w:rFonts w:ascii="Times New Roman" w:hAnsi="Times New Roman" w:eastAsia="宋体" w:cs="Times New Roman"/>
      <w:b w:val="0"/>
      <w:i w:val="0"/>
      <w:color w:val="000000"/>
      <w:sz w:val="18"/>
    </w:r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pageBreakBefore w:val="0"/>
      <w:spacing w:before="200" w:after="80" w:line="336" w:lineRule="auto"/>
      <w:jc w:val="left"/>
      <w:outlineLvl w:val="2"/>
    </w:pPr>
    <w:rPr>
      <w:rFonts w:ascii="Times New Roman" w:hAnsi="Times New Roman" w:eastAsia="黑体" w:cs="Times New Roman" w:asciiTheme="majorHAnsi" w:hAnsiTheme="majorHAnsi" w:eastAsiaTheme="majorEastAsia" w:cstheme="majorBidi"/>
      <w:b w:val="0"/>
      <w:bCs w:val="1"/>
      <w:i w:val="0"/>
      <w:color w:val="000000"/>
      <w:sz w:val="24"/>
    </w:r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AF1DD" w:themeFill="accent3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</w:style>
  <w:style w:type="paragraph" w:styleId="0000ad" w:customStyle="1">
    <w:name w:val="图题"/>
    <w:pPr>
      <w:spacing w:before="100" w:after="280" w:line="240" w:lineRule="auto"/>
      <w:ind w:firstLine="0"/>
      <w:jc w:val="center"/>
    </w:pPr>
    <w:rPr>
      <w:rFonts w:ascii="Times New Roman" w:hAnsi="Times New Roman" w:eastAsia="宋体" w:cs="Times New Roman"/>
      <w:b w:val="0"/>
      <w:i w:val="0"/>
      <w:color w:val="000000"/>
      <w:sz w:val="21"/>
    </w:r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Vert"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Horz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</w:style>
  <w:style w:type="paragraph" w:styleId="0000ae" w:customStyle="1">
    <w:name w:val="表题"/>
    <w:pPr>
      <w:keepNext w:val="1"/>
      <w:spacing w:before="240" w:after="80" w:line="240" w:lineRule="auto"/>
      <w:ind w:firstLine="0"/>
      <w:jc w:val="center"/>
    </w:pPr>
    <w:rPr>
      <w:rFonts w:ascii="Times New Roman" w:hAnsi="Times New Roman" w:eastAsia="宋体" w:cs="Times New Roman"/>
      <w:b w:val="0"/>
      <w:i w:val="0"/>
      <w:color w:val="000000"/>
      <w:sz w:val="21"/>
    </w:r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CCCCCC" w:themeFill="tex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Col">
      <w:rPr>
        <w:b w:val="1"/>
        <w:bCs w:val="1"/>
      </w:r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  <w:tblStylePr w:type="lastCol">
      <w:rPr>
        <w:b w:val="1"/>
        <w:bCs w:val="1"/>
      </w:rPr>
    </w:tblStyle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000007" w:customStyle="1">
    <w:name w:val="Footer Char"/>
    <w:basedOn w:val="000005"/>
    <w:link w:val="000006"/>
    <w:uiPriority w:val="99"/>
    <w:rsid w:val="00E618BF"/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5"/>
      </w:numPr>
      <w:contextualSpacing w:val="1"/>
    </w:p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paragraph" w:styleId="0000b1" w:customStyle="1">
    <w:name w:val="参考"/>
    <w:pPr>
      <w:spacing w:before="0" w:after="0" w:line="216" w:lineRule="auto"/>
      <w:ind w:firstLine="0"/>
      <w:jc w:val="left"/>
    </w:pPr>
    <w:rPr>
      <w:rFonts w:ascii="Times New Roman" w:hAnsi="Times New Roman" w:eastAsia="宋体" w:cs="Times New Roman"/>
      <w:b w:val="0"/>
      <w:i w:val="0"/>
      <w:color w:val="000000"/>
      <w:sz w:val="18"/>
    </w:r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pageBreakBefore w:val="0"/>
      <w:spacing w:before="280" w:after="120" w:line="336" w:lineRule="auto"/>
      <w:jc w:val="left"/>
      <w:outlineLvl w:val="1"/>
    </w:pPr>
    <w:rPr>
      <w:rFonts w:ascii="Times New Roman" w:hAnsi="Times New Roman" w:eastAsia="黑体" w:cs="Times New Roman" w:asciiTheme="majorHAnsi" w:hAnsiTheme="majorHAnsi" w:eastAsiaTheme="majorEastAsia" w:cstheme="majorBidi"/>
      <w:b w:val="0"/>
      <w:bCs w:val="1"/>
      <w:i w:val="0"/>
      <w:color w:val="000000"/>
      <w:sz w:val="28"/>
      <w:szCs w:val="26"/>
    </w:r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000005" w:default="1">
    <w:name w:val="Default Paragraph Font"/>
    <w:uiPriority w:val="1"/>
    <w:semiHidden w:val="1"/>
    <w:unhideWhenUsed w:val="1"/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6"/>
      </w:numPr>
      <w:contextualSpacing w:val="1"/>
    </w:p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</w:tblStyle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character" w:styleId="000004" w:customStyle="1">
    <w:name w:val="Header Char"/>
    <w:basedOn w:val="000005"/>
    <w:link w:val="000003"/>
    <w:uiPriority w:val="99"/>
    <w:rsid w:val="00E618BF"/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pageBreakBefore w:val="0"/>
      <w:spacing w:before="440" w:after="240" w:line="336" w:lineRule="auto"/>
      <w:jc w:val="center"/>
      <w:outlineLvl w:val="0"/>
    </w:pPr>
    <w:rPr>
      <w:rFonts w:ascii="Times New Roman" w:hAnsi="Times New Roman" w:eastAsia="黑体" w:cs="Times New Roman" w:asciiTheme="majorHAnsi" w:hAnsiTheme="majorHAnsi" w:eastAsiaTheme="majorEastAsia" w:cstheme="majorBidi"/>
      <w:b w:val="0"/>
      <w:bCs w:val="1"/>
      <w:i w:val="0"/>
      <w:color w:val="000000"/>
      <w:sz w:val="32"/>
      <w:szCs w:val="28"/>
    </w:r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Col">
      <w:rPr>
        <w:b w:val="1"/>
        <w:bCs w:val="1"/>
      </w:rPr>
    </w:tblStylePr>
    <w:tblStylePr w:type="band1Horz">
      <w:tblPr/>
      <w:tcPr>
        <w:shd w:val="clear" w:color="auto" w:fill="DAEEF3" w:themeFill="accent5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000023" w:customStyle="1">
    <w:name w:val="Body Text Char"/>
    <w:basedOn w:val="000005"/>
    <w:link w:val="000022"/>
    <w:uiPriority w:val="99"/>
    <w:rsid w:val="00AA1D8D"/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</w:styles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image4.png" /><Relationship Id="rId0" Type="http://schemas.openxmlformats.org/officeDocument/2006/relationships/styles" Target="styles.xml" /><Relationship Id="rId5" Type="http://schemas.openxmlformats.org/officeDocument/2006/relationships/header" Target="header1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6" Type="http://schemas.openxmlformats.org/officeDocument/2006/relationships/footer" Target="footer1.xml" /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7" Type="http://schemas.openxmlformats.org/officeDocument/2006/relationships/image" Target="media/image1.png" /><Relationship Id="rId8" Type="http://schemas.openxmlformats.org/officeDocument/2006/relationships/image" Target="media/image2.png" /><Relationship Id="rId9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2026-10-26T18:45:44Z</dcterms:created>
  <dcterms:modified xsi:type="dcterms:W3CDTF">2026-10-26T18:45:44Z</dcterms:modified>
</cp:coreProperties>
</file>