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99AEF">
      <w:pPr>
        <w:pStyle w:val="2"/>
        <w:keepNext/>
        <w:spacing w:before="3000" w:after="160" w:line="312" w:lineRule="auto"/>
        <w:jc w:val="center"/>
      </w:pPr>
      <w:bookmarkStart w:id="0" w:name="pascal-voc2012-语义分割实验报告"/>
      <w:r>
        <w:rPr>
          <w:rFonts w:ascii="Times New Roman" w:hAnsi="Times New Roman" w:eastAsia="黑体" w:cs="Times New Roman"/>
          <w:sz w:val="52"/>
        </w:rPr>
        <w:t>Pascal VOC2012 语义分割实验报告</w:t>
      </w:r>
    </w:p>
    <w:p w14:paraId="78E523F9">
      <w:pPr>
        <w:pStyle w:val="13"/>
        <w:spacing w:before="2400" w:after="80" w:line="384" w:lineRule="auto"/>
        <w:ind w:left="0" w:right="0"/>
        <w:jc w:val="center"/>
      </w:pPr>
      <w:r>
        <w:rPr>
          <w:sz w:val="28"/>
        </w:rPr>
        <w:t>课程：人工智能技术大作业</w:t>
      </w:r>
      <w:r>
        <w:rPr>
          <w:sz w:val="28"/>
        </w:rPr>
        <w:br w:type="textWrapping"/>
      </w:r>
      <w:r>
        <w:rPr>
          <w:sz w:val="28"/>
        </w:rPr>
        <w:t>专业：软件工程</w:t>
      </w:r>
      <w:r>
        <w:rPr>
          <w:sz w:val="28"/>
        </w:rPr>
        <w:br w:type="textWrapping"/>
      </w:r>
      <w:r>
        <w:rPr>
          <w:sz w:val="28"/>
        </w:rPr>
        <w:t>班级：软件 2406 班</w:t>
      </w:r>
      <w:r>
        <w:rPr>
          <w:sz w:val="28"/>
        </w:rPr>
        <w:br w:type="textWrapping"/>
      </w:r>
      <w:r>
        <w:rPr>
          <w:sz w:val="28"/>
        </w:rPr>
        <w:t>姓名：孙秋实</w:t>
      </w:r>
      <w:r>
        <w:rPr>
          <w:sz w:val="28"/>
        </w:rPr>
        <w:br w:type="textWrapping"/>
      </w:r>
      <w:r>
        <w:rPr>
          <w:sz w:val="28"/>
        </w:rPr>
        <w:t>学号：20245715</w:t>
      </w:r>
    </w:p>
    <w:p w14:paraId="09A1F0F6">
      <w:pPr>
        <w:spacing w:before="2200"/>
        <w:jc w:val="center"/>
      </w:pPr>
      <w:r>
        <w:rPr>
          <w:sz w:val="28"/>
        </w:rPr>
        <w:t>2026 年 10 月</w:t>
      </w:r>
    </w:p>
    <w:p w14:paraId="24A5B741">
      <w:pPr>
        <w:pStyle w:val="4"/>
        <w:keepNext/>
        <w:pageBreakBefore/>
        <w:spacing w:before="320" w:after="160" w:line="312" w:lineRule="auto"/>
      </w:pPr>
      <w:bookmarkStart w:id="1" w:name="_Toc243935443"/>
      <w:bookmarkStart w:id="2" w:name="摘要"/>
      <w:r>
        <w:rPr>
          <w:rFonts w:ascii="Times New Roman" w:hAnsi="Times New Roman" w:eastAsia="黑体" w:cs="Times New Roman"/>
        </w:rPr>
        <w:t>摘要</w:t>
      </w:r>
      <w:bookmarkEnd w:id="1"/>
    </w:p>
    <w:p w14:paraId="047400B3">
      <w:pPr>
        <w:pStyle w:val="27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 xml:space="preserve">本报告围绕 Pascal VOC2012 语义分割任务，完整记录了一条从基线训练到最终提交配置的实验路径。针对 VOC2012 带标签样本仅 2913 张的数据规模，本文先后引入 SBD 增强集将训练集扩充至 8284 张，并设计了融合低层特征与 SE 通道注意力的 LFCA 解码器；在推理侧采用 5 尺度测试时增强（TTA）与多模型 softmax 概率加权集成。实验得到的最重要的发现是：torchvision 提供的 </w:t>
      </w:r>
      <w:r>
        <w:rPr>
          <w:rStyle w:val="39"/>
          <w:rFonts w:ascii="Times New Roman" w:hAnsi="Times New Roman" w:eastAsia="宋体" w:cs="Times New Roman"/>
          <w:sz w:val="24"/>
        </w:rPr>
        <w:t>COCO_WITH_VOC_LABELS_V1</w:t>
      </w:r>
      <w:r>
        <w:rPr>
          <w:rFonts w:ascii="Times New Roman" w:hAnsi="Times New Roman" w:eastAsia="宋体" w:cs="Times New Roman"/>
        </w:rPr>
        <w:t xml:space="preserve"> 预训练权重在不做任何微调的情况下即达到 0.7951 mIoU，高于本项目全部训练侧改动的最好结果（0.7570）；进一步的三组严格对照实验（大学习率微调、低学习率加骨干冻结微调、异构零样本成员增补）一致表明，在该数据量下朝 VOC 域的任何参数更新都会收窄判别边界、构成负收益。最终提交配置为 2 个零样本预训练模型与 2 个自训练模型构成的 4 模型加权混合集成，配合 5 尺度 TTA，在 VOC val 上取得 21 类 mIoU 0.8195，并在独立的 SBD-val 评估集上取得 0.7730，相对 3 模型版本在两个集合上分别提升 0.52 与 0.63 点，说明增益来源于误差模式的真实互补而非对验证集的过拟合。报告同时记录了 10 项未获采纳的负结果及其交叉验证方法，并指出：在验证集上选取超参数会使指标虚高 0.3~0.4 个点，所有选择均须在独立数据上复核。</w:t>
      </w:r>
    </w:p>
    <w:p w14:paraId="714B7C76">
      <w:pPr>
        <w:pStyle w:val="3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  <w:b/>
          <w:bCs/>
        </w:rPr>
        <w:t>关键词</w:t>
      </w:r>
      <w:r>
        <w:rPr>
          <w:rFonts w:ascii="Times New Roman" w:hAnsi="Times New Roman" w:eastAsia="宋体" w:cs="Times New Roman"/>
        </w:rPr>
        <w:t>：语义分割；DeepLabV3；模型集成；测试时增强；零样本预训练权重；Pascal VOC2012</w:t>
      </w:r>
    </w:p>
    <w:bookmarkEnd w:id="2"/>
    <w:p w14:paraId="77F2A5DD">
      <w:pPr>
        <w:pStyle w:val="2"/>
        <w:pageBreakBefore/>
      </w:pPr>
      <w:bookmarkStart w:id="3" w:name="任务与数据"/>
      <w:r>
        <w:t>目录</w:t>
      </w:r>
    </w:p>
    <w:p w14:paraId="32D1F7D0">
      <w:pPr>
        <w:pStyle w:val="21"/>
        <w:tabs>
          <w:tab w:val="right" w:leader="dot" w:pos="8630"/>
        </w:tabs>
        <w:spacing w:after="0"/>
        <w:ind w:left="480"/>
        <w:rPr>
          <w:kern w:val="2"/>
          <w:sz w:val="22"/>
          <w:lang w:eastAsia="zh-CN"/>
          <w14:ligatures w14:val="standardContextual"/>
        </w:rPr>
      </w:pPr>
      <w:r>
        <w:fldChar w:fldCharType="begin"/>
      </w:r>
      <w:r>
        <w:instrText xml:space="preserve"> TOC \o "2-3" \h \z \u </w:instrText>
      </w:r>
      <w:r>
        <w:fldChar w:fldCharType="separate"/>
      </w:r>
      <w:r>
        <w:fldChar w:fldCharType="begin"/>
      </w:r>
      <w:r>
        <w:instrText xml:space="preserve"> HYPERLINK \l "_Toc243935443" </w:instrText>
      </w:r>
      <w:r>
        <w:fldChar w:fldCharType="separate"/>
      </w:r>
      <w:r>
        <w:rPr>
          <w:rStyle w:val="24"/>
          <w:rFonts w:hint="eastAsia" w:ascii="Times New Roman" w:hAnsi="Times New Roman" w:eastAsia="黑体" w:cs="Times New Roman"/>
        </w:rPr>
        <w:t>摘要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_Toc243935443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C1CA906">
      <w:pPr>
        <w:pStyle w:val="21"/>
        <w:tabs>
          <w:tab w:val="right" w:leader="dot" w:pos="8630"/>
        </w:tabs>
        <w:spacing w:after="0"/>
        <w:ind w:left="480"/>
        <w:rPr>
          <w:kern w:val="2"/>
          <w:sz w:val="22"/>
          <w:lang w:eastAsia="zh-CN"/>
          <w14:ligatures w14:val="standardContextual"/>
        </w:rPr>
      </w:pPr>
      <w:r>
        <w:fldChar w:fldCharType="begin"/>
      </w:r>
      <w:r>
        <w:instrText xml:space="preserve"> HYPERLINK \l "_Toc243935444" </w:instrText>
      </w:r>
      <w:r>
        <w:fldChar w:fldCharType="separate"/>
      </w:r>
      <w:r>
        <w:rPr>
          <w:rStyle w:val="24"/>
          <w:rFonts w:hint="eastAsia" w:ascii="Times New Roman" w:hAnsi="Times New Roman" w:eastAsia="黑体" w:cs="Times New Roman"/>
        </w:rPr>
        <w:t>1. 任务与数据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_Toc243935444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28D2971">
      <w:pPr>
        <w:pStyle w:val="14"/>
        <w:tabs>
          <w:tab w:val="right" w:leader="dot" w:pos="8630"/>
        </w:tabs>
        <w:spacing w:after="0"/>
        <w:ind w:left="960"/>
        <w:rPr>
          <w:kern w:val="2"/>
          <w:sz w:val="22"/>
          <w:lang w:eastAsia="zh-CN"/>
          <w14:ligatures w14:val="standardContextual"/>
        </w:rPr>
      </w:pPr>
      <w:r>
        <w:fldChar w:fldCharType="begin"/>
      </w:r>
      <w:r>
        <w:instrText xml:space="preserve"> HYPERLINK \l "_Toc243935445" </w:instrText>
      </w:r>
      <w:r>
        <w:fldChar w:fldCharType="separate"/>
      </w:r>
      <w:r>
        <w:rPr>
          <w:rStyle w:val="24"/>
          <w:rFonts w:hint="eastAsia" w:ascii="Times New Roman" w:hAnsi="Times New Roman" w:eastAsia="黑体" w:cs="Times New Roman"/>
        </w:rPr>
        <w:t>1.1 任务描述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_Toc243935445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C7B9ADB">
      <w:pPr>
        <w:pStyle w:val="14"/>
        <w:tabs>
          <w:tab w:val="right" w:leader="dot" w:pos="8630"/>
        </w:tabs>
        <w:spacing w:after="0"/>
        <w:ind w:left="960"/>
        <w:rPr>
          <w:kern w:val="2"/>
          <w:sz w:val="22"/>
          <w:lang w:eastAsia="zh-CN"/>
          <w14:ligatures w14:val="standardContextual"/>
        </w:rPr>
      </w:pPr>
      <w:r>
        <w:fldChar w:fldCharType="begin"/>
      </w:r>
      <w:r>
        <w:instrText xml:space="preserve"> HYPERLINK \l "_Toc243935446" </w:instrText>
      </w:r>
      <w:r>
        <w:fldChar w:fldCharType="separate"/>
      </w:r>
      <w:r>
        <w:rPr>
          <w:rStyle w:val="24"/>
          <w:rFonts w:hint="eastAsia" w:ascii="Times New Roman" w:hAnsi="Times New Roman" w:eastAsia="黑体" w:cs="Times New Roman"/>
        </w:rPr>
        <w:t>1.2 数据集实测情况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_Toc243935446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CF0B659">
      <w:pPr>
        <w:pStyle w:val="14"/>
        <w:tabs>
          <w:tab w:val="right" w:leader="dot" w:pos="8630"/>
        </w:tabs>
        <w:spacing w:after="0"/>
        <w:ind w:left="960"/>
        <w:rPr>
          <w:kern w:val="2"/>
          <w:sz w:val="22"/>
          <w:lang w:eastAsia="zh-CN"/>
          <w14:ligatures w14:val="standardContextual"/>
        </w:rPr>
      </w:pPr>
      <w:r>
        <w:fldChar w:fldCharType="begin"/>
      </w:r>
      <w:r>
        <w:instrText xml:space="preserve"> HYPERLINK \l "_Toc243935447" </w:instrText>
      </w:r>
      <w:r>
        <w:fldChar w:fldCharType="separate"/>
      </w:r>
      <w:r>
        <w:rPr>
          <w:rStyle w:val="24"/>
          <w:rFonts w:hint="eastAsia" w:ascii="Times New Roman" w:hAnsi="Times New Roman" w:eastAsia="黑体" w:cs="Times New Roman"/>
        </w:rPr>
        <w:t>1.3 训练数据扩充：引入 SBD 增强集（性能提升的主要来源）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_Toc243935447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99058AA">
      <w:pPr>
        <w:pStyle w:val="21"/>
        <w:tabs>
          <w:tab w:val="right" w:leader="dot" w:pos="8630"/>
        </w:tabs>
        <w:spacing w:after="0"/>
        <w:ind w:left="480"/>
        <w:rPr>
          <w:kern w:val="2"/>
          <w:sz w:val="22"/>
          <w:lang w:eastAsia="zh-CN"/>
          <w14:ligatures w14:val="standardContextual"/>
        </w:rPr>
      </w:pPr>
      <w:r>
        <w:fldChar w:fldCharType="begin"/>
      </w:r>
      <w:r>
        <w:instrText xml:space="preserve"> HYPERLINK \l "_Toc243935448" </w:instrText>
      </w:r>
      <w:r>
        <w:fldChar w:fldCharType="separate"/>
      </w:r>
      <w:r>
        <w:rPr>
          <w:rStyle w:val="24"/>
          <w:rFonts w:hint="eastAsia" w:ascii="Times New Roman" w:hAnsi="Times New Roman" w:eastAsia="黑体" w:cs="Times New Roman"/>
        </w:rPr>
        <w:t>2. 数据处理与加载方法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_Toc243935448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1A62D8D">
      <w:pPr>
        <w:pStyle w:val="21"/>
        <w:tabs>
          <w:tab w:val="right" w:leader="dot" w:pos="8630"/>
        </w:tabs>
        <w:spacing w:after="0"/>
        <w:ind w:left="480"/>
        <w:rPr>
          <w:kern w:val="2"/>
          <w:sz w:val="22"/>
          <w:lang w:eastAsia="zh-CN"/>
          <w14:ligatures w14:val="standardContextual"/>
        </w:rPr>
      </w:pPr>
      <w:r>
        <w:fldChar w:fldCharType="begin"/>
      </w:r>
      <w:r>
        <w:instrText xml:space="preserve"> HYPERLINK \l "_Toc243935449" </w:instrText>
      </w:r>
      <w:r>
        <w:fldChar w:fldCharType="separate"/>
      </w:r>
      <w:r>
        <w:rPr>
          <w:rStyle w:val="24"/>
          <w:rFonts w:hint="eastAsia" w:ascii="Times New Roman" w:hAnsi="Times New Roman" w:eastAsia="黑体" w:cs="Times New Roman"/>
        </w:rPr>
        <w:t>3. 模型设计原理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_Toc243935449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F2E521C">
      <w:pPr>
        <w:pStyle w:val="14"/>
        <w:tabs>
          <w:tab w:val="right" w:leader="dot" w:pos="8630"/>
        </w:tabs>
        <w:spacing w:after="0"/>
        <w:ind w:left="960"/>
        <w:rPr>
          <w:kern w:val="2"/>
          <w:sz w:val="22"/>
          <w:lang w:eastAsia="zh-CN"/>
          <w14:ligatures w14:val="standardContextual"/>
        </w:rPr>
      </w:pPr>
      <w:r>
        <w:fldChar w:fldCharType="begin"/>
      </w:r>
      <w:r>
        <w:instrText xml:space="preserve"> HYPERLINK \l "_Toc243935450" </w:instrText>
      </w:r>
      <w:r>
        <w:fldChar w:fldCharType="separate"/>
      </w:r>
      <w:r>
        <w:rPr>
          <w:rStyle w:val="24"/>
          <w:rFonts w:hint="eastAsia" w:ascii="Times New Roman" w:hAnsi="Times New Roman" w:eastAsia="黑体" w:cs="Times New Roman"/>
        </w:rPr>
        <w:t>3.1 基线：DeepLabV3-ResNet50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_Toc243935450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F10FED8">
      <w:pPr>
        <w:pStyle w:val="14"/>
        <w:tabs>
          <w:tab w:val="right" w:leader="dot" w:pos="8630"/>
        </w:tabs>
        <w:spacing w:after="0"/>
        <w:ind w:left="960"/>
        <w:rPr>
          <w:kern w:val="2"/>
          <w:sz w:val="22"/>
          <w:lang w:eastAsia="zh-CN"/>
          <w14:ligatures w14:val="standardContextual"/>
        </w:rPr>
      </w:pPr>
      <w:r>
        <w:fldChar w:fldCharType="begin"/>
      </w:r>
      <w:r>
        <w:instrText xml:space="preserve"> HYPERLINK \l "_Toc243935451" </w:instrText>
      </w:r>
      <w:r>
        <w:fldChar w:fldCharType="separate"/>
      </w:r>
      <w:r>
        <w:rPr>
          <w:rStyle w:val="24"/>
          <w:rFonts w:hint="eastAsia" w:ascii="Times New Roman" w:hAnsi="Times New Roman" w:eastAsia="黑体" w:cs="Times New Roman"/>
        </w:rPr>
        <w:t>3.2 自研模块：LFCA 解码器（低层特征融合 + 通道注意力）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_Toc243935451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A0D9C48">
      <w:pPr>
        <w:pStyle w:val="21"/>
        <w:tabs>
          <w:tab w:val="right" w:leader="dot" w:pos="8630"/>
        </w:tabs>
        <w:spacing w:after="0"/>
        <w:ind w:left="480"/>
        <w:rPr>
          <w:kern w:val="2"/>
          <w:sz w:val="22"/>
          <w:lang w:eastAsia="zh-CN"/>
          <w14:ligatures w14:val="standardContextual"/>
        </w:rPr>
      </w:pPr>
      <w:r>
        <w:fldChar w:fldCharType="begin"/>
      </w:r>
      <w:r>
        <w:instrText xml:space="preserve"> HYPERLINK \l "_Toc243935452" </w:instrText>
      </w:r>
      <w:r>
        <w:fldChar w:fldCharType="separate"/>
      </w:r>
      <w:r>
        <w:rPr>
          <w:rStyle w:val="24"/>
          <w:rFonts w:hint="eastAsia" w:ascii="Times New Roman" w:hAnsi="Times New Roman" w:eastAsia="黑体" w:cs="Times New Roman"/>
        </w:rPr>
        <w:t>4. 训练与调参方法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_Toc243935452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7313AA3">
      <w:pPr>
        <w:pStyle w:val="14"/>
        <w:tabs>
          <w:tab w:val="right" w:leader="dot" w:pos="8630"/>
        </w:tabs>
        <w:spacing w:after="0"/>
        <w:ind w:left="960"/>
        <w:rPr>
          <w:kern w:val="2"/>
          <w:sz w:val="22"/>
          <w:lang w:eastAsia="zh-CN"/>
          <w14:ligatures w14:val="standardContextual"/>
        </w:rPr>
      </w:pPr>
      <w:r>
        <w:fldChar w:fldCharType="begin"/>
      </w:r>
      <w:r>
        <w:instrText xml:space="preserve"> HYPERLINK \l "_Toc243935453" </w:instrText>
      </w:r>
      <w:r>
        <w:fldChar w:fldCharType="separate"/>
      </w:r>
      <w:r>
        <w:rPr>
          <w:rStyle w:val="24"/>
          <w:rFonts w:hint="eastAsia" w:ascii="Times New Roman" w:hAnsi="Times New Roman" w:eastAsia="黑体" w:cs="Times New Roman"/>
        </w:rPr>
        <w:t>4.1 配置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_Toc243935453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6A3802A">
      <w:pPr>
        <w:pStyle w:val="14"/>
        <w:tabs>
          <w:tab w:val="right" w:leader="dot" w:pos="8630"/>
        </w:tabs>
        <w:spacing w:after="0"/>
        <w:ind w:left="960"/>
        <w:rPr>
          <w:kern w:val="2"/>
          <w:sz w:val="22"/>
          <w:lang w:eastAsia="zh-CN"/>
          <w14:ligatures w14:val="standardContextual"/>
        </w:rPr>
      </w:pPr>
      <w:r>
        <w:fldChar w:fldCharType="begin"/>
      </w:r>
      <w:r>
        <w:instrText xml:space="preserve"> HYPERLINK \l "_Toc243935454" </w:instrText>
      </w:r>
      <w:r>
        <w:fldChar w:fldCharType="separate"/>
      </w:r>
      <w:r>
        <w:rPr>
          <w:rStyle w:val="24"/>
          <w:rFonts w:hint="eastAsia" w:ascii="Times New Roman" w:hAnsi="Times New Roman" w:eastAsia="黑体" w:cs="Times New Roman"/>
        </w:rPr>
        <w:t>4.2 调参过程与依据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_Toc243935454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978BC40">
      <w:pPr>
        <w:pStyle w:val="21"/>
        <w:tabs>
          <w:tab w:val="right" w:leader="dot" w:pos="8630"/>
        </w:tabs>
        <w:spacing w:after="0"/>
        <w:ind w:left="480"/>
        <w:rPr>
          <w:kern w:val="2"/>
          <w:sz w:val="22"/>
          <w:lang w:eastAsia="zh-CN"/>
          <w14:ligatures w14:val="standardContextual"/>
        </w:rPr>
      </w:pPr>
      <w:r>
        <w:fldChar w:fldCharType="begin"/>
      </w:r>
      <w:r>
        <w:instrText xml:space="preserve"> HYPERLINK \l "_Toc243935455" </w:instrText>
      </w:r>
      <w:r>
        <w:fldChar w:fldCharType="separate"/>
      </w:r>
      <w:r>
        <w:rPr>
          <w:rStyle w:val="24"/>
          <w:rFonts w:hint="eastAsia" w:ascii="Times New Roman" w:hAnsi="Times New Roman" w:eastAsia="黑体" w:cs="Times New Roman"/>
        </w:rPr>
        <w:t>5. 实验结果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_Toc243935455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7DAB9CC">
      <w:pPr>
        <w:pStyle w:val="14"/>
        <w:tabs>
          <w:tab w:val="right" w:leader="dot" w:pos="8630"/>
        </w:tabs>
        <w:spacing w:after="0"/>
        <w:ind w:left="960"/>
        <w:rPr>
          <w:kern w:val="2"/>
          <w:sz w:val="22"/>
          <w:lang w:eastAsia="zh-CN"/>
          <w14:ligatures w14:val="standardContextual"/>
        </w:rPr>
      </w:pPr>
      <w:r>
        <w:fldChar w:fldCharType="begin"/>
      </w:r>
      <w:r>
        <w:instrText xml:space="preserve"> HYPERLINK \l "_Toc243935456" </w:instrText>
      </w:r>
      <w:r>
        <w:fldChar w:fldCharType="separate"/>
      </w:r>
      <w:r>
        <w:rPr>
          <w:rStyle w:val="24"/>
          <w:rFonts w:hint="eastAsia" w:ascii="Times New Roman" w:hAnsi="Times New Roman" w:eastAsia="黑体" w:cs="Times New Roman"/>
        </w:rPr>
        <w:t>5.1 指标口径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_Toc243935456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D1672B8">
      <w:pPr>
        <w:pStyle w:val="14"/>
        <w:tabs>
          <w:tab w:val="right" w:leader="dot" w:pos="8630"/>
        </w:tabs>
        <w:spacing w:after="0"/>
        <w:ind w:left="960"/>
        <w:rPr>
          <w:kern w:val="2"/>
          <w:sz w:val="22"/>
          <w:lang w:eastAsia="zh-CN"/>
          <w14:ligatures w14:val="standardContextual"/>
        </w:rPr>
      </w:pPr>
      <w:r>
        <w:fldChar w:fldCharType="begin"/>
      </w:r>
      <w:r>
        <w:instrText xml:space="preserve"> HYPERLINK \l "_Toc243935457" </w:instrText>
      </w:r>
      <w:r>
        <w:fldChar w:fldCharType="separate"/>
      </w:r>
      <w:r>
        <w:rPr>
          <w:rStyle w:val="24"/>
          <w:rFonts w:hint="eastAsia" w:ascii="Times New Roman" w:hAnsi="Times New Roman" w:eastAsia="黑体" w:cs="Times New Roman"/>
        </w:rPr>
        <w:t>5.2 主结果对比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_Toc243935457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13BCBBF">
      <w:pPr>
        <w:pStyle w:val="14"/>
        <w:tabs>
          <w:tab w:val="right" w:leader="dot" w:pos="8630"/>
        </w:tabs>
        <w:spacing w:after="0"/>
        <w:ind w:left="960"/>
        <w:rPr>
          <w:kern w:val="2"/>
          <w:sz w:val="22"/>
          <w:lang w:eastAsia="zh-CN"/>
          <w14:ligatures w14:val="standardContextual"/>
        </w:rPr>
      </w:pPr>
      <w:r>
        <w:fldChar w:fldCharType="begin"/>
      </w:r>
      <w:r>
        <w:instrText xml:space="preserve"> HYPERLINK \l "_Toc243935458" </w:instrText>
      </w:r>
      <w:r>
        <w:fldChar w:fldCharType="separate"/>
      </w:r>
      <w:r>
        <w:rPr>
          <w:rStyle w:val="24"/>
          <w:rFonts w:hint="eastAsia" w:ascii="Times New Roman" w:hAnsi="Times New Roman" w:eastAsia="黑体" w:cs="Times New Roman"/>
        </w:rPr>
        <w:t>5.3 零样本基线：预训练权重质量优于一切训练侧改动（核心发现）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_Toc243935458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E041C22">
      <w:pPr>
        <w:pStyle w:val="14"/>
        <w:tabs>
          <w:tab w:val="right" w:leader="dot" w:pos="8630"/>
        </w:tabs>
        <w:spacing w:after="0"/>
        <w:ind w:left="960"/>
        <w:rPr>
          <w:kern w:val="2"/>
          <w:sz w:val="22"/>
          <w:lang w:eastAsia="zh-CN"/>
          <w14:ligatures w14:val="standardContextual"/>
        </w:rPr>
      </w:pPr>
      <w:r>
        <w:fldChar w:fldCharType="begin"/>
      </w:r>
      <w:r>
        <w:instrText xml:space="preserve"> HYPERLINK \l "_Toc243935459" </w:instrText>
      </w:r>
      <w:r>
        <w:fldChar w:fldCharType="separate"/>
      </w:r>
      <w:r>
        <w:rPr>
          <w:rStyle w:val="24"/>
          <w:rFonts w:hint="eastAsia" w:ascii="Times New Roman" w:hAnsi="Times New Roman" w:eastAsia="黑体" w:cs="Times New Roman"/>
        </w:rPr>
        <w:t>5.4 训练侧消融实验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_Toc243935459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EB7EB3D">
      <w:pPr>
        <w:pStyle w:val="14"/>
        <w:tabs>
          <w:tab w:val="right" w:leader="dot" w:pos="8630"/>
        </w:tabs>
        <w:spacing w:after="0"/>
        <w:ind w:left="960"/>
        <w:rPr>
          <w:kern w:val="2"/>
          <w:sz w:val="22"/>
          <w:lang w:eastAsia="zh-CN"/>
          <w14:ligatures w14:val="standardContextual"/>
        </w:rPr>
      </w:pPr>
      <w:r>
        <w:fldChar w:fldCharType="begin"/>
      </w:r>
      <w:r>
        <w:instrText xml:space="preserve"> HYPERLINK \l "_Toc243935460" </w:instrText>
      </w:r>
      <w:r>
        <w:fldChar w:fldCharType="separate"/>
      </w:r>
      <w:r>
        <w:rPr>
          <w:rStyle w:val="24"/>
          <w:rFonts w:hint="eastAsia" w:ascii="Times New Roman" w:hAnsi="Times New Roman" w:eastAsia="黑体" w:cs="Times New Roman"/>
        </w:rPr>
        <w:t>5.5 推理增强 TTA 消融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_Toc243935460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0C8676B">
      <w:pPr>
        <w:pStyle w:val="14"/>
        <w:tabs>
          <w:tab w:val="right" w:leader="dot" w:pos="8630"/>
        </w:tabs>
        <w:spacing w:after="0"/>
        <w:ind w:left="960"/>
        <w:rPr>
          <w:kern w:val="2"/>
          <w:sz w:val="22"/>
          <w:lang w:eastAsia="zh-CN"/>
          <w14:ligatures w14:val="standardContextual"/>
        </w:rPr>
      </w:pPr>
      <w:r>
        <w:fldChar w:fldCharType="begin"/>
      </w:r>
      <w:r>
        <w:instrText xml:space="preserve"> HYPERLINK \l "_Toc243935461" </w:instrText>
      </w:r>
      <w:r>
        <w:fldChar w:fldCharType="separate"/>
      </w:r>
      <w:r>
        <w:rPr>
          <w:rStyle w:val="24"/>
          <w:rFonts w:hint="eastAsia" w:ascii="Times New Roman" w:hAnsi="Times New Roman" w:eastAsia="黑体" w:cs="Times New Roman"/>
        </w:rPr>
        <w:t>5.6 最终提交配置逐类 IoU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_Toc243935461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33428B3">
      <w:pPr>
        <w:pStyle w:val="14"/>
        <w:tabs>
          <w:tab w:val="right" w:leader="dot" w:pos="8630"/>
        </w:tabs>
        <w:spacing w:after="0"/>
        <w:ind w:left="960"/>
        <w:rPr>
          <w:kern w:val="2"/>
          <w:sz w:val="22"/>
          <w:lang w:eastAsia="zh-CN"/>
          <w14:ligatures w14:val="standardContextual"/>
        </w:rPr>
      </w:pPr>
      <w:r>
        <w:fldChar w:fldCharType="begin"/>
      </w:r>
      <w:r>
        <w:instrText xml:space="preserve"> HYPERLINK \l "_Toc243935462" </w:instrText>
      </w:r>
      <w:r>
        <w:fldChar w:fldCharType="separate"/>
      </w:r>
      <w:r>
        <w:rPr>
          <w:rStyle w:val="24"/>
          <w:rFonts w:hint="eastAsia" w:ascii="Times New Roman" w:hAnsi="Times New Roman" w:eastAsia="黑体" w:cs="Times New Roman"/>
        </w:rPr>
        <w:t>5.7 曲线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_Toc243935462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30A10AE">
      <w:pPr>
        <w:pStyle w:val="14"/>
        <w:tabs>
          <w:tab w:val="right" w:leader="dot" w:pos="8630"/>
        </w:tabs>
        <w:spacing w:after="0"/>
        <w:ind w:left="960"/>
        <w:rPr>
          <w:kern w:val="2"/>
          <w:sz w:val="22"/>
          <w:lang w:eastAsia="zh-CN"/>
          <w14:ligatures w14:val="standardContextual"/>
        </w:rPr>
      </w:pPr>
      <w:r>
        <w:fldChar w:fldCharType="begin"/>
      </w:r>
      <w:r>
        <w:instrText xml:space="preserve"> HYPERLINK \l "_Toc243935463" </w:instrText>
      </w:r>
      <w:r>
        <w:fldChar w:fldCharType="separate"/>
      </w:r>
      <w:r>
        <w:rPr>
          <w:rStyle w:val="24"/>
          <w:rFonts w:hint="eastAsia" w:ascii="Times New Roman" w:hAnsi="Times New Roman" w:eastAsia="黑体" w:cs="Times New Roman"/>
        </w:rPr>
        <w:t>5.8 检测辅助融合尝试（YOLOv8-seg）与消融结论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_Toc243935463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42EA449">
      <w:pPr>
        <w:pStyle w:val="14"/>
        <w:tabs>
          <w:tab w:val="right" w:leader="dot" w:pos="8630"/>
        </w:tabs>
        <w:spacing w:after="0"/>
        <w:ind w:left="960"/>
        <w:rPr>
          <w:kern w:val="2"/>
          <w:sz w:val="22"/>
          <w:lang w:eastAsia="zh-CN"/>
          <w14:ligatures w14:val="standardContextual"/>
        </w:rPr>
      </w:pPr>
      <w:r>
        <w:fldChar w:fldCharType="begin"/>
      </w:r>
      <w:r>
        <w:instrText xml:space="preserve"> HYPERLINK \l "_Toc243935464" </w:instrText>
      </w:r>
      <w:r>
        <w:fldChar w:fldCharType="separate"/>
      </w:r>
      <w:r>
        <w:rPr>
          <w:rStyle w:val="24"/>
          <w:rFonts w:hint="eastAsia" w:ascii="Times New Roman" w:hAnsi="Times New Roman" w:eastAsia="黑体" w:cs="Times New Roman"/>
        </w:rPr>
        <w:t>5.9 多模型概率集成（最终性能提升的核心）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_Toc243935464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C616824">
      <w:pPr>
        <w:pStyle w:val="14"/>
        <w:tabs>
          <w:tab w:val="right" w:leader="dot" w:pos="8630"/>
        </w:tabs>
        <w:spacing w:after="0"/>
        <w:ind w:left="960"/>
        <w:rPr>
          <w:kern w:val="2"/>
          <w:sz w:val="22"/>
          <w:lang w:eastAsia="zh-CN"/>
          <w14:ligatures w14:val="standardContextual"/>
        </w:rPr>
      </w:pPr>
      <w:r>
        <w:fldChar w:fldCharType="begin"/>
      </w:r>
      <w:r>
        <w:instrText xml:space="preserve"> HYPERLINK \l "_Toc243935465" </w:instrText>
      </w:r>
      <w:r>
        <w:fldChar w:fldCharType="separate"/>
      </w:r>
      <w:r>
        <w:rPr>
          <w:rStyle w:val="24"/>
          <w:rFonts w:hint="eastAsia" w:ascii="Times New Roman" w:hAnsi="Times New Roman" w:eastAsia="黑体" w:cs="Times New Roman"/>
        </w:rPr>
        <w:t>5.10 BN 统计量分析与域自适应尝试（负结果）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_Toc243935465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FE4E02D">
      <w:pPr>
        <w:pStyle w:val="14"/>
        <w:tabs>
          <w:tab w:val="right" w:leader="dot" w:pos="8630"/>
        </w:tabs>
        <w:spacing w:after="0"/>
        <w:ind w:left="960"/>
        <w:rPr>
          <w:kern w:val="2"/>
          <w:sz w:val="22"/>
          <w:lang w:eastAsia="zh-CN"/>
          <w14:ligatures w14:val="standardContextual"/>
        </w:rPr>
      </w:pPr>
      <w:r>
        <w:fldChar w:fldCharType="begin"/>
      </w:r>
      <w:r>
        <w:instrText xml:space="preserve"> HYPERLINK \l "_Toc243935466" </w:instrText>
      </w:r>
      <w:r>
        <w:fldChar w:fldCharType="separate"/>
      </w:r>
      <w:r>
        <w:rPr>
          <w:rStyle w:val="24"/>
          <w:rFonts w:hint="eastAsia" w:ascii="Times New Roman" w:hAnsi="Times New Roman" w:eastAsia="黑体" w:cs="Times New Roman"/>
        </w:rPr>
        <w:t>5.11 独立评估集上的泛化验证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_Toc243935466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A7919E7">
      <w:pPr>
        <w:pStyle w:val="14"/>
        <w:tabs>
          <w:tab w:val="right" w:leader="dot" w:pos="8630"/>
        </w:tabs>
        <w:spacing w:after="0"/>
        <w:ind w:left="960"/>
        <w:rPr>
          <w:kern w:val="2"/>
          <w:sz w:val="22"/>
          <w:lang w:eastAsia="zh-CN"/>
          <w14:ligatures w14:val="standardContextual"/>
        </w:rPr>
      </w:pPr>
      <w:r>
        <w:fldChar w:fldCharType="begin"/>
      </w:r>
      <w:r>
        <w:instrText xml:space="preserve"> HYPERLINK \l "_Toc243935467" </w:instrText>
      </w:r>
      <w:r>
        <w:fldChar w:fldCharType="separate"/>
      </w:r>
      <w:r>
        <w:rPr>
          <w:rStyle w:val="24"/>
          <w:rFonts w:hint="eastAsia" w:ascii="Times New Roman" w:hAnsi="Times New Roman" w:eastAsia="黑体" w:cs="Times New Roman"/>
        </w:rPr>
        <w:t>5.12 轻量微调的严格对照与成员增补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_Toc243935467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2E3A0EA">
      <w:pPr>
        <w:pStyle w:val="14"/>
        <w:tabs>
          <w:tab w:val="right" w:leader="dot" w:pos="8630"/>
        </w:tabs>
        <w:spacing w:after="0"/>
        <w:ind w:left="960"/>
        <w:rPr>
          <w:kern w:val="2"/>
          <w:sz w:val="22"/>
          <w:lang w:eastAsia="zh-CN"/>
          <w14:ligatures w14:val="standardContextual"/>
        </w:rPr>
      </w:pPr>
      <w:r>
        <w:fldChar w:fldCharType="begin"/>
      </w:r>
      <w:r>
        <w:instrText xml:space="preserve"> HYPERLINK \l "_Toc243935468" </w:instrText>
      </w:r>
      <w:r>
        <w:fldChar w:fldCharType="separate"/>
      </w:r>
      <w:r>
        <w:rPr>
          <w:rStyle w:val="24"/>
          <w:rFonts w:hint="eastAsia" w:ascii="Times New Roman" w:hAnsi="Times New Roman" w:eastAsia="黑体" w:cs="Times New Roman"/>
        </w:rPr>
        <w:t>5.13 其余负结果的汇总与交叉验证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_Toc243935468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1A0FD5C">
      <w:pPr>
        <w:pStyle w:val="21"/>
        <w:tabs>
          <w:tab w:val="right" w:leader="dot" w:pos="8630"/>
        </w:tabs>
        <w:spacing w:after="0"/>
        <w:ind w:left="480"/>
        <w:rPr>
          <w:kern w:val="2"/>
          <w:sz w:val="22"/>
          <w:lang w:eastAsia="zh-CN"/>
          <w14:ligatures w14:val="standardContextual"/>
        </w:rPr>
      </w:pPr>
      <w:r>
        <w:fldChar w:fldCharType="begin"/>
      </w:r>
      <w:r>
        <w:instrText xml:space="preserve"> HYPERLINK \l "_Toc243935469" </w:instrText>
      </w:r>
      <w:r>
        <w:fldChar w:fldCharType="separate"/>
      </w:r>
      <w:r>
        <w:rPr>
          <w:rStyle w:val="24"/>
          <w:rFonts w:hint="eastAsia" w:ascii="Times New Roman" w:hAnsi="Times New Roman" w:eastAsia="黑体" w:cs="Times New Roman"/>
        </w:rPr>
        <w:t>6. 测试集预测与提交格式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_Toc243935469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8248FC9">
      <w:pPr>
        <w:pStyle w:val="14"/>
        <w:tabs>
          <w:tab w:val="right" w:leader="dot" w:pos="8630"/>
        </w:tabs>
        <w:spacing w:after="0"/>
        <w:ind w:left="960"/>
        <w:rPr>
          <w:kern w:val="2"/>
          <w:sz w:val="22"/>
          <w:lang w:eastAsia="zh-CN"/>
          <w14:ligatures w14:val="standardContextual"/>
        </w:rPr>
      </w:pPr>
      <w:r>
        <w:fldChar w:fldCharType="begin"/>
      </w:r>
      <w:r>
        <w:instrText xml:space="preserve"> HYPERLINK \l "_Toc243935470" </w:instrText>
      </w:r>
      <w:r>
        <w:fldChar w:fldCharType="separate"/>
      </w:r>
      <w:r>
        <w:rPr>
          <w:rStyle w:val="24"/>
          <w:rFonts w:hint="eastAsia" w:ascii="Times New Roman" w:hAnsi="Times New Roman" w:eastAsia="黑体" w:cs="Times New Roman"/>
        </w:rPr>
        <w:t>6.1 测试集预测类别分布（400 张，4 模型加权集成 + 5 尺度 TTA）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_Toc243935470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DACD1EE">
      <w:pPr>
        <w:pStyle w:val="21"/>
        <w:tabs>
          <w:tab w:val="right" w:leader="dot" w:pos="8630"/>
        </w:tabs>
        <w:spacing w:after="0"/>
        <w:ind w:left="480"/>
        <w:rPr>
          <w:kern w:val="2"/>
          <w:sz w:val="22"/>
          <w:lang w:eastAsia="zh-CN"/>
          <w14:ligatures w14:val="standardContextual"/>
        </w:rPr>
      </w:pPr>
      <w:r>
        <w:fldChar w:fldCharType="begin"/>
      </w:r>
      <w:r>
        <w:instrText xml:space="preserve"> HYPERLINK \l "_Toc243935471" </w:instrText>
      </w:r>
      <w:r>
        <w:fldChar w:fldCharType="separate"/>
      </w:r>
      <w:r>
        <w:rPr>
          <w:rStyle w:val="24"/>
          <w:rFonts w:hint="eastAsia" w:ascii="Times New Roman" w:hAnsi="Times New Roman" w:eastAsia="黑体" w:cs="Times New Roman"/>
        </w:rPr>
        <w:t>7. 误差分析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_Toc243935471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9FE9557">
      <w:pPr>
        <w:pStyle w:val="21"/>
        <w:tabs>
          <w:tab w:val="right" w:leader="dot" w:pos="8630"/>
        </w:tabs>
        <w:spacing w:after="0"/>
        <w:ind w:left="480"/>
        <w:rPr>
          <w:kern w:val="2"/>
          <w:sz w:val="22"/>
          <w:lang w:eastAsia="zh-CN"/>
          <w14:ligatures w14:val="standardContextual"/>
        </w:rPr>
      </w:pPr>
      <w:r>
        <w:fldChar w:fldCharType="begin"/>
      </w:r>
      <w:r>
        <w:instrText xml:space="preserve"> HYPERLINK \l "_Toc243935472" </w:instrText>
      </w:r>
      <w:r>
        <w:fldChar w:fldCharType="separate"/>
      </w:r>
      <w:r>
        <w:rPr>
          <w:rStyle w:val="24"/>
          <w:rFonts w:hint="eastAsia" w:ascii="Times New Roman" w:hAnsi="Times New Roman" w:eastAsia="黑体" w:cs="Times New Roman"/>
        </w:rPr>
        <w:t>8. 复现说明与资源声明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_Toc243935472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6B40A70">
      <w:pPr>
        <w:pStyle w:val="21"/>
        <w:tabs>
          <w:tab w:val="right" w:leader="dot" w:pos="8630"/>
        </w:tabs>
        <w:spacing w:after="0"/>
        <w:ind w:left="480"/>
        <w:rPr>
          <w:kern w:val="2"/>
          <w:sz w:val="22"/>
          <w:lang w:eastAsia="zh-CN"/>
          <w14:ligatures w14:val="standardContextual"/>
        </w:rPr>
      </w:pPr>
      <w:r>
        <w:fldChar w:fldCharType="begin"/>
      </w:r>
      <w:r>
        <w:instrText xml:space="preserve"> HYPERLINK \l "_Toc243935473" </w:instrText>
      </w:r>
      <w:r>
        <w:fldChar w:fldCharType="separate"/>
      </w:r>
      <w:r>
        <w:rPr>
          <w:rStyle w:val="24"/>
          <w:rFonts w:hint="eastAsia" w:ascii="Times New Roman" w:hAnsi="Times New Roman" w:eastAsia="黑体" w:cs="Times New Roman"/>
        </w:rPr>
        <w:t>参考文献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_Toc243935473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40150BE">
      <w:r>
        <w:fldChar w:fldCharType="end"/>
      </w:r>
    </w:p>
    <w:p w14:paraId="61834BA2">
      <w:pPr>
        <w:pStyle w:val="4"/>
        <w:keepNext/>
        <w:pageBreakBefore/>
        <w:spacing w:before="320" w:after="160" w:line="312" w:lineRule="auto"/>
      </w:pPr>
      <w:bookmarkStart w:id="4" w:name="_Toc243935444"/>
      <w:r>
        <w:rPr>
          <w:rFonts w:ascii="Times New Roman" w:hAnsi="Times New Roman" w:eastAsia="黑体" w:cs="Times New Roman"/>
        </w:rPr>
        <w:t>1. 任务与数据</w:t>
      </w:r>
      <w:bookmarkEnd w:id="4"/>
    </w:p>
    <w:p w14:paraId="04F9720D">
      <w:pPr>
        <w:pStyle w:val="5"/>
        <w:keepNext/>
        <w:spacing w:before="240" w:after="120" w:line="312" w:lineRule="auto"/>
      </w:pPr>
      <w:bookmarkStart w:id="5" w:name="_Toc243935445"/>
      <w:bookmarkStart w:id="6" w:name="任务描述"/>
      <w:r>
        <w:rPr>
          <w:rFonts w:ascii="Times New Roman" w:hAnsi="Times New Roman" w:eastAsia="黑体" w:cs="Times New Roman"/>
        </w:rPr>
        <w:t>1.1 任务描述</w:t>
      </w:r>
      <w:bookmarkEnd w:id="5"/>
    </w:p>
    <w:p w14:paraId="70991B49">
      <w:pPr>
        <w:pStyle w:val="27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>使用 Pascal VOC2012 数据集训练语义分割模型，对给定的 400 张测试图像推理，输出</w:t>
      </w:r>
      <w:r>
        <w:rPr>
          <w:rFonts w:ascii="Times New Roman" w:hAnsi="Times New Roman" w:eastAsia="宋体" w:cs="Times New Roman"/>
          <w:b/>
          <w:bCs/>
        </w:rPr>
        <w:t>单通道灰度 mask</w:t>
      </w:r>
      <w:r>
        <w:rPr>
          <w:rFonts w:ascii="Times New Roman" w:hAnsi="Times New Roman" w:eastAsia="宋体" w:cs="Times New Roman"/>
        </w:rPr>
        <w:t xml:space="preserve">（像素值 0–20 的类别编号，尺寸还原原图），并用 </w:t>
      </w:r>
      <w:r>
        <w:rPr>
          <w:rFonts w:ascii="Times New Roman" w:hAnsi="Times New Roman" w:eastAsia="宋体" w:cs="Times New Roman"/>
          <w:b/>
          <w:bCs/>
        </w:rPr>
        <w:t>TensorBoard</w:t>
      </w:r>
      <w:r>
        <w:rPr>
          <w:rFonts w:ascii="Times New Roman" w:hAnsi="Times New Roman" w:eastAsia="宋体" w:cs="Times New Roman"/>
        </w:rPr>
        <w:t xml:space="preserve"> 记录整个训练过程。</w:t>
      </w:r>
    </w:p>
    <w:p w14:paraId="3CB8B30F">
      <w:pPr>
        <w:pStyle w:val="3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 xml:space="preserve">本报告完整记录了从基线训练、数据扩充、自研模块，到最终发现「零样本预训练权重 + 混合集成」路线的全过程。所有训练实验（含 TensorBoard 日志）均保留为过程证据，最终提交配置为 </w:t>
      </w:r>
      <w:r>
        <w:rPr>
          <w:rFonts w:ascii="Times New Roman" w:hAnsi="Times New Roman" w:eastAsia="宋体" w:cs="Times New Roman"/>
          <w:b/>
          <w:bCs/>
        </w:rPr>
        <w:t>2 个零样本预训练模型 + 2 个自训练模型的 4 模型加权混合集成 + 5 尺度 TTA</w:t>
      </w:r>
      <w:r>
        <w:rPr>
          <w:rFonts w:ascii="Times New Roman" w:hAnsi="Times New Roman" w:eastAsia="宋体" w:cs="Times New Roman"/>
        </w:rPr>
        <w:t>（VOC val mIoU 0.8195，独立评估集 SBD-val 0.7730）。</w:t>
      </w:r>
    </w:p>
    <w:bookmarkEnd w:id="6"/>
    <w:p w14:paraId="14BA23E3">
      <w:pPr>
        <w:pStyle w:val="5"/>
        <w:keepNext/>
        <w:spacing w:before="240" w:after="120" w:line="312" w:lineRule="auto"/>
      </w:pPr>
      <w:bookmarkStart w:id="7" w:name="_Toc243935446"/>
      <w:bookmarkStart w:id="8" w:name="数据集实测情况"/>
      <w:r>
        <w:rPr>
          <w:rFonts w:ascii="Times New Roman" w:hAnsi="Times New Roman" w:eastAsia="黑体" w:cs="Times New Roman"/>
        </w:rPr>
        <w:t>1.2 数据集实测情况</w:t>
      </w:r>
      <w:bookmarkEnd w:id="7"/>
    </w:p>
    <w:p w14:paraId="43FF8259">
      <w:pPr>
        <w:pStyle w:val="27"/>
        <w:keepNext/>
        <w:spacing w:before="80" w:after="200" w:line="420" w:lineRule="auto"/>
        <w:jc w:val="center"/>
      </w:pPr>
      <w:r>
        <w:rPr>
          <w:rFonts w:ascii="Times New Roman" w:hAnsi="Times New Roman" w:eastAsia="宋体" w:cs="Times New Roman"/>
          <w:bCs/>
          <w:sz w:val="21"/>
        </w:rPr>
        <w:t>表 1-1　Pascal VOC2012 数据集实测情况</w:t>
      </w:r>
    </w:p>
    <w:tbl>
      <w:tblPr>
        <w:tblStyle w:val="32"/>
        <w:tblW w:w="8640" w:type="dxa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1"/>
        <w:gridCol w:w="6879"/>
      </w:tblGrid>
      <w:tr w14:paraId="4BAED2D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61" w:type="dxa"/>
            <w:tcBorders>
              <w:bottom w:val="single" w:color="000000" w:sz="6" w:space="0"/>
            </w:tcBorders>
            <w:vAlign w:val="bottom"/>
          </w:tcPr>
          <w:p w14:paraId="3C3863BA">
            <w:pPr>
              <w:pStyle w:val="28"/>
            </w:pPr>
            <w:r>
              <w:t>项目</w:t>
            </w:r>
          </w:p>
        </w:tc>
        <w:tc>
          <w:tcPr>
            <w:tcW w:w="6879" w:type="dxa"/>
            <w:tcBorders>
              <w:bottom w:val="single" w:color="000000" w:sz="6" w:space="0"/>
            </w:tcBorders>
            <w:vAlign w:val="bottom"/>
          </w:tcPr>
          <w:p w14:paraId="5A56B6C7">
            <w:pPr>
              <w:pStyle w:val="28"/>
            </w:pPr>
            <w:r>
              <w:t>实测结果</w:t>
            </w:r>
          </w:p>
        </w:tc>
      </w:tr>
      <w:tr w14:paraId="0F1C15C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61" w:type="dxa"/>
          </w:tcPr>
          <w:p w14:paraId="0CDABD06">
            <w:pPr>
              <w:pStyle w:val="28"/>
            </w:pPr>
            <w:r>
              <w:t>图像</w:t>
            </w:r>
          </w:p>
        </w:tc>
        <w:tc>
          <w:tcPr>
            <w:tcW w:w="6879" w:type="dxa"/>
          </w:tcPr>
          <w:p w14:paraId="3E9256E3">
            <w:pPr>
              <w:pStyle w:val="28"/>
            </w:pPr>
            <w:r>
              <w:rPr>
                <w:rStyle w:val="39"/>
              </w:rPr>
              <w:t>JPEGImages/</w:t>
            </w:r>
            <w:r>
              <w:t xml:space="preserve"> 17125 张</w:t>
            </w:r>
          </w:p>
        </w:tc>
      </w:tr>
      <w:tr w14:paraId="7531777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61" w:type="dxa"/>
          </w:tcPr>
          <w:p w14:paraId="437C9942">
            <w:pPr>
              <w:pStyle w:val="28"/>
            </w:pPr>
            <w:r>
              <w:rPr>
                <w:b/>
                <w:bCs/>
              </w:rPr>
              <w:t>带像素级标签的样本</w:t>
            </w:r>
          </w:p>
        </w:tc>
        <w:tc>
          <w:tcPr>
            <w:tcW w:w="6879" w:type="dxa"/>
          </w:tcPr>
          <w:p w14:paraId="1E105FA1">
            <w:pPr>
              <w:pStyle w:val="28"/>
            </w:pPr>
            <w:r>
              <w:rPr>
                <w:rStyle w:val="39"/>
              </w:rPr>
              <w:t>SegmentationClass/</w:t>
            </w:r>
            <w:r>
              <w:t xml:space="preserve"> </w:t>
            </w:r>
            <w:r>
              <w:rPr>
                <w:b/>
                <w:bCs/>
              </w:rPr>
              <w:t>2913 张</w:t>
            </w:r>
          </w:p>
        </w:tc>
      </w:tr>
      <w:tr w14:paraId="0509DE6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61" w:type="dxa"/>
          </w:tcPr>
          <w:p w14:paraId="05C19B47">
            <w:pPr>
              <w:pStyle w:val="28"/>
            </w:pPr>
            <w:r>
              <w:t>官方划分</w:t>
            </w:r>
          </w:p>
        </w:tc>
        <w:tc>
          <w:tcPr>
            <w:tcW w:w="6879" w:type="dxa"/>
          </w:tcPr>
          <w:p w14:paraId="6F6EB45A">
            <w:pPr>
              <w:pStyle w:val="28"/>
            </w:pPr>
            <w:r>
              <w:rPr>
                <w:rStyle w:val="39"/>
              </w:rPr>
              <w:t>ImageSets/Segmentation/</w:t>
            </w:r>
            <w:r>
              <w:t xml:space="preserve"> train 1464 / val 1449 / trainval 2913</w:t>
            </w:r>
          </w:p>
        </w:tc>
      </w:tr>
      <w:tr w14:paraId="3C5ACD2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61" w:type="dxa"/>
          </w:tcPr>
          <w:p w14:paraId="66A6CDA4">
            <w:pPr>
              <w:pStyle w:val="28"/>
            </w:pPr>
            <w:r>
              <w:t>类别</w:t>
            </w:r>
          </w:p>
        </w:tc>
        <w:tc>
          <w:tcPr>
            <w:tcW w:w="6879" w:type="dxa"/>
          </w:tcPr>
          <w:p w14:paraId="282C08D0">
            <w:pPr>
              <w:pStyle w:val="28"/>
            </w:pPr>
            <w:r>
              <w:t xml:space="preserve">21 类（20 前景 + background），边界/难例标 </w:t>
            </w:r>
            <w:r>
              <w:rPr>
                <w:b/>
                <w:bCs/>
              </w:rPr>
              <w:t>255（ignore）</w:t>
            </w:r>
          </w:p>
        </w:tc>
      </w:tr>
      <w:tr w14:paraId="03229F6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61" w:type="dxa"/>
          </w:tcPr>
          <w:p w14:paraId="027E51B4">
            <w:pPr>
              <w:pStyle w:val="28"/>
            </w:pPr>
            <w:r>
              <w:rPr>
                <w:b/>
                <w:bCs/>
              </w:rPr>
              <w:t>测试集</w:t>
            </w:r>
          </w:p>
        </w:tc>
        <w:tc>
          <w:tcPr>
            <w:tcW w:w="6879" w:type="dxa"/>
          </w:tcPr>
          <w:p w14:paraId="431120C3">
            <w:pPr>
              <w:pStyle w:val="28"/>
            </w:pPr>
            <w:r>
              <w:t xml:space="preserve">400 张，文件名 </w:t>
            </w:r>
            <w:r>
              <w:rPr>
                <w:rStyle w:val="39"/>
              </w:rPr>
              <w:t>COCO_test2014_*</w:t>
            </w:r>
            <w:r>
              <w:t xml:space="preserve"> → </w:t>
            </w:r>
            <w:r>
              <w:rPr>
                <w:b/>
                <w:bCs/>
              </w:rPr>
              <w:t>来自 MS COCO test2014，非 Pascal</w:t>
            </w:r>
            <w:r>
              <w:t>，无标签</w:t>
            </w:r>
          </w:p>
        </w:tc>
      </w:tr>
    </w:tbl>
    <w:p w14:paraId="624AE71F">
      <w:pPr>
        <w:pStyle w:val="3"/>
        <w:spacing w:before="16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  <w:b/>
          <w:bCs/>
        </w:rPr>
        <w:t>关键事实</w:t>
      </w:r>
      <w:r>
        <w:rPr>
          <w:rFonts w:ascii="Times New Roman" w:hAnsi="Times New Roman" w:eastAsia="宋体" w:cs="Times New Roman"/>
        </w:rPr>
        <w:t>：测试集来自 COCO，场景更复杂、目标更密集，与训练域（VOC）存在</w:t>
      </w:r>
      <w:r>
        <w:rPr>
          <w:rFonts w:ascii="Times New Roman" w:hAnsi="Times New Roman" w:eastAsia="宋体" w:cs="Times New Roman"/>
          <w:b/>
          <w:bCs/>
        </w:rPr>
        <w:t>域偏移</w:t>
      </w:r>
      <w:r>
        <w:rPr>
          <w:rFonts w:ascii="Times New Roman" w:hAnsi="Times New Roman" w:eastAsia="宋体" w:cs="Times New Roman"/>
        </w:rPr>
        <w:t>。因此本报告把 VOC val 上的 mIoU 作为</w:t>
      </w:r>
      <w:r>
        <w:rPr>
          <w:rFonts w:ascii="Times New Roman" w:hAnsi="Times New Roman" w:eastAsia="宋体" w:cs="Times New Roman"/>
          <w:b/>
          <w:bCs/>
        </w:rPr>
        <w:t>开发阶段相对指标</w:t>
      </w:r>
      <w:r>
        <w:rPr>
          <w:rFonts w:ascii="Times New Roman" w:hAnsi="Times New Roman" w:eastAsia="宋体" w:cs="Times New Roman"/>
        </w:rPr>
        <w:t>，并明确它不是测试集成绩的保证。</w:t>
      </w:r>
    </w:p>
    <w:bookmarkEnd w:id="8"/>
    <w:p w14:paraId="6E9177E3">
      <w:pPr>
        <w:pStyle w:val="5"/>
        <w:keepNext/>
        <w:spacing w:before="240" w:after="120" w:line="312" w:lineRule="auto"/>
      </w:pPr>
      <w:bookmarkStart w:id="9" w:name="_Toc243935447"/>
      <w:bookmarkStart w:id="10" w:name="训练数据扩充引入-sbd-增强集性能提升的主要来源"/>
      <w:r>
        <w:rPr>
          <w:rFonts w:ascii="Times New Roman" w:hAnsi="Times New Roman" w:eastAsia="黑体" w:cs="Times New Roman"/>
        </w:rPr>
        <w:t>1.3 训练数据扩充：引入 SBD 增强集（性能提升的主要来源）</w:t>
      </w:r>
      <w:bookmarkEnd w:id="9"/>
    </w:p>
    <w:p w14:paraId="5DB13853">
      <w:pPr>
        <w:pStyle w:val="27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 xml:space="preserve">VOC2012 带标签样本仅 2913 张，是性能瓶颈。为此引入 </w:t>
      </w:r>
      <w:r>
        <w:rPr>
          <w:rFonts w:ascii="Times New Roman" w:hAnsi="Times New Roman" w:eastAsia="宋体" w:cs="Times New Roman"/>
          <w:b/>
          <w:bCs/>
        </w:rPr>
        <w:t>SBD（Semantic Boundaries Dataset）</w:t>
      </w:r>
      <w:r>
        <w:rPr>
          <w:rFonts w:ascii="Times New Roman" w:hAnsi="Times New Roman" w:eastAsia="宋体" w:cs="Times New Roman"/>
        </w:rPr>
        <w:t xml:space="preserve"> 扩充训练集，其图像与语义标注源自 VOC 的派生集，可与 VOC 标签体系直接对齐。</w:t>
      </w:r>
    </w:p>
    <w:p w14:paraId="72CAA18A">
      <w:pPr>
        <w:pStyle w:val="3"/>
        <w:keepNext/>
        <w:spacing w:before="80" w:after="200" w:line="420" w:lineRule="auto"/>
        <w:jc w:val="center"/>
      </w:pPr>
      <w:r>
        <w:rPr>
          <w:rFonts w:ascii="Times New Roman" w:hAnsi="Times New Roman" w:eastAsia="宋体" w:cs="Times New Roman"/>
          <w:bCs/>
          <w:sz w:val="21"/>
        </w:rPr>
        <w:t>表 1-2　SBD 增强集引入与训练集扩充流程</w:t>
      </w:r>
    </w:p>
    <w:tbl>
      <w:tblPr>
        <w:tblStyle w:val="32"/>
        <w:tblW w:w="8640" w:type="dxa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99"/>
        <w:gridCol w:w="4741"/>
      </w:tblGrid>
      <w:tr w14:paraId="3B40F45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899" w:type="dxa"/>
            <w:tcBorders>
              <w:bottom w:val="single" w:color="000000" w:sz="6" w:space="0"/>
            </w:tcBorders>
            <w:vAlign w:val="bottom"/>
          </w:tcPr>
          <w:p w14:paraId="62A41FB8">
            <w:pPr>
              <w:pStyle w:val="28"/>
            </w:pPr>
            <w:r>
              <w:t>步骤</w:t>
            </w:r>
          </w:p>
        </w:tc>
        <w:tc>
          <w:tcPr>
            <w:tcW w:w="4741" w:type="dxa"/>
            <w:tcBorders>
              <w:bottom w:val="single" w:color="000000" w:sz="6" w:space="0"/>
            </w:tcBorders>
            <w:vAlign w:val="bottom"/>
          </w:tcPr>
          <w:p w14:paraId="4D61C7F6">
            <w:pPr>
              <w:pStyle w:val="28"/>
            </w:pPr>
            <w:r>
              <w:t>数量</w:t>
            </w:r>
          </w:p>
        </w:tc>
      </w:tr>
      <w:tr w14:paraId="33B4B92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899" w:type="dxa"/>
          </w:tcPr>
          <w:p w14:paraId="45EAB4DA">
            <w:pPr>
              <w:pStyle w:val="28"/>
            </w:pPr>
            <w:r>
              <w:t>SBD 总样本（cls/inst/img）</w:t>
            </w:r>
          </w:p>
        </w:tc>
        <w:tc>
          <w:tcPr>
            <w:tcW w:w="4741" w:type="dxa"/>
          </w:tcPr>
          <w:p w14:paraId="5828E3B7">
            <w:pPr>
              <w:pStyle w:val="28"/>
            </w:pPr>
            <w:r>
              <w:t>11355</w:t>
            </w:r>
          </w:p>
        </w:tc>
      </w:tr>
      <w:tr w14:paraId="368172D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899" w:type="dxa"/>
          </w:tcPr>
          <w:p w14:paraId="372ECBB4">
            <w:pPr>
              <w:pStyle w:val="28"/>
            </w:pPr>
            <w:r>
              <w:t>SBD 官方 train.txt</w:t>
            </w:r>
          </w:p>
        </w:tc>
        <w:tc>
          <w:tcPr>
            <w:tcW w:w="4741" w:type="dxa"/>
          </w:tcPr>
          <w:p w14:paraId="19499262">
            <w:pPr>
              <w:pStyle w:val="28"/>
            </w:pPr>
            <w:r>
              <w:t>8498</w:t>
            </w:r>
          </w:p>
        </w:tc>
      </w:tr>
      <w:tr w14:paraId="595C1C9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899" w:type="dxa"/>
          </w:tcPr>
          <w:p w14:paraId="1F1FBFFB">
            <w:pPr>
              <w:pStyle w:val="28"/>
            </w:pPr>
            <w:r>
              <w:rPr>
                <w:b/>
                <w:bCs/>
              </w:rPr>
              <w:t>与 VOC val 重叠（泄漏）→ 剔除</w:t>
            </w:r>
          </w:p>
        </w:tc>
        <w:tc>
          <w:tcPr>
            <w:tcW w:w="4741" w:type="dxa"/>
          </w:tcPr>
          <w:p w14:paraId="2014CF29">
            <w:pPr>
              <w:pStyle w:val="28"/>
            </w:pPr>
            <w:r>
              <w:rPr>
                <w:b/>
                <w:bCs/>
              </w:rPr>
              <w:t>545</w:t>
            </w:r>
          </w:p>
        </w:tc>
      </w:tr>
      <w:tr w14:paraId="47B8BB1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899" w:type="dxa"/>
          </w:tcPr>
          <w:p w14:paraId="3DC22F70">
            <w:pPr>
              <w:pStyle w:val="28"/>
            </w:pPr>
            <w:r>
              <w:t>剔除后 SBD 可用</w:t>
            </w:r>
          </w:p>
        </w:tc>
        <w:tc>
          <w:tcPr>
            <w:tcW w:w="4741" w:type="dxa"/>
          </w:tcPr>
          <w:p w14:paraId="5DA2C051">
            <w:pPr>
              <w:pStyle w:val="28"/>
            </w:pPr>
            <w:r>
              <w:t>7953</w:t>
            </w:r>
          </w:p>
        </w:tc>
      </w:tr>
      <w:tr w14:paraId="600CF80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899" w:type="dxa"/>
          </w:tcPr>
          <w:p w14:paraId="14EE4F21">
            <w:pPr>
              <w:pStyle w:val="28"/>
            </w:pPr>
            <w:r>
              <w:t>与 VOC train 重复（去重后净新增）</w:t>
            </w:r>
          </w:p>
        </w:tc>
        <w:tc>
          <w:tcPr>
            <w:tcW w:w="4741" w:type="dxa"/>
          </w:tcPr>
          <w:p w14:paraId="155E5C70">
            <w:pPr>
              <w:pStyle w:val="28"/>
            </w:pPr>
            <w:r>
              <w:t>6820</w:t>
            </w:r>
          </w:p>
        </w:tc>
      </w:tr>
      <w:tr w14:paraId="599EFF7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899" w:type="dxa"/>
          </w:tcPr>
          <w:p w14:paraId="6C94C983">
            <w:pPr>
              <w:pStyle w:val="28"/>
            </w:pPr>
            <w:r>
              <w:rPr>
                <w:b/>
                <w:bCs/>
              </w:rPr>
              <w:t>最终扩充训练集 train_aug</w:t>
            </w:r>
          </w:p>
        </w:tc>
        <w:tc>
          <w:tcPr>
            <w:tcW w:w="4741" w:type="dxa"/>
          </w:tcPr>
          <w:p w14:paraId="230388AC">
            <w:pPr>
              <w:pStyle w:val="28"/>
            </w:pPr>
            <w:r>
              <w:rPr>
                <w:b/>
                <w:bCs/>
              </w:rPr>
              <w:t>8284</w:t>
            </w:r>
            <w:r>
              <w:t>（= VOC train 1464 + SBD 净增 6820）</w:t>
            </w:r>
          </w:p>
        </w:tc>
      </w:tr>
    </w:tbl>
    <w:p w14:paraId="43BBF916">
      <w:pPr>
        <w:pStyle w:val="28"/>
        <w:spacing w:before="160" w:after="80" w:line="384" w:lineRule="auto"/>
        <w:jc w:val="both"/>
      </w:pPr>
      <w:r>
        <w:rPr>
          <w:rFonts w:ascii="Times New Roman" w:hAnsi="Times New Roman" w:eastAsia="宋体" w:cs="Times New Roman"/>
        </w:rPr>
        <w:t>（1）</w:t>
      </w:r>
      <w:r>
        <w:rPr>
          <w:rFonts w:ascii="Times New Roman" w:hAnsi="Times New Roman" w:eastAsia="宋体" w:cs="Times New Roman"/>
          <w:b/>
          <w:bCs/>
        </w:rPr>
        <w:t>标签对齐</w:t>
      </w:r>
      <w:r>
        <w:rPr>
          <w:rFonts w:ascii="Times New Roman" w:hAnsi="Times New Roman" w:eastAsia="宋体" w:cs="Times New Roman"/>
        </w:rPr>
        <w:t xml:space="preserve">：SBD </w:t>
      </w:r>
      <w:r>
        <w:rPr>
          <w:rStyle w:val="39"/>
          <w:rFonts w:ascii="Times New Roman" w:hAnsi="Times New Roman" w:eastAsia="宋体" w:cs="Times New Roman"/>
          <w:sz w:val="24"/>
        </w:rPr>
        <w:t>GTcls.Segmentation</w:t>
      </w:r>
      <w:r>
        <w:rPr>
          <w:rFonts w:ascii="Times New Roman" w:hAnsi="Times New Roman" w:eastAsia="宋体" w:cs="Times New Roman"/>
        </w:rPr>
        <w:t xml:space="preserve"> 取值 </w:t>
      </w:r>
      <w:r>
        <w:rPr>
          <w:rFonts w:ascii="Times New Roman" w:hAnsi="Times New Roman" w:eastAsia="宋体" w:cs="Times New Roman"/>
          <w:b/>
          <w:bCs/>
        </w:rPr>
        <w:t>0–20</w:t>
      </w:r>
      <w:r>
        <w:rPr>
          <w:rFonts w:ascii="Times New Roman" w:hAnsi="Times New Roman" w:eastAsia="宋体" w:cs="Times New Roman"/>
        </w:rPr>
        <w:t>，与 VOC 类别编号直接对应（实测与 VOC 真值重合像素一致率 98.4%；若做 −1 偏移则一致率为 0，故确认无需偏移），0 为背景、无 void。</w:t>
      </w:r>
    </w:p>
    <w:p w14:paraId="1D4F8DF2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（2）</w:t>
      </w:r>
      <w:r>
        <w:rPr>
          <w:rFonts w:ascii="Times New Roman" w:hAnsi="Times New Roman" w:eastAsia="宋体" w:cs="Times New Roman"/>
          <w:b/>
          <w:bCs/>
        </w:rPr>
        <w:t>严格防泄漏</w:t>
      </w:r>
      <w:r>
        <w:rPr>
          <w:rFonts w:ascii="Times New Roman" w:hAnsi="Times New Roman" w:eastAsia="宋体" w:cs="Times New Roman"/>
        </w:rPr>
        <w:t xml:space="preserve">：SBD train 与 VOC val 重叠的 </w:t>
      </w:r>
      <w:r>
        <w:rPr>
          <w:rFonts w:ascii="Times New Roman" w:hAnsi="Times New Roman" w:eastAsia="宋体" w:cs="Times New Roman"/>
          <w:b/>
          <w:bCs/>
        </w:rPr>
        <w:t>545 个 ID 全部剔除</w:t>
      </w:r>
      <w:r>
        <w:rPr>
          <w:rFonts w:ascii="Times New Roman" w:hAnsi="Times New Roman" w:eastAsia="宋体" w:cs="Times New Roman"/>
        </w:rPr>
        <w:t>，保证验证集干净、指标可信。</w:t>
      </w:r>
    </w:p>
    <w:p w14:paraId="1005454C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 xml:space="preserve">（3）最终模型在 train_aug(8284) 上训练、在 </w:t>
      </w:r>
      <w:r>
        <w:rPr>
          <w:rFonts w:ascii="Times New Roman" w:hAnsi="Times New Roman" w:eastAsia="宋体" w:cs="Times New Roman"/>
          <w:b/>
          <w:bCs/>
        </w:rPr>
        <w:t>VOC val(1449) 独立验证</w:t>
      </w:r>
      <w:r>
        <w:rPr>
          <w:rFonts w:ascii="Times New Roman" w:hAnsi="Times New Roman" w:eastAsia="宋体" w:cs="Times New Roman"/>
        </w:rPr>
        <w:t>，全程不触碰测试集。</w:t>
      </w:r>
    </w:p>
    <w:bookmarkEnd w:id="3"/>
    <w:bookmarkEnd w:id="10"/>
    <w:p w14:paraId="354039EB">
      <w:pPr>
        <w:pStyle w:val="4"/>
        <w:keepNext/>
        <w:spacing w:before="320" w:after="160" w:line="312" w:lineRule="auto"/>
      </w:pPr>
      <w:bookmarkStart w:id="11" w:name="_Toc243935448"/>
      <w:bookmarkStart w:id="12" w:name="数据处理与加载方法"/>
      <w:r>
        <w:rPr>
          <w:rFonts w:ascii="Times New Roman" w:hAnsi="Times New Roman" w:eastAsia="黑体" w:cs="Times New Roman"/>
        </w:rPr>
        <w:t>2. 数据处理与加载方法</w:t>
      </w:r>
      <w:bookmarkEnd w:id="11"/>
    </w:p>
    <w:p w14:paraId="7BFAC6E2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（1）</w:t>
      </w:r>
      <w:r>
        <w:rPr>
          <w:rFonts w:ascii="Times New Roman" w:hAnsi="Times New Roman" w:eastAsia="宋体" w:cs="Times New Roman"/>
          <w:b/>
          <w:bCs/>
        </w:rPr>
        <w:t>读取</w:t>
      </w:r>
      <w:r>
        <w:rPr>
          <w:rFonts w:ascii="Times New Roman" w:hAnsi="Times New Roman" w:eastAsia="宋体" w:cs="Times New Roman"/>
        </w:rPr>
        <w:t xml:space="preserve">：按 </w:t>
      </w:r>
      <w:r>
        <w:rPr>
          <w:rStyle w:val="39"/>
          <w:rFonts w:ascii="Times New Roman" w:hAnsi="Times New Roman" w:eastAsia="宋体" w:cs="Times New Roman"/>
          <w:sz w:val="24"/>
        </w:rPr>
        <w:t>&lt;split&gt;.txt</w:t>
      </w:r>
      <w:r>
        <w:rPr>
          <w:rFonts w:ascii="Times New Roman" w:hAnsi="Times New Roman" w:eastAsia="宋体" w:cs="Times New Roman"/>
        </w:rPr>
        <w:t xml:space="preserve"> 取图像 id，配对 </w:t>
      </w:r>
      <w:r>
        <w:rPr>
          <w:rStyle w:val="39"/>
          <w:rFonts w:ascii="Times New Roman" w:hAnsi="Times New Roman" w:eastAsia="宋体" w:cs="Times New Roman"/>
          <w:sz w:val="24"/>
        </w:rPr>
        <w:t>JPEGImages/​*.jpg</w:t>
      </w:r>
      <w:r>
        <w:rPr>
          <w:rFonts w:ascii="Times New Roman" w:hAnsi="Times New Roman" w:eastAsia="宋体" w:cs="Times New Roman"/>
        </w:rPr>
        <w:t xml:space="preserve"> 与 </w:t>
      </w:r>
      <w:r>
        <w:rPr>
          <w:rStyle w:val="39"/>
          <w:rFonts w:ascii="Times New Roman" w:hAnsi="Times New Roman" w:eastAsia="宋体" w:cs="Times New Roman"/>
          <w:sz w:val="24"/>
        </w:rPr>
        <w:t>SegmentationClass/​*.png</w:t>
      </w:r>
      <w:r>
        <w:rPr>
          <w:rFonts w:ascii="Times New Roman" w:hAnsi="Times New Roman" w:eastAsia="宋体" w:cs="Times New Roman"/>
        </w:rPr>
        <w:t>；SBD 独有样本自动回退到其图像/​掩码目录（VOC 优先、缺失回退 SBD）。</w:t>
      </w:r>
    </w:p>
    <w:p w14:paraId="5EACB620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（2）</w:t>
      </w:r>
      <w:r>
        <w:rPr>
          <w:rFonts w:ascii="Times New Roman" w:hAnsi="Times New Roman" w:eastAsia="宋体" w:cs="Times New Roman"/>
          <w:b/>
          <w:bCs/>
        </w:rPr>
        <w:t>标签处理</w:t>
      </w:r>
      <w:r>
        <w:rPr>
          <w:rFonts w:ascii="Times New Roman" w:hAnsi="Times New Roman" w:eastAsia="宋体" w:cs="Times New Roman"/>
        </w:rPr>
        <w:t xml:space="preserve">：mask 直接读出即为类别索引；训练与评估统一把 </w:t>
      </w:r>
      <w:r>
        <w:rPr>
          <w:rFonts w:ascii="Times New Roman" w:hAnsi="Times New Roman" w:eastAsia="宋体" w:cs="Times New Roman"/>
          <w:b/>
          <w:bCs/>
        </w:rPr>
        <w:t>255 视为 ignore</w:t>
      </w:r>
      <w:r>
        <w:rPr>
          <w:rFonts w:ascii="Times New Roman" w:hAnsi="Times New Roman" w:eastAsia="宋体" w:cs="Times New Roman"/>
        </w:rPr>
        <w:t>（</w:t>
      </w:r>
      <w:r>
        <w:rPr>
          <w:rStyle w:val="39"/>
          <w:rFonts w:ascii="Times New Roman" w:hAnsi="Times New Roman" w:eastAsia="宋体" w:cs="Times New Roman"/>
          <w:sz w:val="24"/>
        </w:rPr>
        <w:t>CrossEntropyLoss(ignore_index=255)</w:t>
      </w:r>
      <w:r>
        <w:rPr>
          <w:rFonts w:ascii="Times New Roman" w:hAnsi="Times New Roman" w:eastAsia="宋体" w:cs="Times New Roman"/>
        </w:rPr>
        <w:t>，混淆矩阵统计同样排除）。</w:t>
      </w:r>
    </w:p>
    <w:p w14:paraId="22D3C45E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（3）</w:t>
      </w:r>
      <w:r>
        <w:rPr>
          <w:rFonts w:ascii="Times New Roman" w:hAnsi="Times New Roman" w:eastAsia="宋体" w:cs="Times New Roman"/>
          <w:b/>
          <w:bCs/>
        </w:rPr>
        <w:t>训练增强</w:t>
      </w:r>
      <w:r>
        <w:rPr>
          <w:rFonts w:ascii="Times New Roman" w:hAnsi="Times New Roman" w:eastAsia="宋体" w:cs="Times New Roman"/>
        </w:rPr>
        <w:t>：随机缩放 0.5–2.0 → 随机裁剪 513×513 → 随机水平翻转 → 亮度/​对比度/​饱和度/​色相抖动；不足尺寸时图像补 0、</w:t>
      </w:r>
      <w:r>
        <w:rPr>
          <w:rFonts w:ascii="Times New Roman" w:hAnsi="Times New Roman" w:eastAsia="宋体" w:cs="Times New Roman"/>
          <w:b/>
          <w:bCs/>
        </w:rPr>
        <w:t>标签补 255</w:t>
      </w:r>
      <w:r>
        <w:rPr>
          <w:rFonts w:ascii="Times New Roman" w:hAnsi="Times New Roman" w:eastAsia="宋体" w:cs="Times New Roman"/>
        </w:rPr>
        <w:t>（不凭空制造监督）。</w:t>
      </w:r>
    </w:p>
    <w:p w14:paraId="3120FC5A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（4）</w:t>
      </w:r>
      <w:r>
        <w:rPr>
          <w:rFonts w:ascii="Times New Roman" w:hAnsi="Times New Roman" w:eastAsia="宋体" w:cs="Times New Roman"/>
          <w:b/>
          <w:bCs/>
        </w:rPr>
        <w:t>验证/​测试</w:t>
      </w:r>
      <w:r>
        <w:rPr>
          <w:rFonts w:ascii="Times New Roman" w:hAnsi="Times New Roman" w:eastAsia="宋体" w:cs="Times New Roman"/>
        </w:rPr>
        <w:t>：保持长宽比缩放到长边 513，标签最近邻插值，再补齐到 16 的倍数。</w:t>
      </w:r>
    </w:p>
    <w:p w14:paraId="597DD6FF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（5）</w:t>
      </w:r>
      <w:r>
        <w:rPr>
          <w:rFonts w:ascii="Times New Roman" w:hAnsi="Times New Roman" w:eastAsia="宋体" w:cs="Times New Roman"/>
          <w:b/>
          <w:bCs/>
        </w:rPr>
        <w:t>归一化</w:t>
      </w:r>
      <w:r>
        <w:rPr>
          <w:rFonts w:ascii="Times New Roman" w:hAnsi="Times New Roman" w:eastAsia="宋体" w:cs="Times New Roman"/>
        </w:rPr>
        <w:t>：ImageNet 均值/​方差；</w:t>
      </w:r>
      <w:r>
        <w:rPr>
          <w:rStyle w:val="39"/>
          <w:rFonts w:ascii="Times New Roman" w:hAnsi="Times New Roman" w:eastAsia="宋体" w:cs="Times New Roman"/>
          <w:sz w:val="24"/>
        </w:rPr>
        <w:t>DataLoader(num_workers=2, pin_memory=True)</w:t>
      </w:r>
      <w:r>
        <w:rPr>
          <w:rFonts w:ascii="Times New Roman" w:hAnsi="Times New Roman" w:eastAsia="宋体" w:cs="Times New Roman"/>
        </w:rPr>
        <w:t xml:space="preserve">，Windows 下用 </w:t>
      </w:r>
      <w:r>
        <w:rPr>
          <w:rStyle w:val="39"/>
          <w:rFonts w:ascii="Times New Roman" w:hAnsi="Times New Roman" w:eastAsia="宋体" w:cs="Times New Roman"/>
          <w:sz w:val="24"/>
        </w:rPr>
        <w:t>if __name__ == "__main__"</w:t>
      </w:r>
      <w:r>
        <w:rPr>
          <w:rFonts w:ascii="Times New Roman" w:hAnsi="Times New Roman" w:eastAsia="宋体" w:cs="Times New Roman"/>
        </w:rPr>
        <w:t xml:space="preserve"> 保护。</w:t>
      </w:r>
    </w:p>
    <w:bookmarkEnd w:id="12"/>
    <w:p w14:paraId="4BADC75B">
      <w:pPr>
        <w:pStyle w:val="4"/>
        <w:keepNext/>
        <w:spacing w:before="320" w:after="160" w:line="312" w:lineRule="auto"/>
      </w:pPr>
      <w:bookmarkStart w:id="13" w:name="_Toc243935449"/>
      <w:bookmarkStart w:id="14" w:name="模型设计原理"/>
      <w:r>
        <w:rPr>
          <w:rFonts w:ascii="Times New Roman" w:hAnsi="Times New Roman" w:eastAsia="黑体" w:cs="Times New Roman"/>
        </w:rPr>
        <w:t>3. 模型设计原理</w:t>
      </w:r>
      <w:bookmarkEnd w:id="13"/>
    </w:p>
    <w:p w14:paraId="64C5DC47">
      <w:pPr>
        <w:pStyle w:val="5"/>
        <w:keepNext/>
        <w:spacing w:before="240" w:after="120" w:line="312" w:lineRule="auto"/>
      </w:pPr>
      <w:bookmarkStart w:id="15" w:name="_Toc243935450"/>
      <w:bookmarkStart w:id="16" w:name="基线deeplabv3-resnet50"/>
      <w:r>
        <w:rPr>
          <w:rFonts w:ascii="Times New Roman" w:hAnsi="Times New Roman" w:eastAsia="黑体" w:cs="Times New Roman"/>
        </w:rPr>
        <w:t>3.1 基线：DeepLabV3-ResNet50</w:t>
      </w:r>
      <w:bookmarkEnd w:id="15"/>
    </w:p>
    <w:p w14:paraId="15A0710E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（1）骨干 ResNet-50[1]，layer3/​4 改用</w:t>
      </w:r>
      <w:r>
        <w:rPr>
          <w:rFonts w:ascii="Times New Roman" w:hAnsi="Times New Roman" w:eastAsia="宋体" w:cs="Times New Roman"/>
          <w:b/>
          <w:bCs/>
        </w:rPr>
        <w:t>空洞卷积</w:t>
      </w:r>
      <w:r>
        <w:rPr>
          <w:rFonts w:ascii="Times New Roman" w:hAnsi="Times New Roman" w:eastAsia="宋体" w:cs="Times New Roman"/>
        </w:rPr>
        <w:t>（实测输出步长 = 8），兼顾分辨率与感受野。</w:t>
      </w:r>
    </w:p>
    <w:p w14:paraId="471DD0B8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（2）</w:t>
      </w:r>
      <w:r>
        <w:rPr>
          <w:rFonts w:ascii="Times New Roman" w:hAnsi="Times New Roman" w:eastAsia="宋体" w:cs="Times New Roman"/>
          <w:b/>
          <w:bCs/>
        </w:rPr>
        <w:t>ASPP</w:t>
      </w:r>
      <w:r>
        <w:rPr>
          <w:rFonts w:ascii="Times New Roman" w:hAnsi="Times New Roman" w:eastAsia="宋体" w:cs="Times New Roman"/>
        </w:rPr>
        <w:t>[2][3]：并联 1×1 卷积、3 个膨胀率(12/​24/​36)的 3×3 空洞卷积、全局平均池化，融合多尺度上下文。</w:t>
      </w:r>
    </w:p>
    <w:p w14:paraId="5DDD0A3E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（3）辅助头取 layer3 特征做辅助监督（权重 0.4）。</w:t>
      </w:r>
    </w:p>
    <w:p w14:paraId="03DEDFD8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 xml:space="preserve">（4）公开预训练权重 torchvision </w:t>
      </w:r>
      <w:r>
        <w:rPr>
          <w:rStyle w:val="39"/>
          <w:rFonts w:ascii="Times New Roman" w:hAnsi="Times New Roman" w:eastAsia="宋体" w:cs="Times New Roman"/>
          <w:sz w:val="24"/>
        </w:rPr>
        <w:t>COCO_WITH_VOC_LABELS_V1</w:t>
      </w:r>
      <w:r>
        <w:rPr>
          <w:rFonts w:ascii="Times New Roman" w:hAnsi="Times New Roman" w:eastAsia="宋体" w:cs="Times New Roman"/>
        </w:rPr>
        <w:t>（COCO[4] 上以 VOC 标签体系预训练）；</w:t>
      </w:r>
      <w:r>
        <w:rPr>
          <w:rFonts w:ascii="Times New Roman" w:hAnsi="Times New Roman" w:eastAsia="宋体" w:cs="Times New Roman"/>
          <w:b/>
          <w:bCs/>
        </w:rPr>
        <w:t>加载后确认输出通道已为 21，不替换分类头</w:t>
      </w:r>
      <w:r>
        <w:rPr>
          <w:rFonts w:ascii="Times New Roman" w:hAnsi="Times New Roman" w:eastAsia="宋体" w:cs="Times New Roman"/>
        </w:rPr>
        <w:t>，完整保留预训练参数。</w:t>
      </w:r>
    </w:p>
    <w:p w14:paraId="183E037D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（5）值得指出的是：这组权重</w:t>
      </w:r>
      <w:r>
        <w:rPr>
          <w:rFonts w:ascii="Times New Roman" w:hAnsi="Times New Roman" w:eastAsia="宋体" w:cs="Times New Roman"/>
          <w:b/>
          <w:bCs/>
        </w:rPr>
        <w:t>不经任何微调</w:t>
      </w:r>
      <w:r>
        <w:rPr>
          <w:rFonts w:ascii="Times New Roman" w:hAnsi="Times New Roman" w:eastAsia="宋体" w:cs="Times New Roman"/>
        </w:rPr>
        <w:t>即达到 0.7951（R101），成为本项目最重要的基线（详见 5.3）。</w:t>
      </w:r>
    </w:p>
    <w:bookmarkEnd w:id="16"/>
    <w:p w14:paraId="1E1897B9">
      <w:pPr>
        <w:pStyle w:val="5"/>
        <w:keepNext/>
        <w:spacing w:before="240" w:after="120" w:line="312" w:lineRule="auto"/>
      </w:pPr>
      <w:bookmarkStart w:id="17" w:name="_Toc243935451"/>
      <w:bookmarkStart w:id="18" w:name="自研模块lfca-解码器低层特征融合-通道注意力"/>
      <w:r>
        <w:rPr>
          <w:rFonts w:ascii="Times New Roman" w:hAnsi="Times New Roman" w:eastAsia="黑体" w:cs="Times New Roman"/>
        </w:rPr>
        <w:t>3.2 自研模块：LFCA 解码器（低层特征融合 + 通道注意力）</w:t>
      </w:r>
      <w:bookmarkEnd w:id="17"/>
    </w:p>
    <w:p w14:paraId="3081485C">
      <w:pPr>
        <w:pStyle w:val="27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  <w:b/>
          <w:bCs/>
        </w:rPr>
        <w:t>动机来自实验数据</w:t>
      </w:r>
      <w:r>
        <w:rPr>
          <w:rFonts w:ascii="Times New Roman" w:hAnsi="Times New Roman" w:eastAsia="宋体" w:cs="Times New Roman"/>
        </w:rPr>
        <w:t>：基线逐类 IoU 的弱项集中在细长结构与小目标（chair 0.398 / sofa 0.503 / bicycle 0.522 等），这些细节在 stride=8 特征图上已被压缩，直接上采样丢失边界。</w:t>
      </w:r>
    </w:p>
    <w:p w14:paraId="6AC1B514">
      <w:pPr>
        <w:pStyle w:val="3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  <w:b/>
          <w:bCs/>
        </w:rPr>
        <w:t>设计</w:t>
      </w:r>
      <w:r>
        <w:rPr>
          <w:rFonts w:ascii="Times New Roman" w:hAnsi="Times New Roman" w:eastAsia="宋体" w:cs="Times New Roman"/>
        </w:rPr>
        <w:t>：</w:t>
      </w:r>
    </w:p>
    <w:p w14:paraId="244CC14B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 xml:space="preserve">（1）取骨干 </w:t>
      </w:r>
      <w:r>
        <w:rPr>
          <w:rFonts w:ascii="Times New Roman" w:hAnsi="Times New Roman" w:eastAsia="宋体" w:cs="Times New Roman"/>
          <w:b/>
          <w:bCs/>
        </w:rPr>
        <w:t>layer1</w:t>
      </w:r>
      <w:r>
        <w:rPr>
          <w:rFonts w:ascii="Times New Roman" w:hAnsi="Times New Roman" w:eastAsia="宋体" w:cs="Times New Roman"/>
        </w:rPr>
        <w:t>（stride=4，256 通道）低层特征，1×1 卷积降为 48 通道；</w:t>
      </w:r>
    </w:p>
    <w:p w14:paraId="2FA02BD8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（2）ASPP 输出上采样 2 倍与之拼接（304 通道）；</w:t>
      </w:r>
    </w:p>
    <w:p w14:paraId="2EBECFE4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 xml:space="preserve">（3）3×3 卷积融合 → </w:t>
      </w:r>
      <w:r>
        <w:rPr>
          <w:rFonts w:ascii="Times New Roman" w:hAnsi="Times New Roman" w:eastAsia="宋体" w:cs="Times New Roman"/>
          <w:b/>
          <w:bCs/>
        </w:rPr>
        <w:t>SE 通道注意力</w:t>
      </w:r>
      <w:r>
        <w:rPr>
          <w:rFonts w:ascii="Times New Roman" w:hAnsi="Times New Roman" w:eastAsia="宋体" w:cs="Times New Roman"/>
        </w:rPr>
        <w:t>[5]（网络自选哪些语义通道与空间细节融合）→ 3×3 卷积 → Dropout；</w:t>
      </w:r>
    </w:p>
    <w:p w14:paraId="693A302C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 xml:space="preserve">（4）解码器刻意输出 </w:t>
      </w:r>
      <w:r>
        <w:rPr>
          <w:rFonts w:ascii="Times New Roman" w:hAnsi="Times New Roman" w:eastAsia="宋体" w:cs="Times New Roman"/>
          <w:b/>
          <w:bCs/>
        </w:rPr>
        <w:t>256 通道</w:t>
      </w:r>
      <w:r>
        <w:rPr>
          <w:rFonts w:ascii="Times New Roman" w:hAnsi="Times New Roman" w:eastAsia="宋体" w:cs="Times New Roman"/>
        </w:rPr>
        <w:t>，从而</w:t>
      </w:r>
      <w:r>
        <w:rPr>
          <w:rFonts w:ascii="Times New Roman" w:hAnsi="Times New Roman" w:eastAsia="宋体" w:cs="Times New Roman"/>
          <w:b/>
          <w:bCs/>
        </w:rPr>
        <w:t>直接复用预训练分类头</w:t>
      </w:r>
      <w:r>
        <w:rPr>
          <w:rFonts w:ascii="Times New Roman" w:hAnsi="Times New Roman" w:eastAsia="宋体" w:cs="Times New Roman"/>
        </w:rPr>
        <w:t>，不破坏已有能力；</w:t>
      </w:r>
    </w:p>
    <w:p w14:paraId="7856F9B9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（5）</w:t>
      </w:r>
      <w:r>
        <w:rPr>
          <w:rFonts w:ascii="Times New Roman" w:hAnsi="Times New Roman" w:eastAsia="宋体" w:cs="Times New Roman"/>
          <w:b/>
          <w:bCs/>
        </w:rPr>
        <w:t>残差式接入</w:t>
      </w:r>
      <w:r>
        <w:rPr>
          <w:rFonts w:ascii="Times New Roman" w:hAnsi="Times New Roman" w:eastAsia="宋体" w:cs="Times New Roman"/>
        </w:rPr>
        <w:t>：最终 logits = 基线路径输出 + 解码器输出，且解码器输出端 1×1 卷积</w:t>
      </w:r>
      <w:r>
        <w:rPr>
          <w:rFonts w:ascii="Times New Roman" w:hAnsi="Times New Roman" w:eastAsia="宋体" w:cs="Times New Roman"/>
          <w:b/>
          <w:bCs/>
        </w:rPr>
        <w:t>零初始化</w:t>
      </w:r>
      <w:r>
        <w:rPr>
          <w:rFonts w:ascii="Times New Roman" w:hAnsi="Times New Roman" w:eastAsia="宋体" w:cs="Times New Roman"/>
        </w:rPr>
        <w:t>——训练第 0 步与基线严格等价（实测差异 0.0），最差情况退化为基线，从而确保模型性能不劣于基线。</w:t>
      </w:r>
    </w:p>
    <w:p w14:paraId="3BB72412">
      <w:pPr>
        <w:pStyle w:val="27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  <w:b/>
          <w:bCs/>
        </w:rPr>
        <w:t>参数量</w:t>
      </w:r>
      <w:r>
        <w:rPr>
          <w:rFonts w:ascii="Times New Roman" w:hAnsi="Times New Roman" w:eastAsia="宋体" w:cs="Times New Roman"/>
        </w:rPr>
        <w:t xml:space="preserve">：总 43.32 M，其中解码器新增仅 </w:t>
      </w:r>
      <w:r>
        <w:rPr>
          <w:rFonts w:ascii="Times New Roman" w:hAnsi="Times New Roman" w:eastAsia="宋体" w:cs="Times New Roman"/>
          <w:b/>
          <w:bCs/>
        </w:rPr>
        <w:t>1.31 M（+3%）</w:t>
      </w:r>
      <w:r>
        <w:rPr>
          <w:rFonts w:ascii="Times New Roman" w:hAnsi="Times New Roman" w:eastAsia="宋体" w:cs="Times New Roman"/>
        </w:rPr>
        <w:t>；backbone/​ASPP/​分类头全部沿用预训练权重。</w:t>
      </w:r>
    </w:p>
    <w:p w14:paraId="7BEF95BC">
      <w:pPr>
        <w:pStyle w:val="38"/>
        <w:keepNext/>
      </w:pPr>
      <w:r>
        <w:drawing>
          <wp:inline distT="0" distB="0" distL="0" distR="0">
            <wp:extent cx="5760720" cy="6520815"/>
            <wp:effectExtent l="0" t="0" r="0" b="0"/>
            <wp:docPr id="1" name="Picture" descr="图 3-1　LFCA-DeepLabV3 网络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图 3-1　LFCA-DeepLabV3 网络结构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2140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504D47">
      <w:pPr>
        <w:pStyle w:val="36"/>
        <w:spacing w:before="80" w:after="200" w:line="420" w:lineRule="auto"/>
        <w:jc w:val="center"/>
      </w:pPr>
      <w:r>
        <w:rPr>
          <w:rFonts w:ascii="Times New Roman" w:hAnsi="Times New Roman" w:eastAsia="宋体" w:cs="Times New Roman"/>
          <w:sz w:val="21"/>
        </w:rPr>
        <w:t>图 3-1　LFCA-DeepLabV3 网络结构</w:t>
      </w:r>
    </w:p>
    <w:bookmarkEnd w:id="14"/>
    <w:bookmarkEnd w:id="18"/>
    <w:p w14:paraId="70B1598F">
      <w:pPr>
        <w:pStyle w:val="4"/>
        <w:keepNext/>
        <w:spacing w:before="320" w:after="160" w:line="312" w:lineRule="auto"/>
      </w:pPr>
      <w:bookmarkStart w:id="19" w:name="_Toc243935452"/>
      <w:bookmarkStart w:id="20" w:name="训练与调参方法"/>
      <w:r>
        <w:rPr>
          <w:rFonts w:ascii="Times New Roman" w:hAnsi="Times New Roman" w:eastAsia="黑体" w:cs="Times New Roman"/>
        </w:rPr>
        <w:t>4. 训练与调参方法</w:t>
      </w:r>
      <w:bookmarkEnd w:id="19"/>
    </w:p>
    <w:p w14:paraId="5EC5A8B3">
      <w:pPr>
        <w:pStyle w:val="5"/>
        <w:keepNext/>
        <w:spacing w:before="240" w:after="120" w:line="312" w:lineRule="auto"/>
      </w:pPr>
      <w:bookmarkStart w:id="21" w:name="_Toc243935453"/>
      <w:bookmarkStart w:id="22" w:name="配置"/>
      <w:r>
        <w:rPr>
          <w:rFonts w:ascii="Times New Roman" w:hAnsi="Times New Roman" w:eastAsia="黑体" w:cs="Times New Roman"/>
        </w:rPr>
        <w:t>4.1 配置</w:t>
      </w:r>
      <w:bookmarkEnd w:id="21"/>
    </w:p>
    <w:p w14:paraId="5FE5CEA4">
      <w:pPr>
        <w:pStyle w:val="27"/>
        <w:keepNext/>
        <w:spacing w:before="80" w:after="200" w:line="420" w:lineRule="auto"/>
        <w:jc w:val="center"/>
      </w:pPr>
      <w:r>
        <w:rPr>
          <w:rFonts w:ascii="Times New Roman" w:hAnsi="Times New Roman" w:eastAsia="宋体" w:cs="Times New Roman"/>
          <w:bCs/>
          <w:sz w:val="21"/>
        </w:rPr>
        <w:t>表 4-1　训练超参数配置</w:t>
      </w:r>
    </w:p>
    <w:tbl>
      <w:tblPr>
        <w:tblStyle w:val="32"/>
        <w:tblW w:w="8640" w:type="dxa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7"/>
        <w:gridCol w:w="7293"/>
      </w:tblGrid>
      <w:tr w14:paraId="147CF9B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cantSplit/>
          <w:tblHeader/>
        </w:trPr>
        <w:tc>
          <w:tcPr>
            <w:tcW w:w="1347" w:type="dxa"/>
            <w:tcBorders>
              <w:bottom w:val="single" w:color="000000" w:sz="6" w:space="0"/>
            </w:tcBorders>
            <w:vAlign w:val="bottom"/>
          </w:tcPr>
          <w:p w14:paraId="0E354DD6">
            <w:pPr>
              <w:pStyle w:val="28"/>
            </w:pPr>
            <w:r>
              <w:t>配置项</w:t>
            </w:r>
          </w:p>
        </w:tc>
        <w:tc>
          <w:tcPr>
            <w:tcW w:w="7293" w:type="dxa"/>
            <w:tcBorders>
              <w:bottom w:val="single" w:color="000000" w:sz="6" w:space="0"/>
            </w:tcBorders>
            <w:vAlign w:val="bottom"/>
          </w:tcPr>
          <w:p w14:paraId="2DF7BF91">
            <w:pPr>
              <w:pStyle w:val="28"/>
            </w:pPr>
            <w:r>
              <w:t>取值</w:t>
            </w:r>
          </w:p>
        </w:tc>
      </w:tr>
      <w:tr w14:paraId="6F6E470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7" w:type="dxa"/>
          </w:tcPr>
          <w:p w14:paraId="1983B0E1">
            <w:pPr>
              <w:pStyle w:val="28"/>
            </w:pPr>
            <w:r>
              <w:t>模型</w:t>
            </w:r>
          </w:p>
        </w:tc>
        <w:tc>
          <w:tcPr>
            <w:tcW w:w="7293" w:type="dxa"/>
          </w:tcPr>
          <w:p w14:paraId="6C255657">
            <w:pPr>
              <w:pStyle w:val="28"/>
            </w:pPr>
            <w:r>
              <w:t>DeepLabV3-ResNet50（基线）/ LFCA-DeepLabV3（自研）</w:t>
            </w:r>
          </w:p>
        </w:tc>
      </w:tr>
      <w:tr w14:paraId="5C59827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7" w:type="dxa"/>
          </w:tcPr>
          <w:p w14:paraId="74A8E33D">
            <w:pPr>
              <w:pStyle w:val="28"/>
            </w:pPr>
            <w:r>
              <w:t>骨干</w:t>
            </w:r>
          </w:p>
        </w:tc>
        <w:tc>
          <w:tcPr>
            <w:tcW w:w="7293" w:type="dxa"/>
          </w:tcPr>
          <w:p w14:paraId="0E227E72">
            <w:pPr>
              <w:pStyle w:val="28"/>
            </w:pPr>
            <w:r>
              <w:t>ResNet-50（另做 ResNet-101 对照实验，见 5.3 负结果）</w:t>
            </w:r>
          </w:p>
        </w:tc>
      </w:tr>
      <w:tr w14:paraId="6DFF247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7" w:type="dxa"/>
          </w:tcPr>
          <w:p w14:paraId="70EE67F7">
            <w:pPr>
              <w:pStyle w:val="28"/>
            </w:pPr>
            <w:r>
              <w:t>训练数据</w:t>
            </w:r>
          </w:p>
        </w:tc>
        <w:tc>
          <w:tcPr>
            <w:tcW w:w="7293" w:type="dxa"/>
          </w:tcPr>
          <w:p w14:paraId="0517680B">
            <w:pPr>
              <w:pStyle w:val="28"/>
            </w:pPr>
            <w:r>
              <w:t>train(1464) 开发；</w:t>
            </w:r>
            <w:r>
              <w:rPr>
                <w:b/>
                <w:bCs/>
              </w:rPr>
              <w:t>最终模型 train_aug(8284)</w:t>
            </w:r>
          </w:p>
        </w:tc>
      </w:tr>
      <w:tr w14:paraId="14FCB2E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7" w:type="dxa"/>
          </w:tcPr>
          <w:p w14:paraId="7026EB74">
            <w:pPr>
              <w:pStyle w:val="28"/>
            </w:pPr>
            <w:r>
              <w:t>输入</w:t>
            </w:r>
          </w:p>
        </w:tc>
        <w:tc>
          <w:tcPr>
            <w:tcW w:w="7293" w:type="dxa"/>
          </w:tcPr>
          <w:p w14:paraId="2023B5A8">
            <w:pPr>
              <w:pStyle w:val="28"/>
            </w:pPr>
            <w:r>
              <w:t>训练随机裁剪 513×513，验证长边 513</w:t>
            </w:r>
          </w:p>
        </w:tc>
      </w:tr>
      <w:tr w14:paraId="5098A22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7" w:type="dxa"/>
          </w:tcPr>
          <w:p w14:paraId="3D67ABE5">
            <w:pPr>
              <w:pStyle w:val="28"/>
            </w:pPr>
            <w:r>
              <w:t>Batch</w:t>
            </w:r>
          </w:p>
        </w:tc>
        <w:tc>
          <w:tcPr>
            <w:tcW w:w="7293" w:type="dxa"/>
          </w:tcPr>
          <w:p w14:paraId="4D3A4C94">
            <w:pPr>
              <w:pStyle w:val="28"/>
            </w:pPr>
            <w:r>
              <w:t>4 × 梯度累积 4 = 等效 16</w:t>
            </w:r>
          </w:p>
        </w:tc>
      </w:tr>
      <w:tr w14:paraId="071091C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7" w:type="dxa"/>
          </w:tcPr>
          <w:p w14:paraId="0A92A571">
            <w:pPr>
              <w:pStyle w:val="28"/>
            </w:pPr>
            <w:r>
              <w:t>精度</w:t>
            </w:r>
          </w:p>
        </w:tc>
        <w:tc>
          <w:tcPr>
            <w:tcW w:w="7293" w:type="dxa"/>
          </w:tcPr>
          <w:p w14:paraId="36E194A7">
            <w:pPr>
              <w:pStyle w:val="28"/>
            </w:pPr>
            <w:r>
              <w:t>AMP 混合精度</w:t>
            </w:r>
          </w:p>
        </w:tc>
      </w:tr>
      <w:tr w14:paraId="70A5AF7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7" w:type="dxa"/>
          </w:tcPr>
          <w:p w14:paraId="21B5413B">
            <w:pPr>
              <w:pStyle w:val="28"/>
            </w:pPr>
            <w:r>
              <w:t>优化器</w:t>
            </w:r>
          </w:p>
        </w:tc>
        <w:tc>
          <w:tcPr>
            <w:tcW w:w="7293" w:type="dxa"/>
          </w:tcPr>
          <w:p w14:paraId="41944847">
            <w:pPr>
              <w:pStyle w:val="28"/>
            </w:pPr>
            <w:r>
              <w:t>SGD(momentum 0.9, nesterov)，poly 衰减(power 0.9)</w:t>
            </w:r>
          </w:p>
        </w:tc>
      </w:tr>
      <w:tr w14:paraId="3F65F23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7" w:type="dxa"/>
          </w:tcPr>
          <w:p w14:paraId="1F489896">
            <w:pPr>
              <w:pStyle w:val="28"/>
            </w:pPr>
            <w:r>
              <w:t>学习率</w:t>
            </w:r>
          </w:p>
        </w:tc>
        <w:tc>
          <w:tcPr>
            <w:tcW w:w="7293" w:type="dxa"/>
          </w:tcPr>
          <w:p w14:paraId="3F1262D2">
            <w:pPr>
              <w:pStyle w:val="28"/>
            </w:pPr>
            <w:r>
              <w:t>分类头 0.01，骨干 ×0.1 = 0.001</w:t>
            </w:r>
          </w:p>
        </w:tc>
      </w:tr>
      <w:tr w14:paraId="69FD00A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7" w:type="dxa"/>
          </w:tcPr>
          <w:p w14:paraId="4509552F">
            <w:pPr>
              <w:pStyle w:val="28"/>
            </w:pPr>
            <w:r>
              <w:t>损失</w:t>
            </w:r>
          </w:p>
        </w:tc>
        <w:tc>
          <w:tcPr>
            <w:tcW w:w="7293" w:type="dxa"/>
          </w:tcPr>
          <w:p w14:paraId="1215D0EE">
            <w:pPr>
              <w:pStyle w:val="28"/>
            </w:pPr>
            <w:r>
              <w:t>CrossEntropy(ignore_index=255) + 0.4×aux</w:t>
            </w:r>
          </w:p>
        </w:tc>
      </w:tr>
      <w:tr w14:paraId="1757B3F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7" w:type="dxa"/>
          </w:tcPr>
          <w:p w14:paraId="2A0F8188">
            <w:pPr>
              <w:pStyle w:val="28"/>
            </w:pPr>
            <w:r>
              <w:t>Epoch</w:t>
            </w:r>
          </w:p>
        </w:tc>
        <w:tc>
          <w:tcPr>
            <w:tcW w:w="7293" w:type="dxa"/>
          </w:tcPr>
          <w:p w14:paraId="2FE8F6FA">
            <w:pPr>
              <w:pStyle w:val="28"/>
            </w:pPr>
            <w:r>
              <w:t>30，每 epoch 全量验证（1449 张）</w:t>
            </w:r>
          </w:p>
        </w:tc>
      </w:tr>
      <w:tr w14:paraId="16CCEB4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47" w:type="dxa"/>
          </w:tcPr>
          <w:p w14:paraId="1AA071E3">
            <w:pPr>
              <w:pStyle w:val="28"/>
            </w:pPr>
            <w:r>
              <w:t>其他</w:t>
            </w:r>
          </w:p>
        </w:tc>
        <w:tc>
          <w:tcPr>
            <w:tcW w:w="7293" w:type="dxa"/>
          </w:tcPr>
          <w:p w14:paraId="183DD2CE">
            <w:pPr>
              <w:pStyle w:val="28"/>
            </w:pPr>
            <w:r>
              <w:t>冻结骨干 BN、随机种子 42、TensorBoard 记录</w:t>
            </w:r>
          </w:p>
        </w:tc>
      </w:tr>
    </w:tbl>
    <w:p w14:paraId="4E6BA0DE">
      <w:pPr>
        <w:pStyle w:val="3"/>
        <w:keepNext/>
        <w:spacing w:before="160" w:after="200" w:line="420" w:lineRule="auto"/>
        <w:jc w:val="center"/>
      </w:pPr>
      <w:r>
        <w:rPr>
          <w:rFonts w:ascii="Times New Roman" w:hAnsi="Times New Roman" w:eastAsia="宋体" w:cs="Times New Roman"/>
          <w:bCs/>
          <w:sz w:val="21"/>
        </w:rPr>
        <w:t>表 4-2　实验环境配置（全部训练与评测均在本机单卡完成）</w:t>
      </w:r>
    </w:p>
    <w:tbl>
      <w:tblPr>
        <w:tblStyle w:val="32"/>
        <w:tblW w:w="8640" w:type="dxa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7259"/>
      </w:tblGrid>
      <w:tr w14:paraId="09E09DD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81" w:type="dxa"/>
            <w:tcBorders>
              <w:bottom w:val="single" w:color="000000" w:sz="6" w:space="0"/>
            </w:tcBorders>
            <w:vAlign w:val="bottom"/>
          </w:tcPr>
          <w:p w14:paraId="120751D2">
            <w:pPr>
              <w:pStyle w:val="28"/>
            </w:pPr>
            <w:r>
              <w:t>项目</w:t>
            </w:r>
          </w:p>
        </w:tc>
        <w:tc>
          <w:tcPr>
            <w:tcW w:w="7259" w:type="dxa"/>
            <w:tcBorders>
              <w:bottom w:val="single" w:color="000000" w:sz="6" w:space="0"/>
            </w:tcBorders>
            <w:vAlign w:val="bottom"/>
          </w:tcPr>
          <w:p w14:paraId="3DDAB1B7">
            <w:pPr>
              <w:pStyle w:val="28"/>
            </w:pPr>
            <w:r>
              <w:t>配置</w:t>
            </w:r>
          </w:p>
        </w:tc>
      </w:tr>
      <w:tr w14:paraId="0CFA089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81" w:type="dxa"/>
          </w:tcPr>
          <w:p w14:paraId="0912F05C">
            <w:pPr>
              <w:pStyle w:val="28"/>
            </w:pPr>
            <w:r>
              <w:t>CPU</w:t>
            </w:r>
          </w:p>
        </w:tc>
        <w:tc>
          <w:tcPr>
            <w:tcW w:w="7259" w:type="dxa"/>
          </w:tcPr>
          <w:p w14:paraId="369BAAF3">
            <w:pPr>
              <w:pStyle w:val="28"/>
            </w:pPr>
            <w:r>
              <w:t>AMD Ryzen 7 7745HX，8 核 16 线程</w:t>
            </w:r>
          </w:p>
        </w:tc>
      </w:tr>
      <w:tr w14:paraId="4B67210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81" w:type="dxa"/>
          </w:tcPr>
          <w:p w14:paraId="6F285A4D">
            <w:pPr>
              <w:pStyle w:val="28"/>
            </w:pPr>
            <w:r>
              <w:t>内存</w:t>
            </w:r>
          </w:p>
        </w:tc>
        <w:tc>
          <w:tcPr>
            <w:tcW w:w="7259" w:type="dxa"/>
          </w:tcPr>
          <w:p w14:paraId="7A1D26D1">
            <w:pPr>
              <w:pStyle w:val="28"/>
            </w:pPr>
            <w:r>
              <w:t>32 GB DDR5-5600（2×16 GB）</w:t>
            </w:r>
          </w:p>
        </w:tc>
      </w:tr>
      <w:tr w14:paraId="7D57D09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81" w:type="dxa"/>
          </w:tcPr>
          <w:p w14:paraId="4E6AE22F">
            <w:pPr>
              <w:pStyle w:val="28"/>
            </w:pPr>
            <w:r>
              <w:t>GPU</w:t>
            </w:r>
          </w:p>
        </w:tc>
        <w:tc>
          <w:tcPr>
            <w:tcW w:w="7259" w:type="dxa"/>
          </w:tcPr>
          <w:p w14:paraId="7573FA57">
            <w:pPr>
              <w:pStyle w:val="28"/>
            </w:pPr>
            <w:r>
              <w:t>NVIDIA GeForce RTX 4060 Laptop，8 GB 显存，驱动 610.47</w:t>
            </w:r>
          </w:p>
        </w:tc>
      </w:tr>
      <w:tr w14:paraId="4BCD89F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81" w:type="dxa"/>
          </w:tcPr>
          <w:p w14:paraId="2CE93959">
            <w:pPr>
              <w:pStyle w:val="28"/>
            </w:pPr>
            <w:r>
              <w:t>操作系统</w:t>
            </w:r>
          </w:p>
        </w:tc>
        <w:tc>
          <w:tcPr>
            <w:tcW w:w="7259" w:type="dxa"/>
          </w:tcPr>
          <w:p w14:paraId="0A49C9C0">
            <w:pPr>
              <w:pStyle w:val="28"/>
            </w:pPr>
            <w:r>
              <w:t>Windows 11 家庭版 中文版（10.0.26300）</w:t>
            </w:r>
          </w:p>
        </w:tc>
      </w:tr>
      <w:tr w14:paraId="2369329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81" w:type="dxa"/>
          </w:tcPr>
          <w:p w14:paraId="27339471">
            <w:pPr>
              <w:pStyle w:val="28"/>
            </w:pPr>
            <w:r>
              <w:t>软件栈</w:t>
            </w:r>
          </w:p>
        </w:tc>
        <w:tc>
          <w:tcPr>
            <w:tcW w:w="7259" w:type="dxa"/>
          </w:tcPr>
          <w:p w14:paraId="00D26B40">
            <w:pPr>
              <w:pStyle w:val="28"/>
            </w:pPr>
            <w:r>
              <w:t>Python 3.11.4 / PyTorch 2.14.1+cu126 / torchvision 0.29.1 / CUDA 12.6 / cuDNN 9.10.2</w:t>
            </w:r>
          </w:p>
        </w:tc>
      </w:tr>
      <w:tr w14:paraId="5308904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81" w:type="dxa"/>
          </w:tcPr>
          <w:p w14:paraId="15C5C6FC">
            <w:pPr>
              <w:pStyle w:val="28"/>
            </w:pPr>
            <w:r>
              <w:t>训练峰值显存</w:t>
            </w:r>
          </w:p>
        </w:tc>
        <w:tc>
          <w:tcPr>
            <w:tcW w:w="7259" w:type="dxa"/>
          </w:tcPr>
          <w:p w14:paraId="5F6F7C83">
            <w:pPr>
              <w:pStyle w:val="28"/>
            </w:pPr>
            <w:r>
              <w:t>ResNet-50 batch 4 @513 约 3.3 GB；ResNet-101 约 5.2 GB（故训练时不并行评测）</w:t>
            </w:r>
          </w:p>
        </w:tc>
      </w:tr>
      <w:tr w14:paraId="767FBBD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81" w:type="dxa"/>
          </w:tcPr>
          <w:p w14:paraId="0A94F946">
            <w:pPr>
              <w:pStyle w:val="28"/>
            </w:pPr>
            <w:r>
              <w:t>存储</w:t>
            </w:r>
          </w:p>
        </w:tc>
        <w:tc>
          <w:tcPr>
            <w:tcW w:w="7259" w:type="dxa"/>
          </w:tcPr>
          <w:p w14:paraId="102BAC5A">
            <w:pPr>
              <w:pStyle w:val="28"/>
            </w:pPr>
            <w:r>
              <w:t>数据集、训练输出与提交物在 E 盘；验证集概率缓存 17.8 GB 亦置于 E 盘</w:t>
            </w:r>
          </w:p>
        </w:tc>
      </w:tr>
      <w:bookmarkEnd w:id="22"/>
    </w:tbl>
    <w:p w14:paraId="1D55AAA1">
      <w:pPr>
        <w:pStyle w:val="5"/>
        <w:keepNext/>
        <w:spacing w:before="240" w:after="120" w:line="312" w:lineRule="auto"/>
      </w:pPr>
      <w:bookmarkStart w:id="23" w:name="_Toc243935454"/>
      <w:bookmarkStart w:id="24" w:name="调参过程与依据"/>
      <w:r>
        <w:rPr>
          <w:rFonts w:ascii="Times New Roman" w:hAnsi="Times New Roman" w:eastAsia="黑体" w:cs="Times New Roman"/>
        </w:rPr>
        <w:t>4.2 调参过程与依据</w:t>
      </w:r>
      <w:bookmarkEnd w:id="23"/>
    </w:p>
    <w:p w14:paraId="7A7FAAA4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（1）观察到 mIoU 在 71.5–75.0 区间震荡，判断与学习率偏大有关；poly 衰减后期（lr→0）指标回升并达到最佳（基线 best 在 epoch 27），故采用“每 epoch 全量验证 + 保存 best”策略。</w:t>
      </w:r>
    </w:p>
    <w:p w14:paraId="0EC252B6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（2）数据不足是主瓶颈 → 优先扩充数据（SBD），而非盲目加深网络。</w:t>
      </w:r>
    </w:p>
    <w:p w14:paraId="4FEBD0C8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 xml:space="preserve">（3）推理端采用 </w:t>
      </w:r>
      <w:r>
        <w:rPr>
          <w:rFonts w:ascii="Times New Roman" w:hAnsi="Times New Roman" w:eastAsia="宋体" w:cs="Times New Roman"/>
          <w:b/>
          <w:bCs/>
        </w:rPr>
        <w:t>5 尺度 TTA + 水平翻转</w:t>
      </w:r>
      <w:r>
        <w:rPr>
          <w:rFonts w:ascii="Times New Roman" w:hAnsi="Times New Roman" w:eastAsia="宋体" w:cs="Times New Roman"/>
        </w:rPr>
        <w:t>（见 5.5），是一项高性价比的推理侧增益手段。</w:t>
      </w:r>
    </w:p>
    <w:p w14:paraId="24B55922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（4）训练过程中定位并修复了一处关键实现缺陷：</w:t>
      </w:r>
      <w:r>
        <w:rPr>
          <w:rStyle w:val="39"/>
          <w:rFonts w:ascii="Times New Roman" w:hAnsi="Times New Roman" w:eastAsia="宋体" w:cs="Times New Roman"/>
          <w:sz w:val="24"/>
        </w:rPr>
        <w:t>freeze_backbone_bn()</w:t>
      </w:r>
      <w:r>
        <w:rPr>
          <w:rFonts w:ascii="Times New Roman" w:hAnsi="Times New Roman" w:eastAsia="宋体" w:cs="Times New Roman"/>
        </w:rPr>
        <w:t xml:space="preserve"> 原本仅在训练启动前调用一次，被每个 epoch 的 </w:t>
      </w:r>
      <w:r>
        <w:rPr>
          <w:rStyle w:val="39"/>
          <w:rFonts w:ascii="Times New Roman" w:hAnsi="Times New Roman" w:eastAsia="宋体" w:cs="Times New Roman"/>
          <w:sz w:val="24"/>
        </w:rPr>
        <w:t>model.train()</w:t>
      </w:r>
      <w:r>
        <w:rPr>
          <w:rFonts w:ascii="Times New Roman" w:hAnsi="Times New Roman" w:eastAsia="宋体" w:cs="Times New Roman"/>
        </w:rPr>
        <w:t xml:space="preserve"> 覆盖而</w:t>
      </w:r>
      <w:r>
        <w:rPr>
          <w:rFonts w:ascii="Times New Roman" w:hAnsi="Times New Roman" w:eastAsia="宋体" w:cs="Times New Roman"/>
          <w:b/>
          <w:bCs/>
        </w:rPr>
        <w:t>从未生效</w:t>
      </w:r>
      <w:r>
        <w:rPr>
          <w:rFonts w:ascii="Times New Roman" w:hAnsi="Times New Roman" w:eastAsia="宋体" w:cs="Times New Roman"/>
        </w:rPr>
        <w:t xml:space="preserve">；修复后改为在每轮 </w:t>
      </w:r>
      <w:r>
        <w:rPr>
          <w:rStyle w:val="39"/>
          <w:rFonts w:ascii="Times New Roman" w:hAnsi="Times New Roman" w:eastAsia="宋体" w:cs="Times New Roman"/>
          <w:sz w:val="24"/>
        </w:rPr>
        <w:t>model.train()</w:t>
      </w:r>
      <w:r>
        <w:rPr>
          <w:rFonts w:ascii="Times New Roman" w:hAnsi="Times New Roman" w:eastAsia="宋体" w:cs="Times New Roman"/>
        </w:rPr>
        <w:t xml:space="preserve"> 之后重新调用，冻结策略方真正起作用（见 5.10）。</w:t>
      </w:r>
    </w:p>
    <w:bookmarkEnd w:id="20"/>
    <w:bookmarkEnd w:id="24"/>
    <w:p w14:paraId="5C2923F9">
      <w:pPr>
        <w:pStyle w:val="4"/>
        <w:keepNext/>
        <w:spacing w:before="320" w:after="160" w:line="312" w:lineRule="auto"/>
      </w:pPr>
      <w:bookmarkStart w:id="25" w:name="_Toc243935455"/>
      <w:bookmarkStart w:id="26" w:name="实验结果"/>
      <w:r>
        <w:rPr>
          <w:rFonts w:ascii="Times New Roman" w:hAnsi="Times New Roman" w:eastAsia="黑体" w:cs="Times New Roman"/>
        </w:rPr>
        <w:t>5. 实验结果</w:t>
      </w:r>
      <w:bookmarkEnd w:id="25"/>
    </w:p>
    <w:p w14:paraId="3155F142">
      <w:pPr>
        <w:pStyle w:val="5"/>
        <w:keepNext/>
        <w:spacing w:before="240" w:after="120" w:line="312" w:lineRule="auto"/>
      </w:pPr>
      <w:bookmarkStart w:id="27" w:name="_Toc243935456"/>
      <w:bookmarkStart w:id="28" w:name="指标口径"/>
      <w:r>
        <w:rPr>
          <w:rFonts w:ascii="Times New Roman" w:hAnsi="Times New Roman" w:eastAsia="黑体" w:cs="Times New Roman"/>
        </w:rPr>
        <w:t>5.1 指标口径</w:t>
      </w:r>
      <w:bookmarkEnd w:id="27"/>
    </w:p>
    <w:p w14:paraId="491536BC">
      <w:pPr>
        <w:pStyle w:val="27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 xml:space="preserve">主指标为 </w:t>
      </w:r>
      <w:r>
        <w:rPr>
          <w:rFonts w:ascii="Times New Roman" w:hAnsi="Times New Roman" w:eastAsia="宋体" w:cs="Times New Roman"/>
          <w:b/>
          <w:bCs/>
        </w:rPr>
        <w:t>21 类（含 background）mIoU</w:t>
      </w:r>
      <w:r>
        <w:rPr>
          <w:rFonts w:ascii="Times New Roman" w:hAnsi="Times New Roman" w:eastAsia="宋体" w:cs="Times New Roman"/>
        </w:rPr>
        <w:t>，数据集级混淆矩阵（全量像素累加，非逐图平均），255 排除；并列报告 20 类前景 mIoU、Pixel Accuracy、Mean Class Accuracy、逐类 IoU。某类在评估中未出现时记为“未出现”，不虚构为 0。除特别注明，所有数字均为</w:t>
      </w:r>
      <w:r>
        <w:rPr>
          <w:rFonts w:ascii="Times New Roman" w:hAnsi="Times New Roman" w:eastAsia="宋体" w:cs="Times New Roman"/>
          <w:b/>
          <w:bCs/>
        </w:rPr>
        <w:t>全量 VOC val（1449 张）</w:t>
      </w:r>
      <w:r>
        <w:rPr>
          <w:rFonts w:ascii="Times New Roman" w:hAnsi="Times New Roman" w:eastAsia="宋体" w:cs="Times New Roman"/>
        </w:rPr>
        <w:t>。</w:t>
      </w:r>
    </w:p>
    <w:bookmarkEnd w:id="28"/>
    <w:p w14:paraId="4DE1A842">
      <w:pPr>
        <w:pStyle w:val="5"/>
        <w:keepNext/>
        <w:spacing w:before="240" w:after="120" w:line="312" w:lineRule="auto"/>
      </w:pPr>
      <w:bookmarkStart w:id="29" w:name="_Toc243935457"/>
      <w:bookmarkStart w:id="30" w:name="主结果对比"/>
      <w:r>
        <w:rPr>
          <w:rFonts w:ascii="Times New Roman" w:hAnsi="Times New Roman" w:eastAsia="黑体" w:cs="Times New Roman"/>
        </w:rPr>
        <w:t>5.2 主结果对比</w:t>
      </w:r>
      <w:bookmarkEnd w:id="29"/>
    </w:p>
    <w:p w14:paraId="6500BD46">
      <w:pPr>
        <w:pStyle w:val="27"/>
        <w:keepNext/>
        <w:spacing w:before="80" w:after="200" w:line="420" w:lineRule="auto"/>
        <w:jc w:val="center"/>
      </w:pPr>
      <w:r>
        <w:rPr>
          <w:rFonts w:ascii="Times New Roman" w:hAnsi="Times New Roman" w:eastAsia="宋体" w:cs="Times New Roman"/>
          <w:bCs/>
          <w:sz w:val="21"/>
        </w:rPr>
        <w:t>表 5-1　主要结果对比（均在 VOC val 1449 张上评测）</w:t>
      </w:r>
    </w:p>
    <w:tbl>
      <w:tblPr>
        <w:tblStyle w:val="32"/>
        <w:tblW w:w="8640" w:type="dxa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0"/>
        <w:gridCol w:w="727"/>
        <w:gridCol w:w="1003"/>
        <w:gridCol w:w="1196"/>
        <w:gridCol w:w="1196"/>
        <w:gridCol w:w="1018"/>
      </w:tblGrid>
      <w:tr w14:paraId="5490E55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500" w:type="dxa"/>
            <w:tcBorders>
              <w:bottom w:val="single" w:color="000000" w:sz="6" w:space="0"/>
            </w:tcBorders>
            <w:vAlign w:val="bottom"/>
          </w:tcPr>
          <w:p w14:paraId="686A0357">
            <w:pPr>
              <w:pStyle w:val="28"/>
            </w:pPr>
            <w:r>
              <w:t>模型 / 配置</w:t>
            </w:r>
          </w:p>
        </w:tc>
        <w:tc>
          <w:tcPr>
            <w:tcW w:w="727" w:type="dxa"/>
            <w:tcBorders>
              <w:bottom w:val="single" w:color="000000" w:sz="6" w:space="0"/>
            </w:tcBorders>
            <w:vAlign w:val="bottom"/>
          </w:tcPr>
          <w:p w14:paraId="460F0370">
            <w:pPr>
              <w:pStyle w:val="28"/>
            </w:pPr>
            <w:r>
              <w:t>类型</w:t>
            </w:r>
          </w:p>
        </w:tc>
        <w:tc>
          <w:tcPr>
            <w:tcW w:w="1003" w:type="dxa"/>
            <w:tcBorders>
              <w:bottom w:val="single" w:color="000000" w:sz="6" w:space="0"/>
            </w:tcBorders>
            <w:vAlign w:val="bottom"/>
          </w:tcPr>
          <w:p w14:paraId="4903A991">
            <w:pPr>
              <w:pStyle w:val="28"/>
            </w:pPr>
            <w:r>
              <w:t>best epoch</w:t>
            </w:r>
          </w:p>
        </w:tc>
        <w:tc>
          <w:tcPr>
            <w:tcW w:w="1196" w:type="dxa"/>
            <w:tcBorders>
              <w:bottom w:val="single" w:color="000000" w:sz="6" w:space="0"/>
            </w:tcBorders>
            <w:vAlign w:val="bottom"/>
          </w:tcPr>
          <w:p w14:paraId="2C8CFD43">
            <w:pPr>
              <w:pStyle w:val="28"/>
            </w:pPr>
            <w:r>
              <w:t>mIoU(21)</w:t>
            </w:r>
          </w:p>
        </w:tc>
        <w:tc>
          <w:tcPr>
            <w:tcW w:w="1196" w:type="dxa"/>
            <w:tcBorders>
              <w:bottom w:val="single" w:color="000000" w:sz="6" w:space="0"/>
            </w:tcBorders>
            <w:vAlign w:val="bottom"/>
          </w:tcPr>
          <w:p w14:paraId="37DCC829">
            <w:pPr>
              <w:pStyle w:val="28"/>
            </w:pPr>
            <w:r>
              <w:t>mIoU(20)</w:t>
            </w:r>
          </w:p>
        </w:tc>
        <w:tc>
          <w:tcPr>
            <w:tcW w:w="1018" w:type="dxa"/>
            <w:tcBorders>
              <w:bottom w:val="single" w:color="000000" w:sz="6" w:space="0"/>
            </w:tcBorders>
            <w:vAlign w:val="bottom"/>
          </w:tcPr>
          <w:p w14:paraId="2BF7980D">
            <w:pPr>
              <w:pStyle w:val="28"/>
            </w:pPr>
            <w:r>
              <w:t>Pixel Acc</w:t>
            </w:r>
          </w:p>
        </w:tc>
      </w:tr>
      <w:tr w14:paraId="7A42241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00" w:type="dxa"/>
          </w:tcPr>
          <w:p w14:paraId="55BA2FEA">
            <w:pPr>
              <w:pStyle w:val="28"/>
            </w:pPr>
            <w:r>
              <w:t>零样本 DeepLabV3-R50（不训练）</w:t>
            </w:r>
          </w:p>
        </w:tc>
        <w:tc>
          <w:tcPr>
            <w:tcW w:w="727" w:type="dxa"/>
          </w:tcPr>
          <w:p w14:paraId="62CCF587">
            <w:pPr>
              <w:pStyle w:val="28"/>
            </w:pPr>
            <w:r>
              <w:t>零样本</w:t>
            </w:r>
          </w:p>
        </w:tc>
        <w:tc>
          <w:tcPr>
            <w:tcW w:w="1003" w:type="dxa"/>
          </w:tcPr>
          <w:p w14:paraId="6BF42DDB">
            <w:pPr>
              <w:pStyle w:val="28"/>
            </w:pPr>
            <w:r>
              <w:t>—</w:t>
            </w:r>
          </w:p>
        </w:tc>
        <w:tc>
          <w:tcPr>
            <w:tcW w:w="1196" w:type="dxa"/>
          </w:tcPr>
          <w:p w14:paraId="11902764">
            <w:pPr>
              <w:pStyle w:val="28"/>
            </w:pPr>
            <w:r>
              <w:t>0.7768</w:t>
            </w:r>
          </w:p>
        </w:tc>
        <w:tc>
          <w:tcPr>
            <w:tcW w:w="1196" w:type="dxa"/>
          </w:tcPr>
          <w:p w14:paraId="6243F27B">
            <w:pPr>
              <w:pStyle w:val="28"/>
            </w:pPr>
            <w:r>
              <w:t>0.7687</w:t>
            </w:r>
          </w:p>
        </w:tc>
        <w:tc>
          <w:tcPr>
            <w:tcW w:w="1018" w:type="dxa"/>
          </w:tcPr>
          <w:p w14:paraId="63BA39A4">
            <w:pPr>
              <w:pStyle w:val="28"/>
            </w:pPr>
            <w:r>
              <w:t>0.9474</w:t>
            </w:r>
          </w:p>
        </w:tc>
      </w:tr>
      <w:tr w14:paraId="15D4E17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00" w:type="dxa"/>
          </w:tcPr>
          <w:p w14:paraId="566E71B2">
            <w:pPr>
              <w:pStyle w:val="28"/>
            </w:pPr>
            <w:r>
              <w:t>零样本 DeepLabV3-R101（不训练）</w:t>
            </w:r>
          </w:p>
        </w:tc>
        <w:tc>
          <w:tcPr>
            <w:tcW w:w="727" w:type="dxa"/>
          </w:tcPr>
          <w:p w14:paraId="660CAB7A">
            <w:pPr>
              <w:pStyle w:val="28"/>
            </w:pPr>
            <w:r>
              <w:t>零样本</w:t>
            </w:r>
          </w:p>
        </w:tc>
        <w:tc>
          <w:tcPr>
            <w:tcW w:w="1003" w:type="dxa"/>
          </w:tcPr>
          <w:p w14:paraId="0F1B6427">
            <w:pPr>
              <w:pStyle w:val="28"/>
            </w:pPr>
            <w:r>
              <w:t>—</w:t>
            </w:r>
          </w:p>
        </w:tc>
        <w:tc>
          <w:tcPr>
            <w:tcW w:w="1196" w:type="dxa"/>
          </w:tcPr>
          <w:p w14:paraId="28DDF72C">
            <w:pPr>
              <w:pStyle w:val="28"/>
            </w:pPr>
            <w:r>
              <w:rPr>
                <w:b/>
                <w:bCs/>
              </w:rPr>
              <w:t>0.7951</w:t>
            </w:r>
          </w:p>
        </w:tc>
        <w:tc>
          <w:tcPr>
            <w:tcW w:w="1196" w:type="dxa"/>
          </w:tcPr>
          <w:p w14:paraId="66602601">
            <w:pPr>
              <w:pStyle w:val="28"/>
            </w:pPr>
            <w:r>
              <w:t>0.7876</w:t>
            </w:r>
          </w:p>
        </w:tc>
        <w:tc>
          <w:tcPr>
            <w:tcW w:w="1018" w:type="dxa"/>
          </w:tcPr>
          <w:p w14:paraId="119ED819">
            <w:pPr>
              <w:pStyle w:val="28"/>
            </w:pPr>
            <w:r>
              <w:t>0.9539</w:t>
            </w:r>
          </w:p>
        </w:tc>
      </w:tr>
      <w:tr w14:paraId="0CE3B06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00" w:type="dxa"/>
          </w:tcPr>
          <w:p w14:paraId="22DB7146">
            <w:pPr>
              <w:pStyle w:val="28"/>
            </w:pPr>
            <w:r>
              <w:t>DeepLabV3 基线（微调 30 epoch）</w:t>
            </w:r>
          </w:p>
        </w:tc>
        <w:tc>
          <w:tcPr>
            <w:tcW w:w="727" w:type="dxa"/>
          </w:tcPr>
          <w:p w14:paraId="57953D61">
            <w:pPr>
              <w:pStyle w:val="28"/>
            </w:pPr>
            <w:r>
              <w:t>训练</w:t>
            </w:r>
          </w:p>
        </w:tc>
        <w:tc>
          <w:tcPr>
            <w:tcW w:w="1003" w:type="dxa"/>
          </w:tcPr>
          <w:p w14:paraId="13609FDD">
            <w:pPr>
              <w:pStyle w:val="28"/>
            </w:pPr>
            <w:r>
              <w:t>27</w:t>
            </w:r>
          </w:p>
        </w:tc>
        <w:tc>
          <w:tcPr>
            <w:tcW w:w="1196" w:type="dxa"/>
          </w:tcPr>
          <w:p w14:paraId="7CE18ACB">
            <w:pPr>
              <w:pStyle w:val="28"/>
            </w:pPr>
            <w:r>
              <w:t>0.7497</w:t>
            </w:r>
          </w:p>
        </w:tc>
        <w:tc>
          <w:tcPr>
            <w:tcW w:w="1196" w:type="dxa"/>
          </w:tcPr>
          <w:p w14:paraId="73967FB6">
            <w:pPr>
              <w:pStyle w:val="28"/>
            </w:pPr>
            <w:r>
              <w:t>0.7407</w:t>
            </w:r>
          </w:p>
        </w:tc>
        <w:tc>
          <w:tcPr>
            <w:tcW w:w="1018" w:type="dxa"/>
          </w:tcPr>
          <w:p w14:paraId="6FAE4D98">
            <w:pPr>
              <w:pStyle w:val="28"/>
            </w:pPr>
            <w:r>
              <w:t>0.9375</w:t>
            </w:r>
          </w:p>
        </w:tc>
      </w:tr>
      <w:tr w14:paraId="6EFA7CD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00" w:type="dxa"/>
          </w:tcPr>
          <w:p w14:paraId="15F29CA9">
            <w:pPr>
              <w:pStyle w:val="28"/>
            </w:pPr>
            <w:r>
              <w:t>+ LFCA 解码器（残差）</w:t>
            </w:r>
          </w:p>
        </w:tc>
        <w:tc>
          <w:tcPr>
            <w:tcW w:w="727" w:type="dxa"/>
          </w:tcPr>
          <w:p w14:paraId="1770B8F1">
            <w:pPr>
              <w:pStyle w:val="28"/>
            </w:pPr>
            <w:r>
              <w:t>训练</w:t>
            </w:r>
          </w:p>
        </w:tc>
        <w:tc>
          <w:tcPr>
            <w:tcW w:w="1003" w:type="dxa"/>
          </w:tcPr>
          <w:p w14:paraId="5A73BC35">
            <w:pPr>
              <w:pStyle w:val="28"/>
            </w:pPr>
            <w:r>
              <w:t>27</w:t>
            </w:r>
          </w:p>
        </w:tc>
        <w:tc>
          <w:tcPr>
            <w:tcW w:w="1196" w:type="dxa"/>
          </w:tcPr>
          <w:p w14:paraId="2508221C">
            <w:pPr>
              <w:pStyle w:val="28"/>
            </w:pPr>
            <w:r>
              <w:t>0.7522</w:t>
            </w:r>
          </w:p>
        </w:tc>
        <w:tc>
          <w:tcPr>
            <w:tcW w:w="1196" w:type="dxa"/>
          </w:tcPr>
          <w:p w14:paraId="44115261">
            <w:pPr>
              <w:pStyle w:val="28"/>
            </w:pPr>
            <w:r>
              <w:t>0.7433</w:t>
            </w:r>
          </w:p>
        </w:tc>
        <w:tc>
          <w:tcPr>
            <w:tcW w:w="1018" w:type="dxa"/>
          </w:tcPr>
          <w:p w14:paraId="679234A5">
            <w:pPr>
              <w:pStyle w:val="28"/>
            </w:pPr>
            <w:r>
              <w:t>0.9389</w:t>
            </w:r>
          </w:p>
        </w:tc>
      </w:tr>
      <w:tr w14:paraId="3301CDE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00" w:type="dxa"/>
          </w:tcPr>
          <w:p w14:paraId="1A957C89">
            <w:pPr>
              <w:pStyle w:val="28"/>
            </w:pPr>
            <w:r>
              <w:rPr>
                <w:b/>
                <w:bCs/>
              </w:rPr>
              <w:t>+ SBD 扩充 + LFCA</w:t>
            </w:r>
          </w:p>
        </w:tc>
        <w:tc>
          <w:tcPr>
            <w:tcW w:w="727" w:type="dxa"/>
          </w:tcPr>
          <w:p w14:paraId="73D7619E">
            <w:pPr>
              <w:pStyle w:val="28"/>
            </w:pPr>
            <w:r>
              <w:t>训练</w:t>
            </w:r>
          </w:p>
        </w:tc>
        <w:tc>
          <w:tcPr>
            <w:tcW w:w="1003" w:type="dxa"/>
          </w:tcPr>
          <w:p w14:paraId="28C8E00A">
            <w:pPr>
              <w:pStyle w:val="28"/>
            </w:pPr>
            <w:r>
              <w:t>24</w:t>
            </w:r>
          </w:p>
        </w:tc>
        <w:tc>
          <w:tcPr>
            <w:tcW w:w="1196" w:type="dxa"/>
          </w:tcPr>
          <w:p w14:paraId="3D479A01">
            <w:pPr>
              <w:pStyle w:val="28"/>
            </w:pPr>
            <w:r>
              <w:rPr>
                <w:b/>
                <w:bCs/>
              </w:rPr>
              <w:t>0.7570</w:t>
            </w:r>
          </w:p>
        </w:tc>
        <w:tc>
          <w:tcPr>
            <w:tcW w:w="1196" w:type="dxa"/>
          </w:tcPr>
          <w:p w14:paraId="7EEBDEF1">
            <w:pPr>
              <w:pStyle w:val="28"/>
            </w:pPr>
            <w:r>
              <w:rPr>
                <w:b/>
                <w:bCs/>
              </w:rPr>
              <w:t>0.7482</w:t>
            </w:r>
          </w:p>
        </w:tc>
        <w:tc>
          <w:tcPr>
            <w:tcW w:w="1018" w:type="dxa"/>
          </w:tcPr>
          <w:p w14:paraId="39D4C7CD">
            <w:pPr>
              <w:pStyle w:val="28"/>
            </w:pPr>
            <w:r>
              <w:rPr>
                <w:b/>
                <w:bCs/>
              </w:rPr>
              <w:t>0.9421</w:t>
            </w:r>
          </w:p>
        </w:tc>
      </w:tr>
      <w:tr w14:paraId="2DC5EA6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00" w:type="dxa"/>
          </w:tcPr>
          <w:p w14:paraId="6743F260">
            <w:pPr>
              <w:pStyle w:val="28"/>
            </w:pPr>
            <w:r>
              <w:t>训练三模型集成 + 5 尺度 TTA</w:t>
            </w:r>
          </w:p>
        </w:tc>
        <w:tc>
          <w:tcPr>
            <w:tcW w:w="727" w:type="dxa"/>
          </w:tcPr>
          <w:p w14:paraId="34B62B36">
            <w:pPr>
              <w:pStyle w:val="28"/>
            </w:pPr>
            <w:r>
              <w:t>推理组合</w:t>
            </w:r>
          </w:p>
        </w:tc>
        <w:tc>
          <w:tcPr>
            <w:tcW w:w="1003" w:type="dxa"/>
          </w:tcPr>
          <w:p w14:paraId="4BA48464">
            <w:pPr>
              <w:pStyle w:val="28"/>
            </w:pPr>
            <w:r>
              <w:t>—</w:t>
            </w:r>
          </w:p>
        </w:tc>
        <w:tc>
          <w:tcPr>
            <w:tcW w:w="1196" w:type="dxa"/>
          </w:tcPr>
          <w:p w14:paraId="0177DF00">
            <w:pPr>
              <w:pStyle w:val="28"/>
            </w:pPr>
            <w:r>
              <w:t>0.7907</w:t>
            </w:r>
          </w:p>
        </w:tc>
        <w:tc>
          <w:tcPr>
            <w:tcW w:w="1196" w:type="dxa"/>
          </w:tcPr>
          <w:p w14:paraId="6EB2C156">
            <w:pPr>
              <w:pStyle w:val="28"/>
            </w:pPr>
            <w:r>
              <w:t>0.7830</w:t>
            </w:r>
          </w:p>
        </w:tc>
        <w:tc>
          <w:tcPr>
            <w:tcW w:w="1018" w:type="dxa"/>
          </w:tcPr>
          <w:p w14:paraId="5AB0053D">
            <w:pPr>
              <w:pStyle w:val="28"/>
            </w:pPr>
            <w:r>
              <w:t>0.9518</w:t>
            </w:r>
          </w:p>
        </w:tc>
      </w:tr>
      <w:tr w14:paraId="7674624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00" w:type="dxa"/>
          </w:tcPr>
          <w:p w14:paraId="1CBF1557">
            <w:pPr>
              <w:pStyle w:val="28"/>
            </w:pPr>
            <w:r>
              <w:t>3 模型混合集成 + 5 尺度 TTA</w:t>
            </w:r>
          </w:p>
        </w:tc>
        <w:tc>
          <w:tcPr>
            <w:tcW w:w="727" w:type="dxa"/>
          </w:tcPr>
          <w:p w14:paraId="69A277DB">
            <w:pPr>
              <w:pStyle w:val="28"/>
            </w:pPr>
            <w:r>
              <w:t>推理组合</w:t>
            </w:r>
          </w:p>
        </w:tc>
        <w:tc>
          <w:tcPr>
            <w:tcW w:w="1003" w:type="dxa"/>
          </w:tcPr>
          <w:p w14:paraId="18DCF0D1">
            <w:pPr>
              <w:pStyle w:val="28"/>
            </w:pPr>
            <w:r>
              <w:t>—</w:t>
            </w:r>
          </w:p>
        </w:tc>
        <w:tc>
          <w:tcPr>
            <w:tcW w:w="1196" w:type="dxa"/>
          </w:tcPr>
          <w:p w14:paraId="6F0F36BF">
            <w:pPr>
              <w:pStyle w:val="28"/>
            </w:pPr>
            <w:r>
              <w:t>0.8143</w:t>
            </w:r>
          </w:p>
        </w:tc>
        <w:tc>
          <w:tcPr>
            <w:tcW w:w="1196" w:type="dxa"/>
          </w:tcPr>
          <w:p w14:paraId="35B43FC3">
            <w:pPr>
              <w:pStyle w:val="28"/>
            </w:pPr>
            <w:r>
              <w:t>0.8075</w:t>
            </w:r>
          </w:p>
        </w:tc>
        <w:tc>
          <w:tcPr>
            <w:tcW w:w="1018" w:type="dxa"/>
          </w:tcPr>
          <w:p w14:paraId="5EFEF7C6">
            <w:pPr>
              <w:pStyle w:val="28"/>
            </w:pPr>
            <w:r>
              <w:t>0.9590</w:t>
            </w:r>
          </w:p>
        </w:tc>
      </w:tr>
      <w:tr w14:paraId="39BB7C1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00" w:type="dxa"/>
          </w:tcPr>
          <w:p w14:paraId="69EA7D6D">
            <w:pPr>
              <w:pStyle w:val="28"/>
            </w:pPr>
            <w:r>
              <w:rPr>
                <w:b/>
                <w:bCs/>
              </w:rPr>
              <w:t>最终提交：4 模型混合集成（R101 权重 ×1.25）+ 5 尺度 TTA</w:t>
            </w:r>
          </w:p>
        </w:tc>
        <w:tc>
          <w:tcPr>
            <w:tcW w:w="727" w:type="dxa"/>
          </w:tcPr>
          <w:p w14:paraId="63DABDC0">
            <w:pPr>
              <w:pStyle w:val="28"/>
            </w:pPr>
            <w:r>
              <w:t>混合</w:t>
            </w:r>
          </w:p>
        </w:tc>
        <w:tc>
          <w:tcPr>
            <w:tcW w:w="1003" w:type="dxa"/>
          </w:tcPr>
          <w:p w14:paraId="59AE51F4">
            <w:pPr>
              <w:pStyle w:val="28"/>
            </w:pPr>
            <w:r>
              <w:t>—</w:t>
            </w:r>
          </w:p>
        </w:tc>
        <w:tc>
          <w:tcPr>
            <w:tcW w:w="1196" w:type="dxa"/>
          </w:tcPr>
          <w:p w14:paraId="0F8AEA5D">
            <w:pPr>
              <w:pStyle w:val="28"/>
            </w:pPr>
            <w:r>
              <w:rPr>
                <w:b/>
                <w:bCs/>
              </w:rPr>
              <w:t>0.8195</w:t>
            </w:r>
          </w:p>
        </w:tc>
        <w:tc>
          <w:tcPr>
            <w:tcW w:w="1196" w:type="dxa"/>
          </w:tcPr>
          <w:p w14:paraId="5F4DBAC4">
            <w:pPr>
              <w:pStyle w:val="28"/>
            </w:pPr>
            <w:r>
              <w:rPr>
                <w:b/>
                <w:bCs/>
              </w:rPr>
              <w:t>0.8128</w:t>
            </w:r>
          </w:p>
        </w:tc>
        <w:tc>
          <w:tcPr>
            <w:tcW w:w="1018" w:type="dxa"/>
          </w:tcPr>
          <w:p w14:paraId="4402C7E5">
            <w:pPr>
              <w:pStyle w:val="28"/>
            </w:pPr>
            <w:r>
              <w:rPr>
                <w:b/>
                <w:bCs/>
              </w:rPr>
              <w:t>0.9608</w:t>
            </w:r>
          </w:p>
        </w:tc>
      </w:tr>
    </w:tbl>
    <w:p w14:paraId="6894B81A">
      <w:pPr>
        <w:pStyle w:val="28"/>
        <w:spacing w:before="160" w:after="80" w:line="384" w:lineRule="auto"/>
        <w:jc w:val="both"/>
      </w:pPr>
      <w:r>
        <w:rPr>
          <w:rFonts w:ascii="Times New Roman" w:hAnsi="Times New Roman" w:eastAsia="宋体" w:cs="Times New Roman"/>
        </w:rPr>
        <w:t>（1）训练侧：LFCA 解码器 +0.25（残差式保证不退步）；</w:t>
      </w:r>
      <w:r>
        <w:rPr>
          <w:rFonts w:ascii="Times New Roman" w:hAnsi="Times New Roman" w:eastAsia="宋体" w:cs="Times New Roman"/>
          <w:b/>
          <w:bCs/>
        </w:rPr>
        <w:t>SBD 数据扩充再 +0.48</w:t>
      </w:r>
      <w:r>
        <w:rPr>
          <w:rFonts w:ascii="Times New Roman" w:hAnsi="Times New Roman" w:eastAsia="宋体" w:cs="Times New Roman"/>
        </w:rPr>
        <w:t>，为最大单项训练侧增益。</w:t>
      </w:r>
    </w:p>
    <w:p w14:paraId="2C67A24D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（2）推理侧组合（TTA + 集成）在训练模型上再 +3.37（0.7570 → 0.7907）。</w:t>
      </w:r>
    </w:p>
    <w:p w14:paraId="1ECA2A2F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（3）</w:t>
      </w:r>
      <w:r>
        <w:rPr>
          <w:rFonts w:ascii="Times New Roman" w:hAnsi="Times New Roman" w:eastAsia="宋体" w:cs="Times New Roman"/>
          <w:b/>
          <w:bCs/>
        </w:rPr>
        <w:t>但零样本预训练权重（0.7951）本身就超过了上述全部训练成果</w:t>
      </w:r>
      <w:r>
        <w:rPr>
          <w:rFonts w:ascii="Times New Roman" w:hAnsi="Times New Roman" w:eastAsia="宋体" w:cs="Times New Roman"/>
        </w:rPr>
        <w:t>——这是本项目最重要的发现，见 5.3。</w:t>
      </w:r>
    </w:p>
    <w:p w14:paraId="4CC1081E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 xml:space="preserve">（4）最终混合集成 </w:t>
      </w:r>
      <w:r>
        <w:rPr>
          <w:rFonts w:ascii="Times New Roman" w:hAnsi="Times New Roman" w:eastAsia="宋体" w:cs="Times New Roman"/>
          <w:b/>
          <w:bCs/>
        </w:rPr>
        <w:t>0.8195</w:t>
      </w:r>
      <w:r>
        <w:rPr>
          <w:rFonts w:ascii="Times New Roman" w:hAnsi="Times New Roman" w:eastAsia="宋体" w:cs="Times New Roman"/>
        </w:rPr>
        <w:t xml:space="preserve">，比 3 模型版本（0.8143）高 0.52 点，比旧提交配置（0.7907）高 </w:t>
      </w:r>
      <w:r>
        <w:rPr>
          <w:rFonts w:ascii="Times New Roman" w:hAnsi="Times New Roman" w:eastAsia="宋体" w:cs="Times New Roman"/>
          <w:b/>
          <w:bCs/>
        </w:rPr>
        <w:t>2.88 点</w:t>
      </w:r>
      <w:r>
        <w:rPr>
          <w:rFonts w:ascii="Times New Roman" w:hAnsi="Times New Roman" w:eastAsia="宋体" w:cs="Times New Roman"/>
        </w:rPr>
        <w:t xml:space="preserve">，比零样本单模型单尺度（0.7951）高 2.44 点（详见 5.9）。最终 4 个成员恰好构成 </w:t>
      </w:r>
      <w:r>
        <w:rPr>
          <w:rFonts w:ascii="Times New Roman" w:hAnsi="Times New Roman" w:eastAsia="宋体" w:cs="Times New Roman"/>
          <w:b/>
          <w:bCs/>
        </w:rPr>
        <w:t>骨干(R50/​R101) × 训练方式(零样本/​微调)</w:t>
      </w:r>
      <w:r>
        <w:rPr>
          <w:rFonts w:ascii="Times New Roman" w:hAnsi="Times New Roman" w:eastAsia="宋体" w:cs="Times New Roman"/>
        </w:rPr>
        <w:t xml:space="preserve"> 的 2×2 设计。</w:t>
      </w:r>
    </w:p>
    <w:bookmarkEnd w:id="30"/>
    <w:p w14:paraId="246145D6">
      <w:pPr>
        <w:pStyle w:val="5"/>
        <w:keepNext/>
        <w:spacing w:before="240" w:after="120" w:line="312" w:lineRule="auto"/>
      </w:pPr>
      <w:bookmarkStart w:id="31" w:name="_Toc243935458"/>
      <w:bookmarkStart w:id="32" w:name="零样本基线预训练权重质量优于一切训练侧改动核心发现"/>
      <w:r>
        <w:rPr>
          <w:rFonts w:ascii="Times New Roman" w:hAnsi="Times New Roman" w:eastAsia="黑体" w:cs="Times New Roman"/>
        </w:rPr>
        <w:t>5.3 零样本基线：预训练权重质量优于一切训练侧改动（核心发现）</w:t>
      </w:r>
      <w:bookmarkEnd w:id="31"/>
    </w:p>
    <w:p w14:paraId="42C0DB8A">
      <w:pPr>
        <w:pStyle w:val="27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 xml:space="preserve">在分析 R101 训练曲线异常时（第 0 个 epoch 验证即达 0.7601，接近 R50 训练 30 轮的最优水平），我们编写了 </w:t>
      </w:r>
      <w:r>
        <w:rPr>
          <w:rStyle w:val="39"/>
          <w:rFonts w:ascii="Times New Roman" w:hAnsi="Times New Roman" w:eastAsia="宋体" w:cs="Times New Roman"/>
          <w:sz w:val="24"/>
        </w:rPr>
        <w:t>eval_pretrain.py</w:t>
      </w:r>
      <w:r>
        <w:rPr>
          <w:rFonts w:ascii="Times New Roman" w:hAnsi="Times New Roman" w:eastAsia="宋体" w:cs="Times New Roman"/>
        </w:rPr>
        <w:t xml:space="preserve"> 系统评估</w:t>
      </w:r>
      <w:r>
        <w:rPr>
          <w:rFonts w:ascii="Times New Roman" w:hAnsi="Times New Roman" w:eastAsia="宋体" w:cs="Times New Roman"/>
          <w:b/>
          <w:bCs/>
        </w:rPr>
        <w:t>完全不做微调</w:t>
      </w:r>
      <w:r>
        <w:rPr>
          <w:rFonts w:ascii="Times New Roman" w:hAnsi="Times New Roman" w:eastAsia="宋体" w:cs="Times New Roman"/>
        </w:rPr>
        <w:t>的预训练权重，其结果推翻了原有的训练主线：</w:t>
      </w:r>
    </w:p>
    <w:p w14:paraId="7BB30AD5">
      <w:pPr>
        <w:pStyle w:val="3"/>
        <w:keepNext/>
        <w:spacing w:before="80" w:after="200" w:line="420" w:lineRule="auto"/>
        <w:jc w:val="center"/>
      </w:pPr>
      <w:r>
        <w:rPr>
          <w:rFonts w:ascii="Times New Roman" w:hAnsi="Times New Roman" w:eastAsia="宋体" w:cs="Times New Roman"/>
          <w:bCs/>
          <w:sz w:val="21"/>
        </w:rPr>
        <w:t>表 5-2　零样本预训练权重与微调 30 轮结果的对比</w:t>
      </w:r>
    </w:p>
    <w:tbl>
      <w:tblPr>
        <w:tblStyle w:val="32"/>
        <w:tblW w:w="8640" w:type="dxa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6"/>
        <w:gridCol w:w="1942"/>
        <w:gridCol w:w="4078"/>
        <w:gridCol w:w="1384"/>
      </w:tblGrid>
      <w:tr w14:paraId="6C8EBEA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36" w:type="dxa"/>
            <w:tcBorders>
              <w:bottom w:val="single" w:color="000000" w:sz="6" w:space="0"/>
            </w:tcBorders>
            <w:vAlign w:val="bottom"/>
          </w:tcPr>
          <w:p w14:paraId="1EB37515">
            <w:pPr>
              <w:pStyle w:val="28"/>
            </w:pPr>
            <w:r>
              <w:t>模型</w:t>
            </w:r>
          </w:p>
        </w:tc>
        <w:tc>
          <w:tcPr>
            <w:tcW w:w="1942" w:type="dxa"/>
            <w:tcBorders>
              <w:bottom w:val="single" w:color="000000" w:sz="6" w:space="0"/>
            </w:tcBorders>
            <w:vAlign w:val="bottom"/>
          </w:tcPr>
          <w:p w14:paraId="659F6917">
            <w:pPr>
              <w:pStyle w:val="28"/>
            </w:pPr>
            <w:r>
              <w:t>零样本（零训练）</w:t>
            </w:r>
          </w:p>
        </w:tc>
        <w:tc>
          <w:tcPr>
            <w:tcW w:w="4078" w:type="dxa"/>
            <w:tcBorders>
              <w:bottom w:val="single" w:color="000000" w:sz="6" w:space="0"/>
            </w:tcBorders>
            <w:vAlign w:val="bottom"/>
          </w:tcPr>
          <w:p w14:paraId="2F8F759E">
            <w:pPr>
              <w:pStyle w:val="28"/>
            </w:pPr>
            <w:r>
              <w:t>微调 30 轮后</w:t>
            </w:r>
          </w:p>
        </w:tc>
        <w:tc>
          <w:tcPr>
            <w:tcW w:w="1384" w:type="dxa"/>
            <w:tcBorders>
              <w:bottom w:val="single" w:color="000000" w:sz="6" w:space="0"/>
            </w:tcBorders>
            <w:vAlign w:val="bottom"/>
          </w:tcPr>
          <w:p w14:paraId="2D9FF535">
            <w:pPr>
              <w:pStyle w:val="28"/>
            </w:pPr>
            <w:r>
              <w:t>差值</w:t>
            </w:r>
          </w:p>
        </w:tc>
      </w:tr>
      <w:tr w14:paraId="6F8C0F2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36" w:type="dxa"/>
          </w:tcPr>
          <w:p w14:paraId="3B35FD8A">
            <w:pPr>
              <w:pStyle w:val="28"/>
            </w:pPr>
            <w:r>
              <w:t>resnet50</w:t>
            </w:r>
          </w:p>
        </w:tc>
        <w:tc>
          <w:tcPr>
            <w:tcW w:w="1942" w:type="dxa"/>
          </w:tcPr>
          <w:p w14:paraId="214C795E">
            <w:pPr>
              <w:pStyle w:val="28"/>
            </w:pPr>
            <w:r>
              <w:rPr>
                <w:b/>
                <w:bCs/>
              </w:rPr>
              <w:t>0.7768</w:t>
            </w:r>
          </w:p>
        </w:tc>
        <w:tc>
          <w:tcPr>
            <w:tcW w:w="4078" w:type="dxa"/>
          </w:tcPr>
          <w:p w14:paraId="0DD8C3A6">
            <w:pPr>
              <w:pStyle w:val="28"/>
            </w:pPr>
            <w:r>
              <w:t>0.7497(base) / 0.7522(lfca) / 0.7570(sbd)</w:t>
            </w:r>
          </w:p>
        </w:tc>
        <w:tc>
          <w:tcPr>
            <w:tcW w:w="1384" w:type="dxa"/>
          </w:tcPr>
          <w:p w14:paraId="4FD66922">
            <w:pPr>
              <w:pStyle w:val="28"/>
            </w:pPr>
            <w:r>
              <w:rPr>
                <w:b/>
                <w:bCs/>
              </w:rPr>
              <w:t>−1.98</w:t>
            </w:r>
          </w:p>
        </w:tc>
      </w:tr>
      <w:tr w14:paraId="6638438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36" w:type="dxa"/>
          </w:tcPr>
          <w:p w14:paraId="6B2EF24F">
            <w:pPr>
              <w:pStyle w:val="28"/>
            </w:pPr>
            <w:r>
              <w:t>resnet101</w:t>
            </w:r>
          </w:p>
        </w:tc>
        <w:tc>
          <w:tcPr>
            <w:tcW w:w="1942" w:type="dxa"/>
          </w:tcPr>
          <w:p w14:paraId="0312AD20">
            <w:pPr>
              <w:pStyle w:val="28"/>
            </w:pPr>
            <w:r>
              <w:rPr>
                <w:b/>
                <w:bCs/>
              </w:rPr>
              <w:t>0.7951</w:t>
            </w:r>
          </w:p>
        </w:tc>
        <w:tc>
          <w:tcPr>
            <w:tcW w:w="4078" w:type="dxa"/>
          </w:tcPr>
          <w:p w14:paraId="7E8851CE">
            <w:pPr>
              <w:pStyle w:val="28"/>
            </w:pPr>
            <w:r>
              <w:t>e0=0.7601 → 之后 0.72~0.74</w:t>
            </w:r>
          </w:p>
        </w:tc>
        <w:tc>
          <w:tcPr>
            <w:tcW w:w="1384" w:type="dxa"/>
          </w:tcPr>
          <w:p w14:paraId="4EB739FB">
            <w:pPr>
              <w:pStyle w:val="28"/>
            </w:pPr>
            <w:r>
              <w:t>约 −0.5 ~ −1</w:t>
            </w:r>
          </w:p>
        </w:tc>
      </w:tr>
    </w:tbl>
    <w:p w14:paraId="17844B3F">
      <w:pPr>
        <w:pStyle w:val="3"/>
        <w:spacing w:before="16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  <w:b/>
          <w:bCs/>
        </w:rPr>
        <w:t>机制分析</w:t>
      </w:r>
      <w:r>
        <w:rPr>
          <w:rFonts w:ascii="Times New Roman" w:hAnsi="Times New Roman" w:eastAsia="宋体" w:cs="Times New Roman"/>
        </w:rPr>
        <w:t>：</w:t>
      </w:r>
      <w:r>
        <w:rPr>
          <w:rStyle w:val="39"/>
          <w:rFonts w:ascii="Times New Roman" w:hAnsi="Times New Roman" w:eastAsia="宋体" w:cs="Times New Roman"/>
          <w:sz w:val="24"/>
        </w:rPr>
        <w:t>COCO_WITH_VOC_LABELS_V1</w:t>
      </w:r>
      <w:r>
        <w:rPr>
          <w:rFonts w:ascii="Times New Roman" w:hAnsi="Times New Roman" w:eastAsia="宋体" w:cs="Times New Roman"/>
        </w:rPr>
        <w:t xml:space="preserve"> 是 torchvision 在 </w:t>
      </w:r>
      <w:r>
        <w:rPr>
          <w:rFonts w:ascii="Times New Roman" w:hAnsi="Times New Roman" w:eastAsia="宋体" w:cs="Times New Roman"/>
          <w:b/>
          <w:bCs/>
        </w:rPr>
        <w:t>COCO[4] 118k 张图</w:t>
      </w:r>
      <w:r>
        <w:rPr>
          <w:rFonts w:ascii="Times New Roman" w:hAnsi="Times New Roman" w:eastAsia="宋体" w:cs="Times New Roman"/>
        </w:rPr>
        <w:t xml:space="preserve">上以 VOC[6] 21 类标签体系预训练的权重，数据量为训练集的 </w:t>
      </w:r>
      <w:r>
        <w:rPr>
          <w:rFonts w:ascii="Times New Roman" w:hAnsi="Times New Roman" w:eastAsia="宋体" w:cs="Times New Roman"/>
          <w:b/>
          <w:bCs/>
        </w:rPr>
        <w:t>40 倍</w:t>
      </w:r>
      <w:r>
        <w:rPr>
          <w:rFonts w:ascii="Times New Roman" w:hAnsi="Times New Roman" w:eastAsia="宋体" w:cs="Times New Roman"/>
        </w:rPr>
        <w:t>，且测试集正属 COCO 域。以 8284 张 VOC+SBD[7] 数据、</w:t>
      </w:r>
      <w:r>
        <w:rPr>
          <w:rStyle w:val="39"/>
          <w:rFonts w:ascii="Times New Roman" w:hAnsi="Times New Roman" w:eastAsia="宋体" w:cs="Times New Roman"/>
          <w:sz w:val="24"/>
        </w:rPr>
        <w:t>lr=0.01</w:t>
      </w:r>
      <w:r>
        <w:rPr>
          <w:rFonts w:ascii="Times New Roman" w:hAnsi="Times New Roman" w:eastAsia="宋体" w:cs="Times New Roman"/>
        </w:rPr>
        <w:t xml:space="preserve"> 微调 30 轮，等于</w:t>
      </w:r>
      <w:r>
        <w:rPr>
          <w:rFonts w:ascii="Times New Roman" w:hAnsi="Times New Roman" w:eastAsia="宋体" w:cs="Times New Roman"/>
          <w:b/>
          <w:bCs/>
        </w:rPr>
        <w:t>破坏通用表征以适应 VOC train 的特定分布</w:t>
      </w:r>
      <w:r>
        <w:rPr>
          <w:rFonts w:ascii="Times New Roman" w:hAnsi="Times New Roman" w:eastAsia="宋体" w:cs="Times New Roman"/>
        </w:rPr>
        <w:t>——模型过拟合训练域，同时丧失对 COCO 的适应性。</w:t>
      </w:r>
    </w:p>
    <w:p w14:paraId="49476D41">
      <w:pPr>
        <w:pStyle w:val="3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  <w:b/>
          <w:bCs/>
        </w:rPr>
        <w:t>旁证（R101 训练曲线）</w:t>
      </w:r>
      <w:r>
        <w:rPr>
          <w:rFonts w:ascii="Times New Roman" w:hAnsi="Times New Roman" w:eastAsia="宋体" w:cs="Times New Roman"/>
        </w:rPr>
        <w:t>：R101 微调第 0 个 epoch 验证即 0.7601（≈ 零样本水平），随后震荡下滑至 0.72~0.74，正是通用表征被大学习率逐步破坏的过程；该实验已在 epoch 13 中止（</w:t>
      </w:r>
      <w:r>
        <w:rPr>
          <w:rStyle w:val="39"/>
          <w:rFonts w:ascii="Times New Roman" w:hAnsi="Times New Roman" w:eastAsia="宋体" w:cs="Times New Roman"/>
          <w:sz w:val="24"/>
        </w:rPr>
        <w:t>runs/​sbd_lfca_r101_e45/</w:t>
      </w:r>
      <w:r>
        <w:rPr>
          <w:rFonts w:ascii="Times New Roman" w:hAnsi="Times New Roman" w:eastAsia="宋体" w:cs="Times New Roman"/>
        </w:rPr>
        <w:t xml:space="preserve"> 保留完整日志）。</w:t>
      </w:r>
    </w:p>
    <w:p w14:paraId="54372763">
      <w:pPr>
        <w:pStyle w:val="3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  <w:b/>
          <w:bCs/>
        </w:rPr>
        <w:t>结论</w:t>
      </w:r>
      <w:r>
        <w:rPr>
          <w:rFonts w:ascii="Times New Roman" w:hAnsi="Times New Roman" w:eastAsia="宋体" w:cs="Times New Roman"/>
        </w:rPr>
        <w:t>：在小数据（数千张）场景下，</w:t>
      </w:r>
      <w:r>
        <w:rPr>
          <w:rFonts w:ascii="Times New Roman" w:hAnsi="Times New Roman" w:eastAsia="宋体" w:cs="Times New Roman"/>
          <w:b/>
          <w:bCs/>
        </w:rPr>
        <w:t>预训练权重质量优于一切训练侧改动</w:t>
      </w:r>
      <w:r>
        <w:rPr>
          <w:rFonts w:ascii="Times New Roman" w:hAnsi="Times New Roman" w:eastAsia="宋体" w:cs="Times New Roman"/>
        </w:rPr>
        <w:t>。微调不仅未能超过零样本基线，反而构成负收益。这一发现直接将项目主线从「以微调提升性能」修正为「零样本权重 + TTA + 混合集成」。为排除将负收益简单归因于“学习率设置不当”这一替代解释，5.12 另设一组严格对照（学习率降低两个数量级 + 骨干完全冻结）加以检验。</w:t>
      </w:r>
    </w:p>
    <w:bookmarkEnd w:id="32"/>
    <w:p w14:paraId="62EED376">
      <w:pPr>
        <w:pStyle w:val="5"/>
        <w:keepNext/>
        <w:spacing w:before="240" w:after="120" w:line="312" w:lineRule="auto"/>
      </w:pPr>
      <w:bookmarkStart w:id="33" w:name="_Toc243935459"/>
      <w:bookmarkStart w:id="34" w:name="训练侧消融实验"/>
      <w:r>
        <w:rPr>
          <w:rFonts w:ascii="Times New Roman" w:hAnsi="Times New Roman" w:eastAsia="黑体" w:cs="Times New Roman"/>
        </w:rPr>
        <w:t>5.4 训练侧消融实验</w:t>
      </w:r>
      <w:bookmarkEnd w:id="33"/>
    </w:p>
    <w:p w14:paraId="7F332F2E">
      <w:pPr>
        <w:pStyle w:val="27"/>
        <w:keepNext/>
        <w:spacing w:before="80" w:after="200" w:line="420" w:lineRule="auto"/>
        <w:jc w:val="center"/>
      </w:pPr>
      <w:r>
        <w:rPr>
          <w:rFonts w:ascii="Times New Roman" w:hAnsi="Times New Roman" w:eastAsia="宋体" w:cs="Times New Roman"/>
          <w:bCs/>
          <w:sz w:val="21"/>
        </w:rPr>
        <w:t>表 5-3　训练侧消融实验（VOC val，21 类 mIoU）</w:t>
      </w:r>
    </w:p>
    <w:tbl>
      <w:tblPr>
        <w:tblStyle w:val="32"/>
        <w:tblW w:w="8640" w:type="dxa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0"/>
        <w:gridCol w:w="1508"/>
        <w:gridCol w:w="2212"/>
      </w:tblGrid>
      <w:tr w14:paraId="1A509AC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920" w:type="dxa"/>
            <w:tcBorders>
              <w:bottom w:val="single" w:color="000000" w:sz="6" w:space="0"/>
            </w:tcBorders>
            <w:vAlign w:val="bottom"/>
          </w:tcPr>
          <w:p w14:paraId="69A5E554">
            <w:pPr>
              <w:pStyle w:val="28"/>
            </w:pPr>
            <w:r>
              <w:t>配置</w:t>
            </w:r>
          </w:p>
        </w:tc>
        <w:tc>
          <w:tcPr>
            <w:tcW w:w="1508" w:type="dxa"/>
            <w:tcBorders>
              <w:bottom w:val="single" w:color="000000" w:sz="6" w:space="0"/>
            </w:tcBorders>
            <w:vAlign w:val="bottom"/>
          </w:tcPr>
          <w:p w14:paraId="1C5BBDD4">
            <w:pPr>
              <w:pStyle w:val="28"/>
            </w:pPr>
            <w:r>
              <w:t>mIoU(21)</w:t>
            </w:r>
          </w:p>
        </w:tc>
        <w:tc>
          <w:tcPr>
            <w:tcW w:w="2212" w:type="dxa"/>
            <w:tcBorders>
              <w:bottom w:val="single" w:color="000000" w:sz="6" w:space="0"/>
            </w:tcBorders>
            <w:vAlign w:val="bottom"/>
          </w:tcPr>
          <w:p w14:paraId="068E4097">
            <w:pPr>
              <w:pStyle w:val="28"/>
            </w:pPr>
            <w:r>
              <w:t>Δ（相对基线）</w:t>
            </w:r>
          </w:p>
        </w:tc>
      </w:tr>
      <w:tr w14:paraId="6EF3F4D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920" w:type="dxa"/>
          </w:tcPr>
          <w:p w14:paraId="214E876E">
            <w:pPr>
              <w:pStyle w:val="28"/>
            </w:pPr>
            <w:r>
              <w:t>DeepLabV3 基线</w:t>
            </w:r>
          </w:p>
        </w:tc>
        <w:tc>
          <w:tcPr>
            <w:tcW w:w="1508" w:type="dxa"/>
          </w:tcPr>
          <w:p w14:paraId="5CAE5735">
            <w:pPr>
              <w:pStyle w:val="28"/>
            </w:pPr>
            <w:r>
              <w:t>0.7497</w:t>
            </w:r>
          </w:p>
        </w:tc>
        <w:tc>
          <w:tcPr>
            <w:tcW w:w="2212" w:type="dxa"/>
          </w:tcPr>
          <w:p w14:paraId="27547AB3">
            <w:pPr>
              <w:pStyle w:val="28"/>
            </w:pPr>
            <w:r>
              <w:t>—</w:t>
            </w:r>
          </w:p>
        </w:tc>
      </w:tr>
      <w:tr w14:paraId="03A1F88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920" w:type="dxa"/>
          </w:tcPr>
          <w:p w14:paraId="20042DA7">
            <w:pPr>
              <w:pStyle w:val="28"/>
            </w:pPr>
            <w:r>
              <w:t>+ LFCA 解码器（含 SE 通道注意力）</w:t>
            </w:r>
          </w:p>
        </w:tc>
        <w:tc>
          <w:tcPr>
            <w:tcW w:w="1508" w:type="dxa"/>
          </w:tcPr>
          <w:p w14:paraId="5B5821D4">
            <w:pPr>
              <w:pStyle w:val="28"/>
            </w:pPr>
            <w:r>
              <w:t>0.7522</w:t>
            </w:r>
          </w:p>
        </w:tc>
        <w:tc>
          <w:tcPr>
            <w:tcW w:w="2212" w:type="dxa"/>
          </w:tcPr>
          <w:p w14:paraId="5F16AAC4">
            <w:pPr>
              <w:pStyle w:val="28"/>
            </w:pPr>
            <w:r>
              <w:t>+0.25</w:t>
            </w:r>
          </w:p>
        </w:tc>
      </w:tr>
      <w:tr w14:paraId="5119F50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920" w:type="dxa"/>
          </w:tcPr>
          <w:p w14:paraId="77C6EB10">
            <w:pPr>
              <w:pStyle w:val="28"/>
            </w:pPr>
            <w:r>
              <w:t>+ SBD 扩充训练集</w:t>
            </w:r>
          </w:p>
        </w:tc>
        <w:tc>
          <w:tcPr>
            <w:tcW w:w="1508" w:type="dxa"/>
          </w:tcPr>
          <w:p w14:paraId="2534B73B">
            <w:pPr>
              <w:pStyle w:val="28"/>
            </w:pPr>
            <w:r>
              <w:rPr>
                <w:b/>
                <w:bCs/>
              </w:rPr>
              <w:t>0.7570</w:t>
            </w:r>
          </w:p>
        </w:tc>
        <w:tc>
          <w:tcPr>
            <w:tcW w:w="2212" w:type="dxa"/>
          </w:tcPr>
          <w:p w14:paraId="726613FE">
            <w:pPr>
              <w:pStyle w:val="28"/>
            </w:pPr>
            <w:r>
              <w:rPr>
                <w:b/>
                <w:bCs/>
              </w:rPr>
              <w:t>+0.73</w:t>
            </w:r>
          </w:p>
        </w:tc>
      </w:tr>
      <w:bookmarkEnd w:id="34"/>
    </w:tbl>
    <w:p w14:paraId="6BD8F968">
      <w:pPr>
        <w:pStyle w:val="5"/>
        <w:keepNext/>
        <w:spacing w:before="240" w:after="120" w:line="312" w:lineRule="auto"/>
      </w:pPr>
      <w:bookmarkStart w:id="35" w:name="_Toc243935460"/>
      <w:bookmarkStart w:id="36" w:name="推理增强-tta-消融"/>
      <w:r>
        <w:rPr>
          <w:rFonts w:ascii="Times New Roman" w:hAnsi="Times New Roman" w:eastAsia="黑体" w:cs="Times New Roman"/>
        </w:rPr>
        <w:t>5.5 推理增强 TTA 消融</w:t>
      </w:r>
      <w:bookmarkEnd w:id="35"/>
    </w:p>
    <w:p w14:paraId="7DE50702">
      <w:pPr>
        <w:pStyle w:val="27"/>
        <w:keepNext/>
        <w:spacing w:before="80" w:after="200" w:line="420" w:lineRule="auto"/>
        <w:jc w:val="center"/>
      </w:pPr>
      <w:r>
        <w:rPr>
          <w:rFonts w:ascii="Times New Roman" w:hAnsi="Times New Roman" w:eastAsia="宋体" w:cs="Times New Roman"/>
          <w:bCs/>
          <w:sz w:val="21"/>
        </w:rPr>
        <w:t>表 5-4　TTA 消融（口径一：自训练 sbd_lfca 单模型，val 300 张子集）</w:t>
      </w:r>
    </w:p>
    <w:tbl>
      <w:tblPr>
        <w:tblStyle w:val="32"/>
        <w:tblW w:w="8640" w:type="dxa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7"/>
        <w:gridCol w:w="2250"/>
        <w:gridCol w:w="1543"/>
      </w:tblGrid>
      <w:tr w14:paraId="22D01E2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47" w:type="dxa"/>
            <w:tcBorders>
              <w:bottom w:val="single" w:color="000000" w:sz="6" w:space="0"/>
            </w:tcBorders>
            <w:vAlign w:val="bottom"/>
          </w:tcPr>
          <w:p w14:paraId="564ADE39">
            <w:pPr>
              <w:pStyle w:val="28"/>
            </w:pPr>
            <w:r>
              <w:t>配置</w:t>
            </w:r>
          </w:p>
        </w:tc>
        <w:tc>
          <w:tcPr>
            <w:tcW w:w="2250" w:type="dxa"/>
            <w:tcBorders>
              <w:bottom w:val="single" w:color="000000" w:sz="6" w:space="0"/>
            </w:tcBorders>
            <w:vAlign w:val="bottom"/>
          </w:tcPr>
          <w:p w14:paraId="113C0C59">
            <w:pPr>
              <w:pStyle w:val="28"/>
            </w:pPr>
            <w:r>
              <w:t>mIoU(21)</w:t>
            </w:r>
          </w:p>
        </w:tc>
        <w:tc>
          <w:tcPr>
            <w:tcW w:w="1543" w:type="dxa"/>
            <w:tcBorders>
              <w:bottom w:val="single" w:color="000000" w:sz="6" w:space="0"/>
            </w:tcBorders>
            <w:vAlign w:val="bottom"/>
          </w:tcPr>
          <w:p w14:paraId="47B26B6D">
            <w:pPr>
              <w:pStyle w:val="28"/>
            </w:pPr>
            <w:r>
              <w:t>Δ</w:t>
            </w:r>
          </w:p>
        </w:tc>
      </w:tr>
      <w:tr w14:paraId="37EFD3A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47" w:type="dxa"/>
          </w:tcPr>
          <w:p w14:paraId="25225534">
            <w:pPr>
              <w:pStyle w:val="28"/>
            </w:pPr>
            <w:r>
              <w:t>单尺度</w:t>
            </w:r>
          </w:p>
        </w:tc>
        <w:tc>
          <w:tcPr>
            <w:tcW w:w="2250" w:type="dxa"/>
          </w:tcPr>
          <w:p w14:paraId="312B6FDA">
            <w:pPr>
              <w:pStyle w:val="28"/>
            </w:pPr>
            <w:r>
              <w:t>0.7478</w:t>
            </w:r>
          </w:p>
        </w:tc>
        <w:tc>
          <w:tcPr>
            <w:tcW w:w="1543" w:type="dxa"/>
          </w:tcPr>
          <w:p w14:paraId="6A6ECE5E">
            <w:pPr>
              <w:pStyle w:val="28"/>
            </w:pPr>
            <w:r>
              <w:t>—</w:t>
            </w:r>
          </w:p>
        </w:tc>
      </w:tr>
      <w:tr w14:paraId="7036DA6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47" w:type="dxa"/>
          </w:tcPr>
          <w:p w14:paraId="0696750C">
            <w:pPr>
              <w:pStyle w:val="28"/>
            </w:pPr>
            <w:r>
              <w:t>单尺度 + 水平翻转</w:t>
            </w:r>
          </w:p>
        </w:tc>
        <w:tc>
          <w:tcPr>
            <w:tcW w:w="2250" w:type="dxa"/>
          </w:tcPr>
          <w:p w14:paraId="5515119E">
            <w:pPr>
              <w:pStyle w:val="28"/>
            </w:pPr>
            <w:r>
              <w:t>0.7590</w:t>
            </w:r>
          </w:p>
        </w:tc>
        <w:tc>
          <w:tcPr>
            <w:tcW w:w="1543" w:type="dxa"/>
          </w:tcPr>
          <w:p w14:paraId="2451C672">
            <w:pPr>
              <w:pStyle w:val="28"/>
            </w:pPr>
            <w:r>
              <w:t>+1.12</w:t>
            </w:r>
          </w:p>
        </w:tc>
      </w:tr>
      <w:tr w14:paraId="34E41FE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47" w:type="dxa"/>
          </w:tcPr>
          <w:p w14:paraId="03659D34">
            <w:pPr>
              <w:pStyle w:val="28"/>
            </w:pPr>
            <w:r>
              <w:t>多尺度(0.75/1.0/1.25)</w:t>
            </w:r>
          </w:p>
        </w:tc>
        <w:tc>
          <w:tcPr>
            <w:tcW w:w="2250" w:type="dxa"/>
          </w:tcPr>
          <w:p w14:paraId="6C4C8A10">
            <w:pPr>
              <w:pStyle w:val="28"/>
            </w:pPr>
            <w:r>
              <w:t>0.7627</w:t>
            </w:r>
          </w:p>
        </w:tc>
        <w:tc>
          <w:tcPr>
            <w:tcW w:w="1543" w:type="dxa"/>
          </w:tcPr>
          <w:p w14:paraId="4F596E2A">
            <w:pPr>
              <w:pStyle w:val="28"/>
            </w:pPr>
            <w:r>
              <w:t>+1.48</w:t>
            </w:r>
          </w:p>
        </w:tc>
      </w:tr>
      <w:tr w14:paraId="054B54B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47" w:type="dxa"/>
          </w:tcPr>
          <w:p w14:paraId="2EA8577A">
            <w:pPr>
              <w:pStyle w:val="28"/>
            </w:pPr>
            <w:r>
              <w:t>多尺度 + 翻转</w:t>
            </w:r>
          </w:p>
        </w:tc>
        <w:tc>
          <w:tcPr>
            <w:tcW w:w="2250" w:type="dxa"/>
          </w:tcPr>
          <w:p w14:paraId="0B30C182">
            <w:pPr>
              <w:pStyle w:val="28"/>
            </w:pPr>
            <w:r>
              <w:t>0.7715</w:t>
            </w:r>
          </w:p>
        </w:tc>
        <w:tc>
          <w:tcPr>
            <w:tcW w:w="1543" w:type="dxa"/>
          </w:tcPr>
          <w:p w14:paraId="687C5810">
            <w:pPr>
              <w:pStyle w:val="28"/>
            </w:pPr>
            <w:r>
              <w:t>+2.36</w:t>
            </w:r>
          </w:p>
        </w:tc>
      </w:tr>
      <w:tr w14:paraId="32475A3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47" w:type="dxa"/>
          </w:tcPr>
          <w:p w14:paraId="35FE212A">
            <w:pPr>
              <w:pStyle w:val="28"/>
            </w:pPr>
            <w:r>
              <w:rPr>
                <w:b/>
                <w:bCs/>
              </w:rPr>
              <w:t>5 尺度(0.5~1.5) + 翻转</w:t>
            </w:r>
          </w:p>
        </w:tc>
        <w:tc>
          <w:tcPr>
            <w:tcW w:w="2250" w:type="dxa"/>
          </w:tcPr>
          <w:p w14:paraId="714B0792">
            <w:pPr>
              <w:pStyle w:val="28"/>
            </w:pPr>
            <w:r>
              <w:rPr>
                <w:b/>
                <w:bCs/>
              </w:rPr>
              <w:t>0.7772</w:t>
            </w:r>
          </w:p>
        </w:tc>
        <w:tc>
          <w:tcPr>
            <w:tcW w:w="1543" w:type="dxa"/>
          </w:tcPr>
          <w:p w14:paraId="666E5889">
            <w:pPr>
              <w:pStyle w:val="28"/>
            </w:pPr>
            <w:r>
              <w:rPr>
                <w:b/>
                <w:bCs/>
              </w:rPr>
              <w:t>+2.93</w:t>
            </w:r>
          </w:p>
        </w:tc>
      </w:tr>
    </w:tbl>
    <w:p w14:paraId="765C864E">
      <w:pPr>
        <w:pStyle w:val="3"/>
        <w:keepNext/>
        <w:spacing w:before="160" w:after="200" w:line="420" w:lineRule="auto"/>
        <w:jc w:val="center"/>
      </w:pPr>
      <w:r>
        <w:rPr>
          <w:rFonts w:ascii="Times New Roman" w:hAnsi="Times New Roman" w:eastAsia="宋体" w:cs="Times New Roman"/>
          <w:bCs/>
          <w:sz w:val="21"/>
        </w:rPr>
        <w:t>表 5-5　TTA 消融（口径二：零样本 DeepLabV3-R101，全量 val 1449 张）</w:t>
      </w:r>
    </w:p>
    <w:tbl>
      <w:tblPr>
        <w:tblStyle w:val="32"/>
        <w:tblW w:w="8640" w:type="dxa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7"/>
        <w:gridCol w:w="2250"/>
        <w:gridCol w:w="1543"/>
      </w:tblGrid>
      <w:tr w14:paraId="04B8FB9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cantSplit/>
          <w:tblHeader/>
        </w:trPr>
        <w:tc>
          <w:tcPr>
            <w:tcW w:w="4847" w:type="dxa"/>
            <w:tcBorders>
              <w:bottom w:val="single" w:color="000000" w:sz="6" w:space="0"/>
            </w:tcBorders>
            <w:vAlign w:val="bottom"/>
          </w:tcPr>
          <w:p w14:paraId="5699637C">
            <w:pPr>
              <w:pStyle w:val="28"/>
            </w:pPr>
            <w:r>
              <w:t>配置</w:t>
            </w:r>
          </w:p>
        </w:tc>
        <w:tc>
          <w:tcPr>
            <w:tcW w:w="2250" w:type="dxa"/>
            <w:tcBorders>
              <w:bottom w:val="single" w:color="000000" w:sz="6" w:space="0"/>
            </w:tcBorders>
            <w:vAlign w:val="bottom"/>
          </w:tcPr>
          <w:p w14:paraId="558A5D58">
            <w:pPr>
              <w:pStyle w:val="28"/>
            </w:pPr>
            <w:r>
              <w:t>mIoU(21)</w:t>
            </w:r>
          </w:p>
        </w:tc>
        <w:tc>
          <w:tcPr>
            <w:tcW w:w="1543" w:type="dxa"/>
            <w:tcBorders>
              <w:bottom w:val="single" w:color="000000" w:sz="6" w:space="0"/>
            </w:tcBorders>
            <w:vAlign w:val="bottom"/>
          </w:tcPr>
          <w:p w14:paraId="382BD5E1">
            <w:pPr>
              <w:pStyle w:val="28"/>
            </w:pPr>
            <w:r>
              <w:t>Δ</w:t>
            </w:r>
          </w:p>
        </w:tc>
      </w:tr>
      <w:tr w14:paraId="7CD0D9C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47" w:type="dxa"/>
          </w:tcPr>
          <w:p w14:paraId="4797D9EB">
            <w:pPr>
              <w:pStyle w:val="28"/>
            </w:pPr>
            <w:r>
              <w:t>单尺度</w:t>
            </w:r>
          </w:p>
        </w:tc>
        <w:tc>
          <w:tcPr>
            <w:tcW w:w="2250" w:type="dxa"/>
          </w:tcPr>
          <w:p w14:paraId="278FE9F5">
            <w:pPr>
              <w:pStyle w:val="28"/>
            </w:pPr>
            <w:r>
              <w:t>0.7951</w:t>
            </w:r>
          </w:p>
        </w:tc>
        <w:tc>
          <w:tcPr>
            <w:tcW w:w="1543" w:type="dxa"/>
          </w:tcPr>
          <w:p w14:paraId="570F30D2">
            <w:pPr>
              <w:pStyle w:val="28"/>
            </w:pPr>
            <w:r>
              <w:t>—</w:t>
            </w:r>
          </w:p>
        </w:tc>
      </w:tr>
      <w:tr w14:paraId="7C979EE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47" w:type="dxa"/>
          </w:tcPr>
          <w:p w14:paraId="734094CA">
            <w:pPr>
              <w:pStyle w:val="28"/>
            </w:pPr>
            <w:r>
              <w:rPr>
                <w:b/>
                <w:bCs/>
              </w:rPr>
              <w:t>5 尺度(0.5~1.5) + 翻转</w:t>
            </w:r>
          </w:p>
        </w:tc>
        <w:tc>
          <w:tcPr>
            <w:tcW w:w="2250" w:type="dxa"/>
          </w:tcPr>
          <w:p w14:paraId="0F990B63">
            <w:pPr>
              <w:pStyle w:val="28"/>
            </w:pPr>
            <w:r>
              <w:rPr>
                <w:b/>
                <w:bCs/>
              </w:rPr>
              <w:t>0.8024</w:t>
            </w:r>
          </w:p>
        </w:tc>
        <w:tc>
          <w:tcPr>
            <w:tcW w:w="1543" w:type="dxa"/>
          </w:tcPr>
          <w:p w14:paraId="7D568E22">
            <w:pPr>
              <w:pStyle w:val="28"/>
            </w:pPr>
            <w:r>
              <w:rPr>
                <w:b/>
                <w:bCs/>
              </w:rPr>
              <w:t>+0.73</w:t>
            </w:r>
          </w:p>
        </w:tc>
      </w:tr>
    </w:tbl>
    <w:p w14:paraId="5FB78A6F">
      <w:pPr>
        <w:pStyle w:val="3"/>
        <w:spacing w:before="16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>5 尺度 TTA + 翻转是性价比最高的推理侧增益手段（零样本模型上 +0.73，推理仅约 2 分钟/​400 张），最终提交统一采用。需要指出，零样本模型的 TTA 增益（+0.73）小于训练模型（+2.93）：预训练权重已见过更丰富的尺度变化，对尺度扰动的鲁棒性本就更强。</w:t>
      </w:r>
    </w:p>
    <w:bookmarkEnd w:id="36"/>
    <w:p w14:paraId="1F46BD09">
      <w:pPr>
        <w:pStyle w:val="5"/>
        <w:keepNext/>
        <w:spacing w:before="240" w:after="120" w:line="312" w:lineRule="auto"/>
      </w:pPr>
      <w:bookmarkStart w:id="37" w:name="_Toc243935461"/>
      <w:bookmarkStart w:id="38" w:name="最终提交配置逐类-iou"/>
      <w:r>
        <w:rPr>
          <w:rFonts w:ascii="Times New Roman" w:hAnsi="Times New Roman" w:eastAsia="黑体" w:cs="Times New Roman"/>
        </w:rPr>
        <w:t>5.6 最终提交配置逐类 IoU</w:t>
      </w:r>
      <w:bookmarkEnd w:id="37"/>
    </w:p>
    <w:p w14:paraId="77CECDA5">
      <w:pPr>
        <w:pStyle w:val="27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>总体 mIoU(21)=0.8195 / mIoU(20)=0.8128 / Pixel Acc=0.9608 / Mean Class Acc=0.8977。各类别 IoU 分布如图 5-1 与表 5-6 所示。</w:t>
      </w:r>
    </w:p>
    <w:p w14:paraId="53B428CE">
      <w:pPr>
        <w:pStyle w:val="38"/>
        <w:keepNext/>
      </w:pPr>
      <w:r>
        <w:drawing>
          <wp:inline distT="0" distB="0" distL="0" distR="0">
            <wp:extent cx="5334000" cy="3434080"/>
            <wp:effectExtent l="0" t="0" r="0" b="0"/>
            <wp:docPr id="2" name="Picture" descr="图 5-1　最终提交配置逐类 IoU 分布（按 IoU 降序，虚线为 21 类均值 0.8195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图 5-1　最终提交配置逐类 IoU 分布（按 IoU 降序，虚线为 21 类均值 0.8195）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3453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8E3609">
      <w:pPr>
        <w:pStyle w:val="36"/>
        <w:spacing w:before="80" w:after="200" w:line="420" w:lineRule="auto"/>
        <w:jc w:val="center"/>
      </w:pPr>
      <w:r>
        <w:rPr>
          <w:rFonts w:ascii="Times New Roman" w:hAnsi="Times New Roman" w:eastAsia="宋体" w:cs="Times New Roman"/>
          <w:sz w:val="21"/>
        </w:rPr>
        <w:t>图 5-1　最终提交配置逐类 IoU 分布（按 IoU 降序，虚线为 21 类均值 0.8195）</w:t>
      </w:r>
    </w:p>
    <w:p w14:paraId="07BBD0E3">
      <w:pPr>
        <w:pStyle w:val="3"/>
        <w:keepNext/>
        <w:spacing w:before="80" w:after="200" w:line="420" w:lineRule="auto"/>
        <w:jc w:val="center"/>
      </w:pPr>
      <w:r>
        <w:rPr>
          <w:rFonts w:ascii="Times New Roman" w:hAnsi="Times New Roman" w:eastAsia="宋体" w:cs="Times New Roman"/>
          <w:bCs/>
          <w:sz w:val="21"/>
        </w:rPr>
        <w:t>表 5-6　最终提交配置逐类 IoU（4 模型加权混合集成 + 5 尺度 TTA，全量 val）</w:t>
      </w:r>
    </w:p>
    <w:tbl>
      <w:tblPr>
        <w:tblStyle w:val="32"/>
        <w:tblW w:w="8640" w:type="dxa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1716"/>
        <w:gridCol w:w="2548"/>
        <w:gridCol w:w="1716"/>
      </w:tblGrid>
      <w:tr w14:paraId="57A2533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660" w:type="dxa"/>
            <w:tcBorders>
              <w:bottom w:val="single" w:color="000000" w:sz="6" w:space="0"/>
            </w:tcBorders>
            <w:vAlign w:val="bottom"/>
          </w:tcPr>
          <w:p w14:paraId="4B49513B">
            <w:pPr>
              <w:pStyle w:val="28"/>
            </w:pPr>
            <w:r>
              <w:t>类别</w:t>
            </w:r>
          </w:p>
        </w:tc>
        <w:tc>
          <w:tcPr>
            <w:tcW w:w="1716" w:type="dxa"/>
            <w:tcBorders>
              <w:bottom w:val="single" w:color="000000" w:sz="6" w:space="0"/>
            </w:tcBorders>
            <w:vAlign w:val="bottom"/>
          </w:tcPr>
          <w:p w14:paraId="56BE2A2F">
            <w:pPr>
              <w:pStyle w:val="28"/>
              <w:jc w:val="right"/>
            </w:pPr>
            <w:r>
              <w:t>IoU</w:t>
            </w:r>
          </w:p>
        </w:tc>
        <w:tc>
          <w:tcPr>
            <w:tcW w:w="2548" w:type="dxa"/>
            <w:tcBorders>
              <w:bottom w:val="single" w:color="000000" w:sz="6" w:space="0"/>
            </w:tcBorders>
            <w:vAlign w:val="bottom"/>
          </w:tcPr>
          <w:p w14:paraId="5865408A">
            <w:pPr>
              <w:pStyle w:val="28"/>
            </w:pPr>
            <w:r>
              <w:t>类别</w:t>
            </w:r>
          </w:p>
        </w:tc>
        <w:tc>
          <w:tcPr>
            <w:tcW w:w="1716" w:type="dxa"/>
            <w:tcBorders>
              <w:bottom w:val="single" w:color="000000" w:sz="6" w:space="0"/>
            </w:tcBorders>
            <w:vAlign w:val="bottom"/>
          </w:tcPr>
          <w:p w14:paraId="3F69C473">
            <w:pPr>
              <w:pStyle w:val="28"/>
              <w:jc w:val="right"/>
            </w:pPr>
            <w:r>
              <w:t>IoU</w:t>
            </w:r>
          </w:p>
        </w:tc>
      </w:tr>
      <w:tr w14:paraId="072F984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0" w:type="dxa"/>
          </w:tcPr>
          <w:p w14:paraId="095EF385">
            <w:pPr>
              <w:pStyle w:val="28"/>
            </w:pPr>
            <w:r>
              <w:t>background</w:t>
            </w:r>
          </w:p>
        </w:tc>
        <w:tc>
          <w:tcPr>
            <w:tcW w:w="1716" w:type="dxa"/>
          </w:tcPr>
          <w:p w14:paraId="1AB0F1F0">
            <w:pPr>
              <w:pStyle w:val="28"/>
              <w:jc w:val="right"/>
            </w:pPr>
            <w:r>
              <w:t>0.9541</w:t>
            </w:r>
          </w:p>
        </w:tc>
        <w:tc>
          <w:tcPr>
            <w:tcW w:w="2548" w:type="dxa"/>
          </w:tcPr>
          <w:p w14:paraId="113E35A5">
            <w:pPr>
              <w:pStyle w:val="28"/>
            </w:pPr>
            <w:r>
              <w:t>bottle</w:t>
            </w:r>
          </w:p>
        </w:tc>
        <w:tc>
          <w:tcPr>
            <w:tcW w:w="1716" w:type="dxa"/>
          </w:tcPr>
          <w:p w14:paraId="1A9CA9ED">
            <w:pPr>
              <w:pStyle w:val="28"/>
              <w:jc w:val="right"/>
            </w:pPr>
            <w:r>
              <w:t>0.7857</w:t>
            </w:r>
          </w:p>
        </w:tc>
      </w:tr>
      <w:tr w14:paraId="1B90F76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0" w:type="dxa"/>
          </w:tcPr>
          <w:p w14:paraId="47F2AC72">
            <w:pPr>
              <w:pStyle w:val="28"/>
            </w:pPr>
            <w:r>
              <w:t>aeroplane</w:t>
            </w:r>
          </w:p>
        </w:tc>
        <w:tc>
          <w:tcPr>
            <w:tcW w:w="1716" w:type="dxa"/>
          </w:tcPr>
          <w:p w14:paraId="43CE6F86">
            <w:pPr>
              <w:pStyle w:val="28"/>
              <w:jc w:val="right"/>
            </w:pPr>
            <w:r>
              <w:t>0.9283</w:t>
            </w:r>
          </w:p>
        </w:tc>
        <w:tc>
          <w:tcPr>
            <w:tcW w:w="2548" w:type="dxa"/>
          </w:tcPr>
          <w:p w14:paraId="619946E9">
            <w:pPr>
              <w:pStyle w:val="28"/>
            </w:pPr>
            <w:r>
              <w:t>bus</w:t>
            </w:r>
          </w:p>
        </w:tc>
        <w:tc>
          <w:tcPr>
            <w:tcW w:w="1716" w:type="dxa"/>
          </w:tcPr>
          <w:p w14:paraId="504253AD">
            <w:pPr>
              <w:pStyle w:val="28"/>
              <w:jc w:val="right"/>
            </w:pPr>
            <w:r>
              <w:t>0.9631</w:t>
            </w:r>
          </w:p>
        </w:tc>
      </w:tr>
      <w:tr w14:paraId="52A33AD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0" w:type="dxa"/>
          </w:tcPr>
          <w:p w14:paraId="2370F9CD">
            <w:pPr>
              <w:pStyle w:val="28"/>
            </w:pPr>
            <w:r>
              <w:t>bicycle</w:t>
            </w:r>
          </w:p>
        </w:tc>
        <w:tc>
          <w:tcPr>
            <w:tcW w:w="1716" w:type="dxa"/>
          </w:tcPr>
          <w:p w14:paraId="402BE1D9">
            <w:pPr>
              <w:pStyle w:val="28"/>
              <w:jc w:val="right"/>
            </w:pPr>
            <w:r>
              <w:t>0.4332</w:t>
            </w:r>
          </w:p>
        </w:tc>
        <w:tc>
          <w:tcPr>
            <w:tcW w:w="2548" w:type="dxa"/>
          </w:tcPr>
          <w:p w14:paraId="6E841A65">
            <w:pPr>
              <w:pStyle w:val="28"/>
            </w:pPr>
            <w:r>
              <w:t>car</w:t>
            </w:r>
          </w:p>
        </w:tc>
        <w:tc>
          <w:tcPr>
            <w:tcW w:w="1716" w:type="dxa"/>
          </w:tcPr>
          <w:p w14:paraId="5CF5895A">
            <w:pPr>
              <w:pStyle w:val="28"/>
              <w:jc w:val="right"/>
            </w:pPr>
            <w:r>
              <w:t>0.8660</w:t>
            </w:r>
          </w:p>
        </w:tc>
      </w:tr>
      <w:tr w14:paraId="5DAC4DB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0" w:type="dxa"/>
          </w:tcPr>
          <w:p w14:paraId="5B15B262">
            <w:pPr>
              <w:pStyle w:val="28"/>
            </w:pPr>
            <w:r>
              <w:t>bird</w:t>
            </w:r>
          </w:p>
        </w:tc>
        <w:tc>
          <w:tcPr>
            <w:tcW w:w="1716" w:type="dxa"/>
          </w:tcPr>
          <w:p w14:paraId="6A6936BC">
            <w:pPr>
              <w:pStyle w:val="28"/>
              <w:jc w:val="right"/>
            </w:pPr>
            <w:r>
              <w:t>0.9101</w:t>
            </w:r>
          </w:p>
        </w:tc>
        <w:tc>
          <w:tcPr>
            <w:tcW w:w="2548" w:type="dxa"/>
          </w:tcPr>
          <w:p w14:paraId="6165C208">
            <w:pPr>
              <w:pStyle w:val="28"/>
            </w:pPr>
            <w:r>
              <w:t>cat</w:t>
            </w:r>
          </w:p>
        </w:tc>
        <w:tc>
          <w:tcPr>
            <w:tcW w:w="1716" w:type="dxa"/>
          </w:tcPr>
          <w:p w14:paraId="17D190CA">
            <w:pPr>
              <w:pStyle w:val="28"/>
              <w:jc w:val="right"/>
            </w:pPr>
            <w:r>
              <w:t>0.9493</w:t>
            </w:r>
          </w:p>
        </w:tc>
      </w:tr>
      <w:tr w14:paraId="5EDBF59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0" w:type="dxa"/>
          </w:tcPr>
          <w:p w14:paraId="362EC930">
            <w:pPr>
              <w:pStyle w:val="28"/>
            </w:pPr>
            <w:r>
              <w:t>boat</w:t>
            </w:r>
          </w:p>
        </w:tc>
        <w:tc>
          <w:tcPr>
            <w:tcW w:w="1716" w:type="dxa"/>
          </w:tcPr>
          <w:p w14:paraId="3BE91080">
            <w:pPr>
              <w:pStyle w:val="28"/>
              <w:jc w:val="right"/>
            </w:pPr>
            <w:r>
              <w:t>0.7067</w:t>
            </w:r>
          </w:p>
        </w:tc>
        <w:tc>
          <w:tcPr>
            <w:tcW w:w="2548" w:type="dxa"/>
          </w:tcPr>
          <w:p w14:paraId="772AE513">
            <w:pPr>
              <w:pStyle w:val="28"/>
            </w:pPr>
            <w:r>
              <w:t>chair</w:t>
            </w:r>
          </w:p>
        </w:tc>
        <w:tc>
          <w:tcPr>
            <w:tcW w:w="1716" w:type="dxa"/>
          </w:tcPr>
          <w:p w14:paraId="43A2FD4B">
            <w:pPr>
              <w:pStyle w:val="28"/>
              <w:jc w:val="right"/>
            </w:pPr>
            <w:r>
              <w:t>0.5157</w:t>
            </w:r>
          </w:p>
        </w:tc>
      </w:tr>
      <w:tr w14:paraId="4C1F9A7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0" w:type="dxa"/>
          </w:tcPr>
          <w:p w14:paraId="3769AFC5">
            <w:pPr>
              <w:pStyle w:val="28"/>
            </w:pPr>
            <w:r>
              <w:t>cow</w:t>
            </w:r>
          </w:p>
        </w:tc>
        <w:tc>
          <w:tcPr>
            <w:tcW w:w="1716" w:type="dxa"/>
          </w:tcPr>
          <w:p w14:paraId="6C88F374">
            <w:pPr>
              <w:pStyle w:val="28"/>
              <w:jc w:val="right"/>
            </w:pPr>
            <w:r>
              <w:t>0.9327</w:t>
            </w:r>
          </w:p>
        </w:tc>
        <w:tc>
          <w:tcPr>
            <w:tcW w:w="2548" w:type="dxa"/>
          </w:tcPr>
          <w:p w14:paraId="5CF08FA4">
            <w:pPr>
              <w:pStyle w:val="28"/>
            </w:pPr>
            <w:r>
              <w:t>diningtable</w:t>
            </w:r>
          </w:p>
        </w:tc>
        <w:tc>
          <w:tcPr>
            <w:tcW w:w="1716" w:type="dxa"/>
          </w:tcPr>
          <w:p w14:paraId="13C37301">
            <w:pPr>
              <w:pStyle w:val="28"/>
              <w:jc w:val="right"/>
            </w:pPr>
            <w:r>
              <w:t>0.6478</w:t>
            </w:r>
          </w:p>
        </w:tc>
      </w:tr>
      <w:tr w14:paraId="6FEF88F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0" w:type="dxa"/>
          </w:tcPr>
          <w:p w14:paraId="7375D4C4">
            <w:pPr>
              <w:pStyle w:val="28"/>
            </w:pPr>
            <w:r>
              <w:t>dog</w:t>
            </w:r>
          </w:p>
        </w:tc>
        <w:tc>
          <w:tcPr>
            <w:tcW w:w="1716" w:type="dxa"/>
          </w:tcPr>
          <w:p w14:paraId="0A7067FB">
            <w:pPr>
              <w:pStyle w:val="28"/>
              <w:jc w:val="right"/>
            </w:pPr>
            <w:r>
              <w:t>0.9141</w:t>
            </w:r>
          </w:p>
        </w:tc>
        <w:tc>
          <w:tcPr>
            <w:tcW w:w="2548" w:type="dxa"/>
          </w:tcPr>
          <w:p w14:paraId="1551B691">
            <w:pPr>
              <w:pStyle w:val="28"/>
            </w:pPr>
            <w:r>
              <w:t>horse</w:t>
            </w:r>
          </w:p>
        </w:tc>
        <w:tc>
          <w:tcPr>
            <w:tcW w:w="1716" w:type="dxa"/>
          </w:tcPr>
          <w:p w14:paraId="7AD59CDB">
            <w:pPr>
              <w:pStyle w:val="28"/>
              <w:jc w:val="right"/>
            </w:pPr>
            <w:r>
              <w:t>0.9281</w:t>
            </w:r>
          </w:p>
        </w:tc>
      </w:tr>
      <w:tr w14:paraId="51D0F21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0" w:type="dxa"/>
          </w:tcPr>
          <w:p w14:paraId="5367A030">
            <w:pPr>
              <w:pStyle w:val="28"/>
            </w:pPr>
            <w:r>
              <w:t>motorbike</w:t>
            </w:r>
          </w:p>
        </w:tc>
        <w:tc>
          <w:tcPr>
            <w:tcW w:w="1716" w:type="dxa"/>
          </w:tcPr>
          <w:p w14:paraId="49792D86">
            <w:pPr>
              <w:pStyle w:val="28"/>
              <w:jc w:val="right"/>
            </w:pPr>
            <w:r>
              <w:t>0.9006</w:t>
            </w:r>
          </w:p>
        </w:tc>
        <w:tc>
          <w:tcPr>
            <w:tcW w:w="2548" w:type="dxa"/>
          </w:tcPr>
          <w:p w14:paraId="48D45096">
            <w:pPr>
              <w:pStyle w:val="28"/>
            </w:pPr>
            <w:r>
              <w:t>person</w:t>
            </w:r>
          </w:p>
        </w:tc>
        <w:tc>
          <w:tcPr>
            <w:tcW w:w="1716" w:type="dxa"/>
          </w:tcPr>
          <w:p w14:paraId="14245B58">
            <w:pPr>
              <w:pStyle w:val="28"/>
              <w:jc w:val="right"/>
            </w:pPr>
            <w:r>
              <w:t>0.9051</w:t>
            </w:r>
          </w:p>
        </w:tc>
      </w:tr>
      <w:tr w14:paraId="5F54D20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0" w:type="dxa"/>
          </w:tcPr>
          <w:p w14:paraId="57E371BB">
            <w:pPr>
              <w:pStyle w:val="28"/>
            </w:pPr>
            <w:r>
              <w:t>pottedplant</w:t>
            </w:r>
          </w:p>
        </w:tc>
        <w:tc>
          <w:tcPr>
            <w:tcW w:w="1716" w:type="dxa"/>
          </w:tcPr>
          <w:p w14:paraId="4B8F00EE">
            <w:pPr>
              <w:pStyle w:val="28"/>
              <w:jc w:val="right"/>
            </w:pPr>
            <w:r>
              <w:t>0.6753</w:t>
            </w:r>
          </w:p>
        </w:tc>
        <w:tc>
          <w:tcPr>
            <w:tcW w:w="2548" w:type="dxa"/>
          </w:tcPr>
          <w:p w14:paraId="482376D0">
            <w:pPr>
              <w:pStyle w:val="28"/>
            </w:pPr>
            <w:r>
              <w:t>sheep</w:t>
            </w:r>
          </w:p>
        </w:tc>
        <w:tc>
          <w:tcPr>
            <w:tcW w:w="1716" w:type="dxa"/>
          </w:tcPr>
          <w:p w14:paraId="1391E6ED">
            <w:pPr>
              <w:pStyle w:val="28"/>
              <w:jc w:val="right"/>
            </w:pPr>
            <w:r>
              <w:t>0.9002</w:t>
            </w:r>
          </w:p>
        </w:tc>
      </w:tr>
      <w:tr w14:paraId="6F28349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0" w:type="dxa"/>
          </w:tcPr>
          <w:p w14:paraId="5409949B">
            <w:pPr>
              <w:pStyle w:val="28"/>
            </w:pPr>
            <w:r>
              <w:t>sofa</w:t>
            </w:r>
          </w:p>
        </w:tc>
        <w:tc>
          <w:tcPr>
            <w:tcW w:w="1716" w:type="dxa"/>
          </w:tcPr>
          <w:p w14:paraId="0E96DE25">
            <w:pPr>
              <w:pStyle w:val="28"/>
              <w:jc w:val="right"/>
            </w:pPr>
            <w:r>
              <w:t>0.6640</w:t>
            </w:r>
          </w:p>
        </w:tc>
        <w:tc>
          <w:tcPr>
            <w:tcW w:w="2548" w:type="dxa"/>
          </w:tcPr>
          <w:p w14:paraId="4CD4F121">
            <w:pPr>
              <w:pStyle w:val="28"/>
            </w:pPr>
            <w:r>
              <w:t>train</w:t>
            </w:r>
          </w:p>
        </w:tc>
        <w:tc>
          <w:tcPr>
            <w:tcW w:w="1716" w:type="dxa"/>
          </w:tcPr>
          <w:p w14:paraId="203367F7">
            <w:pPr>
              <w:pStyle w:val="28"/>
              <w:jc w:val="right"/>
            </w:pPr>
            <w:r>
              <w:t>0.9179</w:t>
            </w:r>
          </w:p>
        </w:tc>
      </w:tr>
      <w:tr w14:paraId="2F194E3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0" w:type="dxa"/>
          </w:tcPr>
          <w:p w14:paraId="74755D3D">
            <w:pPr>
              <w:pStyle w:val="28"/>
            </w:pPr>
            <w:r>
              <w:t>tvmonitor</w:t>
            </w:r>
          </w:p>
        </w:tc>
        <w:tc>
          <w:tcPr>
            <w:tcW w:w="1716" w:type="dxa"/>
          </w:tcPr>
          <w:p w14:paraId="5586E0C6">
            <w:pPr>
              <w:pStyle w:val="28"/>
              <w:jc w:val="right"/>
            </w:pPr>
            <w:r>
              <w:t>0.8115</w:t>
            </w:r>
          </w:p>
        </w:tc>
        <w:tc>
          <w:tcPr>
            <w:tcW w:w="2548" w:type="dxa"/>
          </w:tcPr>
          <w:p w14:paraId="3269F043"/>
        </w:tc>
        <w:tc>
          <w:tcPr>
            <w:tcW w:w="1716" w:type="dxa"/>
          </w:tcPr>
          <w:p w14:paraId="2532F622"/>
        </w:tc>
      </w:tr>
    </w:tbl>
    <w:p w14:paraId="78DB7CD5">
      <w:pPr>
        <w:pStyle w:val="3"/>
        <w:spacing w:before="16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>强项：bus/​cat/​background/​cow/​horse/​train；弱项仍为 bicycle/​chair/​diningtable/​pottedplant/​sofa（细长结构与小目标），但相较单模型已全面改善（见 5.9 逐类增量）。</w:t>
      </w:r>
    </w:p>
    <w:bookmarkEnd w:id="38"/>
    <w:p w14:paraId="1750EF31">
      <w:pPr>
        <w:pStyle w:val="5"/>
        <w:keepNext/>
        <w:spacing w:before="240" w:after="120" w:line="312" w:lineRule="auto"/>
      </w:pPr>
      <w:bookmarkStart w:id="39" w:name="_Toc243935462"/>
      <w:bookmarkStart w:id="40" w:name="曲线"/>
      <w:r>
        <w:rPr>
          <w:rFonts w:ascii="Times New Roman" w:hAnsi="Times New Roman" w:eastAsia="黑体" w:cs="Times New Roman"/>
        </w:rPr>
        <w:t>5.7 曲线</w:t>
      </w:r>
      <w:bookmarkEnd w:id="39"/>
    </w:p>
    <w:p w14:paraId="16F4EF5D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（1）</w:t>
      </w:r>
      <w:r>
        <w:rPr>
          <w:rStyle w:val="39"/>
          <w:rFonts w:ascii="Times New Roman" w:hAnsi="Times New Roman" w:eastAsia="宋体" w:cs="Times New Roman"/>
          <w:sz w:val="24"/>
        </w:rPr>
        <w:t>outputs/​figures/​loss_curve_{base,lfca,sbd}.png</w:t>
      </w:r>
      <w:r>
        <w:rPr>
          <w:rFonts w:ascii="Times New Roman" w:hAnsi="Times New Roman" w:eastAsia="宋体" w:cs="Times New Roman"/>
        </w:rPr>
        <w:t>：训练损失曲线</w:t>
      </w:r>
    </w:p>
    <w:p w14:paraId="4D8F7DFA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（2）</w:t>
      </w:r>
      <w:r>
        <w:rPr>
          <w:rStyle w:val="39"/>
          <w:rFonts w:ascii="Times New Roman" w:hAnsi="Times New Roman" w:eastAsia="宋体" w:cs="Times New Roman"/>
          <w:sz w:val="24"/>
        </w:rPr>
        <w:t>outputs/​figures/​accuracy_curve_{base,lfca,sbd}.png</w:t>
      </w:r>
      <w:r>
        <w:rPr>
          <w:rFonts w:ascii="Times New Roman" w:hAnsi="Times New Roman" w:eastAsia="宋体" w:cs="Times New Roman"/>
        </w:rPr>
        <w:t>：每 epoch 的 mIoU(21) / mIoU(20) / Pixel Accuracy</w:t>
      </w:r>
    </w:p>
    <w:p w14:paraId="14E0CCB2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（3）TensorBoard：</w:t>
      </w:r>
      <w:r>
        <w:rPr>
          <w:rStyle w:val="39"/>
          <w:rFonts w:ascii="Times New Roman" w:hAnsi="Times New Roman" w:eastAsia="宋体" w:cs="Times New Roman"/>
          <w:sz w:val="24"/>
        </w:rPr>
        <w:t>runs/​&lt;run_name&gt;/</w:t>
      </w:r>
      <w:r>
        <w:rPr>
          <w:rFonts w:ascii="Times New Roman" w:hAnsi="Times New Roman" w:eastAsia="宋体" w:cs="Times New Roman"/>
        </w:rPr>
        <w:t>，含 train/​loss、train/​lr、val/​mIoU、val/​pixel_acc 及验证集预测可视化；R101 对照实验日志同样保留（</w:t>
      </w:r>
      <w:r>
        <w:rPr>
          <w:rStyle w:val="39"/>
          <w:rFonts w:ascii="Times New Roman" w:hAnsi="Times New Roman" w:eastAsia="宋体" w:cs="Times New Roman"/>
          <w:sz w:val="24"/>
        </w:rPr>
        <w:t>runs/​sbd_lfca_r101_e45/</w:t>
      </w:r>
      <w:r>
        <w:rPr>
          <w:rFonts w:ascii="Times New Roman" w:hAnsi="Times New Roman" w:eastAsia="宋体" w:cs="Times New Roman"/>
        </w:rPr>
        <w:t>）</w:t>
      </w:r>
    </w:p>
    <w:p w14:paraId="0F197939">
      <w:pPr>
        <w:pStyle w:val="38"/>
        <w:keepNext/>
      </w:pPr>
      <w:r>
        <w:rPr>
          <w:rFonts w:hint="eastAsia"/>
          <w:lang w:val="en-US" w:eastAsia="zh-CN"/>
        </w:rPr>
        <w:t xml:space="preserve">                    </w:t>
      </w:r>
      <w:r>
        <w:drawing>
          <wp:inline distT="0" distB="0" distL="0" distR="0">
            <wp:extent cx="3684270" cy="2455545"/>
            <wp:effectExtent l="0" t="0" r="11430" b="1905"/>
            <wp:docPr id="3" name="Picture" descr="图 5-2　最终模型（SBD+LFCA）训练损失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图 5-2　最终模型（SBD+LFCA）训练损失曲线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4270" cy="2455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4C27CB">
      <w:pPr>
        <w:pStyle w:val="36"/>
        <w:spacing w:before="80" w:after="200" w:line="420" w:lineRule="auto"/>
        <w:jc w:val="center"/>
      </w:pPr>
      <w:r>
        <w:rPr>
          <w:rFonts w:ascii="Times New Roman" w:hAnsi="Times New Roman" w:eastAsia="宋体" w:cs="Times New Roman"/>
          <w:sz w:val="21"/>
        </w:rPr>
        <w:t>图 5-2　最终模型（SBD+LFCA）训练损失曲线</w:t>
      </w:r>
    </w:p>
    <w:p w14:paraId="079F7768">
      <w:pPr>
        <w:pStyle w:val="38"/>
        <w:keepNext/>
      </w:pPr>
      <w:r>
        <w:rPr>
          <w:rFonts w:hint="eastAsia"/>
          <w:lang w:val="en-US" w:eastAsia="zh-CN"/>
        </w:rPr>
        <w:t xml:space="preserve">                      </w:t>
      </w:r>
      <w:bookmarkStart w:id="63" w:name="_GoBack"/>
      <w:bookmarkEnd w:id="63"/>
      <w:r>
        <w:drawing>
          <wp:inline distT="0" distB="0" distL="0" distR="0">
            <wp:extent cx="3657600" cy="2437765"/>
            <wp:effectExtent l="0" t="0" r="0" b="0"/>
            <wp:docPr id="4" name="Picture" descr="图 5-3　最终模型验证集准确率曲线（mIoU / 像素准确率，每轮全量验证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图 5-3　最终模型验证集准确率曲线（mIoU / 像素准确率，每轮全量验证）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3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B49066">
      <w:pPr>
        <w:pStyle w:val="36"/>
        <w:spacing w:before="80" w:after="200" w:line="420" w:lineRule="auto"/>
        <w:jc w:val="center"/>
      </w:pPr>
      <w:r>
        <w:rPr>
          <w:rFonts w:ascii="Times New Roman" w:hAnsi="Times New Roman" w:eastAsia="宋体" w:cs="Times New Roman"/>
          <w:sz w:val="21"/>
        </w:rPr>
        <w:t>图 5-3　最终模型验证集准确率曲线（mIoU / 像素准确率，每轮全量验证）</w:t>
      </w:r>
    </w:p>
    <w:bookmarkEnd w:id="40"/>
    <w:p w14:paraId="291454B3">
      <w:pPr>
        <w:pStyle w:val="5"/>
        <w:keepNext/>
        <w:spacing w:before="240" w:after="120" w:line="312" w:lineRule="auto"/>
      </w:pPr>
      <w:bookmarkStart w:id="41" w:name="_Toc243935463"/>
      <w:bookmarkStart w:id="42" w:name="检测辅助融合尝试yolov8-seg与消融结论"/>
      <w:r>
        <w:rPr>
          <w:rFonts w:ascii="Times New Roman" w:hAnsi="Times New Roman" w:eastAsia="黑体" w:cs="Times New Roman"/>
        </w:rPr>
        <w:t>5.8 检测辅助融合尝试（YOLOv8-seg）与消融结论</w:t>
      </w:r>
      <w:bookmarkEnd w:id="41"/>
    </w:p>
    <w:p w14:paraId="0C0220FC">
      <w:pPr>
        <w:pStyle w:val="27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>语义分割模型在“相邻同类目标粘连 / 密集场景”上易将多个实例预测为连通的单一区域。YOLOv8-seg 在 COCO 上训练，天然适应测试域且能区分相邻实例。用其</w:t>
      </w:r>
      <w:r>
        <w:rPr>
          <w:rFonts w:ascii="Times New Roman" w:hAnsi="Times New Roman" w:eastAsia="宋体" w:cs="Times New Roman"/>
          <w:b/>
          <w:bCs/>
        </w:rPr>
        <w:t>实例级</w:t>
      </w:r>
      <w:r>
        <w:rPr>
          <w:rFonts w:ascii="Times New Roman" w:hAnsi="Times New Roman" w:eastAsia="宋体" w:cs="Times New Roman"/>
        </w:rPr>
        <w:t>结果对语义像素预测做</w:t>
      </w:r>
      <w:r>
        <w:rPr>
          <w:rFonts w:ascii="Times New Roman" w:hAnsi="Times New Roman" w:eastAsia="宋体" w:cs="Times New Roman"/>
          <w:b/>
          <w:bCs/>
        </w:rPr>
        <w:t>规则 A 补漏</w:t>
      </w:r>
      <w:r>
        <w:rPr>
          <w:rFonts w:ascii="Times New Roman" w:hAnsi="Times New Roman" w:eastAsia="宋体" w:cs="Times New Roman"/>
        </w:rPr>
        <w:t>（YOLO 高置信判为某 VOC 类、而语义模型不确定或判为背景时，采用 YOLO 类）。</w:t>
      </w:r>
    </w:p>
    <w:p w14:paraId="48B821BD">
      <w:pPr>
        <w:pStyle w:val="3"/>
        <w:keepNext/>
        <w:spacing w:before="80" w:after="200" w:line="420" w:lineRule="auto"/>
        <w:jc w:val="center"/>
      </w:pPr>
      <w:r>
        <w:rPr>
          <w:rFonts w:ascii="Times New Roman" w:hAnsi="Times New Roman" w:eastAsia="宋体" w:cs="Times New Roman"/>
          <w:bCs/>
          <w:sz w:val="21"/>
        </w:rPr>
        <w:t>表 5-7　YOLO 融合在单模型上的效果（val 200 张子集）</w:t>
      </w:r>
    </w:p>
    <w:tbl>
      <w:tblPr>
        <w:tblStyle w:val="32"/>
        <w:tblW w:w="8640" w:type="dxa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7"/>
        <w:gridCol w:w="3372"/>
        <w:gridCol w:w="1537"/>
        <w:gridCol w:w="1054"/>
      </w:tblGrid>
      <w:tr w14:paraId="7DE50D2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677" w:type="dxa"/>
            <w:tcBorders>
              <w:bottom w:val="single" w:color="000000" w:sz="6" w:space="0"/>
            </w:tcBorders>
            <w:vAlign w:val="bottom"/>
          </w:tcPr>
          <w:p w14:paraId="5AF3205B">
            <w:pPr>
              <w:pStyle w:val="28"/>
            </w:pPr>
            <w:r>
              <w:t>语义基线</w:t>
            </w:r>
          </w:p>
        </w:tc>
        <w:tc>
          <w:tcPr>
            <w:tcW w:w="3372" w:type="dxa"/>
            <w:tcBorders>
              <w:bottom w:val="single" w:color="000000" w:sz="6" w:space="0"/>
            </w:tcBorders>
            <w:vAlign w:val="bottom"/>
          </w:tcPr>
          <w:p w14:paraId="3C2D34F3">
            <w:pPr>
              <w:pStyle w:val="28"/>
            </w:pPr>
            <w:r>
              <w:t>最优融合配置</w:t>
            </w:r>
          </w:p>
        </w:tc>
        <w:tc>
          <w:tcPr>
            <w:tcW w:w="1537" w:type="dxa"/>
            <w:tcBorders>
              <w:bottom w:val="single" w:color="000000" w:sz="6" w:space="0"/>
            </w:tcBorders>
            <w:vAlign w:val="bottom"/>
          </w:tcPr>
          <w:p w14:paraId="2D552BB7">
            <w:pPr>
              <w:pStyle w:val="28"/>
            </w:pPr>
            <w:r>
              <w:t>mIoU(21)</w:t>
            </w:r>
          </w:p>
        </w:tc>
        <w:tc>
          <w:tcPr>
            <w:tcW w:w="1054" w:type="dxa"/>
            <w:tcBorders>
              <w:bottom w:val="single" w:color="000000" w:sz="6" w:space="0"/>
            </w:tcBorders>
            <w:vAlign w:val="bottom"/>
          </w:tcPr>
          <w:p w14:paraId="377AD25D">
            <w:pPr>
              <w:pStyle w:val="28"/>
            </w:pPr>
            <w:r>
              <w:t>Δ</w:t>
            </w:r>
          </w:p>
        </w:tc>
      </w:tr>
      <w:tr w14:paraId="493E262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77" w:type="dxa"/>
          </w:tcPr>
          <w:p w14:paraId="57377DEB">
            <w:pPr>
              <w:pStyle w:val="28"/>
            </w:pPr>
            <w:r>
              <w:t>单尺度 0.7492</w:t>
            </w:r>
          </w:p>
        </w:tc>
        <w:tc>
          <w:tcPr>
            <w:tcW w:w="3372" w:type="dxa"/>
          </w:tcPr>
          <w:p w14:paraId="06E682E8">
            <w:pPr>
              <w:pStyle w:val="28"/>
            </w:pPr>
            <w:r>
              <w:t>τ_sem=0.8 + 规则B=0.7</w:t>
            </w:r>
          </w:p>
        </w:tc>
        <w:tc>
          <w:tcPr>
            <w:tcW w:w="1537" w:type="dxa"/>
          </w:tcPr>
          <w:p w14:paraId="5438AC49">
            <w:pPr>
              <w:pStyle w:val="28"/>
            </w:pPr>
            <w:r>
              <w:t>0.7778</w:t>
            </w:r>
          </w:p>
        </w:tc>
        <w:tc>
          <w:tcPr>
            <w:tcW w:w="1054" w:type="dxa"/>
          </w:tcPr>
          <w:p w14:paraId="1D365A97">
            <w:pPr>
              <w:pStyle w:val="28"/>
            </w:pPr>
            <w:r>
              <w:rPr>
                <w:b/>
                <w:bCs/>
              </w:rPr>
              <w:t>+2.87</w:t>
            </w:r>
          </w:p>
        </w:tc>
      </w:tr>
      <w:tr w14:paraId="298624B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77" w:type="dxa"/>
          </w:tcPr>
          <w:p w14:paraId="704B6596">
            <w:pPr>
              <w:pStyle w:val="28"/>
            </w:pPr>
            <w:r>
              <w:t>5 尺度 TTA 0.7774</w:t>
            </w:r>
          </w:p>
        </w:tc>
        <w:tc>
          <w:tcPr>
            <w:tcW w:w="3372" w:type="dxa"/>
          </w:tcPr>
          <w:p w14:paraId="17851226">
            <w:pPr>
              <w:pStyle w:val="28"/>
            </w:pPr>
            <w:r>
              <w:t>τ_sem=0.6（仅规则 A）</w:t>
            </w:r>
          </w:p>
        </w:tc>
        <w:tc>
          <w:tcPr>
            <w:tcW w:w="1537" w:type="dxa"/>
          </w:tcPr>
          <w:p w14:paraId="6715E995">
            <w:pPr>
              <w:pStyle w:val="28"/>
            </w:pPr>
            <w:r>
              <w:rPr>
                <w:b/>
                <w:bCs/>
              </w:rPr>
              <w:t>0.7879</w:t>
            </w:r>
          </w:p>
        </w:tc>
        <w:tc>
          <w:tcPr>
            <w:tcW w:w="1054" w:type="dxa"/>
          </w:tcPr>
          <w:p w14:paraId="4EAEF8A8">
            <w:pPr>
              <w:pStyle w:val="28"/>
            </w:pPr>
            <w:r>
              <w:rPr>
                <w:b/>
                <w:bCs/>
              </w:rPr>
              <w:t>+1.05</w:t>
            </w:r>
          </w:p>
        </w:tc>
      </w:tr>
    </w:tbl>
    <w:p w14:paraId="1A3B5899">
      <w:pPr>
        <w:pStyle w:val="3"/>
        <w:keepNext/>
        <w:spacing w:before="160" w:after="200" w:line="420" w:lineRule="auto"/>
        <w:jc w:val="center"/>
      </w:pPr>
      <w:r>
        <w:rPr>
          <w:rFonts w:ascii="Times New Roman" w:hAnsi="Times New Roman" w:eastAsia="宋体" w:cs="Times New Roman"/>
          <w:bCs/>
          <w:sz w:val="21"/>
        </w:rPr>
        <w:t>表 5-8　YOLO 融合在多模型集成上的阈值扫描（全量 val 1449 张，不融合时为 0.7907）</w:t>
      </w:r>
    </w:p>
    <w:tbl>
      <w:tblPr>
        <w:tblStyle w:val="32"/>
        <w:tblW w:w="8640" w:type="dxa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901"/>
        <w:gridCol w:w="842"/>
        <w:gridCol w:w="842"/>
        <w:gridCol w:w="842"/>
        <w:gridCol w:w="842"/>
        <w:gridCol w:w="842"/>
        <w:gridCol w:w="842"/>
        <w:gridCol w:w="842"/>
        <w:gridCol w:w="845"/>
      </w:tblGrid>
      <w:tr w14:paraId="4B8D3E6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blHeader/>
        </w:trPr>
        <w:tc>
          <w:tcPr>
            <w:tcW w:w="1901" w:type="dxa"/>
            <w:tcBorders>
              <w:bottom w:val="single" w:color="000000" w:sz="6" w:space="0"/>
            </w:tcBorders>
            <w:vAlign w:val="bottom"/>
          </w:tcPr>
          <w:p w14:paraId="71C2B06F">
            <w:pPr>
              <w:pStyle w:val="28"/>
            </w:pPr>
            <w:r>
              <w:t>τ_sem</w:t>
            </w:r>
          </w:p>
        </w:tc>
        <w:tc>
          <w:tcPr>
            <w:tcW w:w="842" w:type="dxa"/>
            <w:tcBorders>
              <w:bottom w:val="single" w:color="000000" w:sz="6" w:space="0"/>
            </w:tcBorders>
            <w:vAlign w:val="bottom"/>
          </w:tcPr>
          <w:p w14:paraId="54F77DC5">
            <w:pPr>
              <w:pStyle w:val="28"/>
            </w:pPr>
            <w:r>
              <w:t>0.2</w:t>
            </w:r>
          </w:p>
        </w:tc>
        <w:tc>
          <w:tcPr>
            <w:tcW w:w="842" w:type="dxa"/>
            <w:tcBorders>
              <w:bottom w:val="single" w:color="000000" w:sz="6" w:space="0"/>
            </w:tcBorders>
            <w:vAlign w:val="bottom"/>
          </w:tcPr>
          <w:p w14:paraId="35A0DAB0">
            <w:pPr>
              <w:pStyle w:val="28"/>
            </w:pPr>
            <w:r>
              <w:t>0.3</w:t>
            </w:r>
          </w:p>
        </w:tc>
        <w:tc>
          <w:tcPr>
            <w:tcW w:w="842" w:type="dxa"/>
            <w:tcBorders>
              <w:bottom w:val="single" w:color="000000" w:sz="6" w:space="0"/>
            </w:tcBorders>
            <w:vAlign w:val="bottom"/>
          </w:tcPr>
          <w:p w14:paraId="76F26FE5">
            <w:pPr>
              <w:pStyle w:val="28"/>
            </w:pPr>
            <w:r>
              <w:t>0.4</w:t>
            </w:r>
          </w:p>
        </w:tc>
        <w:tc>
          <w:tcPr>
            <w:tcW w:w="842" w:type="dxa"/>
            <w:tcBorders>
              <w:bottom w:val="single" w:color="000000" w:sz="6" w:space="0"/>
            </w:tcBorders>
            <w:vAlign w:val="bottom"/>
          </w:tcPr>
          <w:p w14:paraId="4DBB9BDA">
            <w:pPr>
              <w:pStyle w:val="28"/>
            </w:pPr>
            <w:r>
              <w:t>0.5</w:t>
            </w:r>
          </w:p>
        </w:tc>
        <w:tc>
          <w:tcPr>
            <w:tcW w:w="842" w:type="dxa"/>
            <w:tcBorders>
              <w:bottom w:val="single" w:color="000000" w:sz="6" w:space="0"/>
            </w:tcBorders>
            <w:vAlign w:val="bottom"/>
          </w:tcPr>
          <w:p w14:paraId="3156D72F">
            <w:pPr>
              <w:pStyle w:val="28"/>
            </w:pPr>
            <w:r>
              <w:t>0.6</w:t>
            </w:r>
          </w:p>
        </w:tc>
        <w:tc>
          <w:tcPr>
            <w:tcW w:w="842" w:type="dxa"/>
            <w:tcBorders>
              <w:bottom w:val="single" w:color="000000" w:sz="6" w:space="0"/>
            </w:tcBorders>
            <w:vAlign w:val="bottom"/>
          </w:tcPr>
          <w:p w14:paraId="6B89E982">
            <w:pPr>
              <w:pStyle w:val="28"/>
            </w:pPr>
            <w:r>
              <w:t>0.7</w:t>
            </w:r>
          </w:p>
        </w:tc>
        <w:tc>
          <w:tcPr>
            <w:tcW w:w="842" w:type="dxa"/>
            <w:tcBorders>
              <w:bottom w:val="single" w:color="000000" w:sz="6" w:space="0"/>
            </w:tcBorders>
            <w:vAlign w:val="bottom"/>
          </w:tcPr>
          <w:p w14:paraId="24D00C5A">
            <w:pPr>
              <w:pStyle w:val="28"/>
            </w:pPr>
            <w:r>
              <w:t>0.8</w:t>
            </w:r>
          </w:p>
        </w:tc>
        <w:tc>
          <w:tcPr>
            <w:tcW w:w="845" w:type="dxa"/>
            <w:tcBorders>
              <w:bottom w:val="single" w:color="000000" w:sz="6" w:space="0"/>
            </w:tcBorders>
            <w:vAlign w:val="bottom"/>
          </w:tcPr>
          <w:p w14:paraId="5C76905E">
            <w:pPr>
              <w:pStyle w:val="28"/>
            </w:pPr>
            <w:r>
              <w:t>0.9</w:t>
            </w:r>
          </w:p>
        </w:tc>
      </w:tr>
      <w:tr w14:paraId="201DE94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1901" w:type="dxa"/>
          </w:tcPr>
          <w:p w14:paraId="04A0414D">
            <w:pPr>
              <w:pStyle w:val="28"/>
            </w:pPr>
            <w:r>
              <w:t>mIoU(21)</w:t>
            </w:r>
          </w:p>
        </w:tc>
        <w:tc>
          <w:tcPr>
            <w:tcW w:w="842" w:type="dxa"/>
          </w:tcPr>
          <w:p w14:paraId="12F5E3D1">
            <w:pPr>
              <w:pStyle w:val="28"/>
            </w:pPr>
            <w:r>
              <w:t>0.7705</w:t>
            </w:r>
          </w:p>
        </w:tc>
        <w:tc>
          <w:tcPr>
            <w:tcW w:w="842" w:type="dxa"/>
          </w:tcPr>
          <w:p w14:paraId="7E318F48">
            <w:pPr>
              <w:pStyle w:val="28"/>
            </w:pPr>
            <w:r>
              <w:t>0.7705</w:t>
            </w:r>
          </w:p>
        </w:tc>
        <w:tc>
          <w:tcPr>
            <w:tcW w:w="842" w:type="dxa"/>
          </w:tcPr>
          <w:p w14:paraId="4E52AC80">
            <w:pPr>
              <w:pStyle w:val="28"/>
            </w:pPr>
            <w:r>
              <w:t>0.7708</w:t>
            </w:r>
          </w:p>
        </w:tc>
        <w:tc>
          <w:tcPr>
            <w:tcW w:w="842" w:type="dxa"/>
          </w:tcPr>
          <w:p w14:paraId="54B08157">
            <w:pPr>
              <w:pStyle w:val="28"/>
            </w:pPr>
            <w:r>
              <w:rPr>
                <w:b/>
                <w:bCs/>
              </w:rPr>
              <w:t>0.7714</w:t>
            </w:r>
          </w:p>
        </w:tc>
        <w:tc>
          <w:tcPr>
            <w:tcW w:w="842" w:type="dxa"/>
          </w:tcPr>
          <w:p w14:paraId="125ED474">
            <w:pPr>
              <w:pStyle w:val="28"/>
            </w:pPr>
            <w:r>
              <w:t>0.7706</w:t>
            </w:r>
          </w:p>
        </w:tc>
        <w:tc>
          <w:tcPr>
            <w:tcW w:w="842" w:type="dxa"/>
          </w:tcPr>
          <w:p w14:paraId="5B09248E">
            <w:pPr>
              <w:pStyle w:val="28"/>
            </w:pPr>
            <w:r>
              <w:t>0.7674</w:t>
            </w:r>
          </w:p>
        </w:tc>
        <w:tc>
          <w:tcPr>
            <w:tcW w:w="842" w:type="dxa"/>
          </w:tcPr>
          <w:p w14:paraId="08CC4131">
            <w:pPr>
              <w:pStyle w:val="28"/>
            </w:pPr>
            <w:r>
              <w:t>0.7628</w:t>
            </w:r>
          </w:p>
        </w:tc>
        <w:tc>
          <w:tcPr>
            <w:tcW w:w="845" w:type="dxa"/>
          </w:tcPr>
          <w:p w14:paraId="1EEDB3F8">
            <w:pPr>
              <w:pStyle w:val="28"/>
            </w:pPr>
            <w:r>
              <w:t>0.7573</w:t>
            </w:r>
          </w:p>
        </w:tc>
      </w:tr>
      <w:tr w14:paraId="1175F22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1901" w:type="dxa"/>
          </w:tcPr>
          <w:p w14:paraId="368B9E90">
            <w:pPr>
              <w:pStyle w:val="28"/>
            </w:pPr>
            <w:r>
              <w:t>Δ（相对不融合 0.7907）</w:t>
            </w:r>
          </w:p>
        </w:tc>
        <w:tc>
          <w:tcPr>
            <w:tcW w:w="842" w:type="dxa"/>
          </w:tcPr>
          <w:p w14:paraId="254EDC9F">
            <w:pPr>
              <w:pStyle w:val="28"/>
            </w:pPr>
            <w:r>
              <w:t>−2.02</w:t>
            </w:r>
          </w:p>
        </w:tc>
        <w:tc>
          <w:tcPr>
            <w:tcW w:w="842" w:type="dxa"/>
          </w:tcPr>
          <w:p w14:paraId="5D727F39">
            <w:pPr>
              <w:pStyle w:val="28"/>
            </w:pPr>
            <w:r>
              <w:t>−2.01</w:t>
            </w:r>
          </w:p>
        </w:tc>
        <w:tc>
          <w:tcPr>
            <w:tcW w:w="842" w:type="dxa"/>
          </w:tcPr>
          <w:p w14:paraId="0C87A825">
            <w:pPr>
              <w:pStyle w:val="28"/>
            </w:pPr>
            <w:r>
              <w:t>−1.99</w:t>
            </w:r>
          </w:p>
        </w:tc>
        <w:tc>
          <w:tcPr>
            <w:tcW w:w="842" w:type="dxa"/>
          </w:tcPr>
          <w:p w14:paraId="4B4A3F46">
            <w:pPr>
              <w:pStyle w:val="28"/>
            </w:pPr>
            <w:r>
              <w:rPr>
                <w:b/>
                <w:bCs/>
              </w:rPr>
              <w:t>−1.92</w:t>
            </w:r>
          </w:p>
        </w:tc>
        <w:tc>
          <w:tcPr>
            <w:tcW w:w="842" w:type="dxa"/>
          </w:tcPr>
          <w:p w14:paraId="7A6A443B">
            <w:pPr>
              <w:pStyle w:val="28"/>
            </w:pPr>
            <w:r>
              <w:t>−2.01</w:t>
            </w:r>
          </w:p>
        </w:tc>
        <w:tc>
          <w:tcPr>
            <w:tcW w:w="842" w:type="dxa"/>
          </w:tcPr>
          <w:p w14:paraId="59C88989">
            <w:pPr>
              <w:pStyle w:val="28"/>
            </w:pPr>
            <w:r>
              <w:t>−2.33</w:t>
            </w:r>
          </w:p>
        </w:tc>
        <w:tc>
          <w:tcPr>
            <w:tcW w:w="842" w:type="dxa"/>
          </w:tcPr>
          <w:p w14:paraId="7D514194">
            <w:pPr>
              <w:pStyle w:val="28"/>
            </w:pPr>
            <w:r>
              <w:t>−2.79</w:t>
            </w:r>
          </w:p>
        </w:tc>
        <w:tc>
          <w:tcPr>
            <w:tcW w:w="845" w:type="dxa"/>
          </w:tcPr>
          <w:p w14:paraId="314DD1CA">
            <w:pPr>
              <w:pStyle w:val="28"/>
            </w:pPr>
            <w:r>
              <w:t>−3.34</w:t>
            </w:r>
          </w:p>
        </w:tc>
      </w:tr>
    </w:tbl>
    <w:p w14:paraId="74D76562">
      <w:pPr>
        <w:pStyle w:val="3"/>
        <w:spacing w:before="16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>由表 5-7 可见，融合在单模型上确有显著收益；但在多模型集成上（表 5-8），全部阈值均为负，最优 τ=0.5 仍下降 1.92 点；且 τ∈[0.2, 0.6] 区间内 Δ 几乎持平（−1.92 ~ −2.02），说明这不是“阈值未调至最优”，而是融合本身与集成相冲突。原因有两层：</w:t>
      </w:r>
    </w:p>
    <w:p w14:paraId="065948AE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（1）</w:t>
      </w:r>
      <w:r>
        <w:rPr>
          <w:rFonts w:ascii="Times New Roman" w:hAnsi="Times New Roman" w:eastAsia="宋体" w:cs="Times New Roman"/>
          <w:b/>
          <w:bCs/>
        </w:rPr>
        <w:t>功能重叠</w:t>
      </w:r>
      <w:r>
        <w:rPr>
          <w:rFonts w:ascii="Times New Roman" w:hAnsi="Times New Roman" w:eastAsia="宋体" w:cs="Times New Roman"/>
        </w:rPr>
        <w:t>：YOLO 融合本质是用外部实例先验弥补单模型的漏检与实例粘连，而多模型集成已从“不同解码头 + 不同训练数据 + 不同预训练权重”的角度修正了同一批系统性错误。两者作用于同一误差源，后者的边际价值被前者抵消。</w:t>
      </w:r>
    </w:p>
    <w:p w14:paraId="2A45FA3A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（2）</w:t>
      </w:r>
      <w:r>
        <w:rPr>
          <w:rFonts w:ascii="Times New Roman" w:hAnsi="Times New Roman" w:eastAsia="宋体" w:cs="Times New Roman"/>
          <w:b/>
          <w:bCs/>
        </w:rPr>
        <w:t>概率分布被拉平</w:t>
      </w:r>
      <w:r>
        <w:rPr>
          <w:rFonts w:ascii="Times New Roman" w:hAnsi="Times New Roman" w:eastAsia="宋体" w:cs="Times New Roman"/>
        </w:rPr>
        <w:t xml:space="preserve">：规则 A 的门限判据是 </w:t>
      </w:r>
      <w:r>
        <w:rPr>
          <w:rStyle w:val="39"/>
          <w:rFonts w:ascii="Times New Roman" w:hAnsi="Times New Roman" w:eastAsia="宋体" w:cs="Times New Roman"/>
          <w:sz w:val="24"/>
        </w:rPr>
        <w:t>maxp &lt; τ_sem</w:t>
      </w:r>
      <w:r>
        <w:rPr>
          <w:rFonts w:ascii="Times New Roman" w:hAnsi="Times New Roman" w:eastAsia="宋体" w:cs="Times New Roman"/>
        </w:rPr>
        <w:t>，而多模型 softmax 平均会使峰值整体下移。同一个 0.6 在集成上等价于“更激进地让 YOLO 覆盖”，把语义模型本来正确的像素改错——mAcc 从 0.9050 升到 0.9211 而 mIoU 反而下降，是典型的过分割信号。</w:t>
      </w:r>
    </w:p>
    <w:p w14:paraId="599D53B1">
      <w:pPr>
        <w:pStyle w:val="27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  <w:b/>
          <w:bCs/>
        </w:rPr>
        <w:t>结论：最终提交不采用 YOLO 融合</w:t>
      </w:r>
      <w:r>
        <w:rPr>
          <w:rFonts w:ascii="Times New Roman" w:hAnsi="Times New Roman" w:eastAsia="宋体" w:cs="Times New Roman"/>
        </w:rPr>
        <w:t>。这也说明多种推理技巧并非线性叠加：</w:t>
      </w:r>
      <w:r>
        <w:rPr>
          <w:rFonts w:ascii="Times New Roman" w:hAnsi="Times New Roman" w:eastAsia="宋体" w:cs="Times New Roman"/>
          <w:b/>
          <w:bCs/>
        </w:rPr>
        <w:t>当两个手段作用于同一误差源时，后加入者的边际收益将被前者抵消</w:t>
      </w:r>
      <w:r>
        <w:rPr>
          <w:rFonts w:ascii="Times New Roman" w:hAnsi="Times New Roman" w:eastAsia="宋体" w:cs="Times New Roman"/>
        </w:rPr>
        <w:t>。</w:t>
      </w:r>
    </w:p>
    <w:bookmarkEnd w:id="42"/>
    <w:p w14:paraId="03A0983A">
      <w:pPr>
        <w:pStyle w:val="5"/>
        <w:keepNext/>
        <w:spacing w:before="240" w:after="120" w:line="312" w:lineRule="auto"/>
      </w:pPr>
      <w:bookmarkStart w:id="43" w:name="_Toc243935464"/>
      <w:bookmarkStart w:id="44" w:name="多模型概率集成最终性能提升的核心"/>
      <w:r>
        <w:rPr>
          <w:rFonts w:ascii="Times New Roman" w:hAnsi="Times New Roman" w:eastAsia="黑体" w:cs="Times New Roman"/>
        </w:rPr>
        <w:t>5.9 多模型概率集成（最终性能提升的核心）</w:t>
      </w:r>
      <w:bookmarkEnd w:id="43"/>
    </w:p>
    <w:p w14:paraId="42FCA444">
      <w:pPr>
        <w:pStyle w:val="27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  <w:b/>
          <w:bCs/>
        </w:rPr>
        <w:t>动机</w:t>
      </w:r>
      <w:r>
        <w:rPr>
          <w:rFonts w:ascii="Times New Roman" w:hAnsi="Times New Roman" w:eastAsia="宋体" w:cs="Times New Roman"/>
        </w:rPr>
        <w:t>：单模型的误差可分解为</w:t>
      </w:r>
      <w:r>
        <w:rPr>
          <w:rFonts w:ascii="Times New Roman" w:hAnsi="Times New Roman" w:eastAsia="宋体" w:cs="Times New Roman"/>
          <w:b/>
          <w:bCs/>
        </w:rPr>
        <w:t>系统性偏差</w:t>
      </w:r>
      <w:r>
        <w:rPr>
          <w:rFonts w:ascii="Times New Roman" w:hAnsi="Times New Roman" w:eastAsia="宋体" w:cs="Times New Roman"/>
        </w:rPr>
        <w:t>（某类始终混淆）与</w:t>
      </w:r>
      <w:r>
        <w:rPr>
          <w:rFonts w:ascii="Times New Roman" w:hAnsi="Times New Roman" w:eastAsia="宋体" w:cs="Times New Roman"/>
          <w:b/>
          <w:bCs/>
        </w:rPr>
        <w:t>随机噪声</w:t>
      </w:r>
      <w:r>
        <w:rPr>
          <w:rFonts w:ascii="Times New Roman" w:hAnsi="Times New Roman" w:eastAsia="宋体" w:cs="Times New Roman"/>
        </w:rPr>
        <w:t>（边界抖动）。TTA 只能压随机噪声；系统性偏差需要“换一个犯错方式不同的模型”来互相抵消。</w:t>
      </w:r>
    </w:p>
    <w:p w14:paraId="71368B35">
      <w:pPr>
        <w:pStyle w:val="3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  <w:b/>
          <w:bCs/>
        </w:rPr>
        <w:t>融合方式</w:t>
      </w:r>
      <w:r>
        <w:rPr>
          <w:rFonts w:ascii="Times New Roman" w:hAnsi="Times New Roman" w:eastAsia="宋体" w:cs="Times New Roman"/>
        </w:rPr>
        <w:t>：softmax 概率算术平均后取 argmax。此处刻意</w:t>
      </w:r>
      <w:r>
        <w:rPr>
          <w:rFonts w:ascii="Times New Roman" w:hAnsi="Times New Roman" w:eastAsia="宋体" w:cs="Times New Roman"/>
          <w:b/>
          <w:bCs/>
        </w:rPr>
        <w:t>不采用 logits 平均</w:t>
      </w:r>
      <w:r>
        <w:rPr>
          <w:rFonts w:ascii="Times New Roman" w:hAnsi="Times New Roman" w:eastAsia="宋体" w:cs="Times New Roman"/>
        </w:rPr>
        <w:t>——不同 run 的 logits 尺度不同（权重范数、softmax 温度不一致），直接平均将被“输出幅度大”的模型主导；softmax 之后各模型被归一化到同一概率单纯形上，各模型方可获得同等的贡献权重。</w:t>
      </w:r>
    </w:p>
    <w:p w14:paraId="54876D88">
      <w:pPr>
        <w:pStyle w:val="3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  <w:b/>
          <w:bCs/>
        </w:rPr>
        <w:t>结果一：训练模型侧阶梯（全量 val 1449 张，严格同口径）</w:t>
      </w:r>
      <w:r>
        <w:rPr>
          <w:rFonts w:ascii="Times New Roman" w:hAnsi="Times New Roman" w:eastAsia="宋体" w:cs="Times New Roman"/>
        </w:rPr>
        <w:t>：</w:t>
      </w:r>
    </w:p>
    <w:p w14:paraId="6A81EF38">
      <w:pPr>
        <w:pStyle w:val="3"/>
        <w:keepNext/>
        <w:spacing w:before="80" w:after="200" w:line="420" w:lineRule="auto"/>
        <w:jc w:val="center"/>
      </w:pPr>
      <w:r>
        <w:rPr>
          <w:rFonts w:ascii="Times New Roman" w:hAnsi="Times New Roman" w:eastAsia="宋体" w:cs="Times New Roman"/>
          <w:bCs/>
          <w:sz w:val="21"/>
        </w:rPr>
        <w:t>表 5-9　训练模型侧推理阶梯（全量 val 1449 张）</w:t>
      </w:r>
    </w:p>
    <w:tbl>
      <w:tblPr>
        <w:tblStyle w:val="32"/>
        <w:tblW w:w="8640" w:type="dxa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0"/>
        <w:gridCol w:w="1196"/>
        <w:gridCol w:w="1196"/>
        <w:gridCol w:w="1088"/>
      </w:tblGrid>
      <w:tr w14:paraId="610BCDA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160" w:type="dxa"/>
            <w:tcBorders>
              <w:bottom w:val="single" w:color="000000" w:sz="6" w:space="0"/>
            </w:tcBorders>
            <w:vAlign w:val="bottom"/>
          </w:tcPr>
          <w:p w14:paraId="15C31801">
            <w:pPr>
              <w:pStyle w:val="28"/>
            </w:pPr>
            <w:r>
              <w:t>配置</w:t>
            </w:r>
          </w:p>
        </w:tc>
        <w:tc>
          <w:tcPr>
            <w:tcW w:w="1196" w:type="dxa"/>
            <w:tcBorders>
              <w:bottom w:val="single" w:color="000000" w:sz="6" w:space="0"/>
            </w:tcBorders>
            <w:vAlign w:val="bottom"/>
          </w:tcPr>
          <w:p w14:paraId="787C9DF9">
            <w:pPr>
              <w:pStyle w:val="28"/>
            </w:pPr>
            <w:r>
              <w:t>mIoU(21)</w:t>
            </w:r>
          </w:p>
        </w:tc>
        <w:tc>
          <w:tcPr>
            <w:tcW w:w="1196" w:type="dxa"/>
            <w:tcBorders>
              <w:bottom w:val="single" w:color="000000" w:sz="6" w:space="0"/>
            </w:tcBorders>
            <w:vAlign w:val="bottom"/>
          </w:tcPr>
          <w:p w14:paraId="5FC561D3">
            <w:pPr>
              <w:pStyle w:val="28"/>
            </w:pPr>
            <w:r>
              <w:t>mIoU(20)</w:t>
            </w:r>
          </w:p>
        </w:tc>
        <w:tc>
          <w:tcPr>
            <w:tcW w:w="1088" w:type="dxa"/>
            <w:tcBorders>
              <w:bottom w:val="single" w:color="000000" w:sz="6" w:space="0"/>
            </w:tcBorders>
            <w:vAlign w:val="bottom"/>
          </w:tcPr>
          <w:p w14:paraId="3246CBF9">
            <w:pPr>
              <w:pStyle w:val="28"/>
            </w:pPr>
            <w:r>
              <w:t>Pixel Acc</w:t>
            </w:r>
          </w:p>
        </w:tc>
      </w:tr>
      <w:tr w14:paraId="76FB2FC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60" w:type="dxa"/>
          </w:tcPr>
          <w:p w14:paraId="1CDD2A01">
            <w:pPr>
              <w:pStyle w:val="28"/>
            </w:pPr>
            <w:r>
              <w:t>单模型 sbd_lfca，无 TTA</w:t>
            </w:r>
          </w:p>
        </w:tc>
        <w:tc>
          <w:tcPr>
            <w:tcW w:w="1196" w:type="dxa"/>
          </w:tcPr>
          <w:p w14:paraId="6BA133E3">
            <w:pPr>
              <w:pStyle w:val="28"/>
            </w:pPr>
            <w:r>
              <w:t>0.7570</w:t>
            </w:r>
          </w:p>
        </w:tc>
        <w:tc>
          <w:tcPr>
            <w:tcW w:w="1196" w:type="dxa"/>
          </w:tcPr>
          <w:p w14:paraId="22508F44">
            <w:pPr>
              <w:pStyle w:val="28"/>
            </w:pPr>
            <w:r>
              <w:t>0.7482</w:t>
            </w:r>
          </w:p>
        </w:tc>
        <w:tc>
          <w:tcPr>
            <w:tcW w:w="1088" w:type="dxa"/>
          </w:tcPr>
          <w:p w14:paraId="0794EAAA">
            <w:pPr>
              <w:pStyle w:val="28"/>
            </w:pPr>
            <w:r>
              <w:t>0.9421</w:t>
            </w:r>
          </w:p>
        </w:tc>
      </w:tr>
      <w:tr w14:paraId="4F76E41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60" w:type="dxa"/>
          </w:tcPr>
          <w:p w14:paraId="1D640191">
            <w:pPr>
              <w:pStyle w:val="28"/>
            </w:pPr>
            <w:r>
              <w:t>单模型 + 水平翻转</w:t>
            </w:r>
          </w:p>
        </w:tc>
        <w:tc>
          <w:tcPr>
            <w:tcW w:w="1196" w:type="dxa"/>
          </w:tcPr>
          <w:p w14:paraId="209CD44C">
            <w:pPr>
              <w:pStyle w:val="28"/>
            </w:pPr>
            <w:r>
              <w:t>0.7669</w:t>
            </w:r>
          </w:p>
        </w:tc>
        <w:tc>
          <w:tcPr>
            <w:tcW w:w="1196" w:type="dxa"/>
          </w:tcPr>
          <w:p w14:paraId="3B891910">
            <w:pPr>
              <w:pStyle w:val="28"/>
            </w:pPr>
            <w:r>
              <w:t>0.7585</w:t>
            </w:r>
          </w:p>
        </w:tc>
        <w:tc>
          <w:tcPr>
            <w:tcW w:w="1088" w:type="dxa"/>
          </w:tcPr>
          <w:p w14:paraId="15935029">
            <w:pPr>
              <w:pStyle w:val="28"/>
            </w:pPr>
            <w:r>
              <w:t>0.9452</w:t>
            </w:r>
          </w:p>
        </w:tc>
      </w:tr>
      <w:tr w14:paraId="31E3F34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60" w:type="dxa"/>
          </w:tcPr>
          <w:p w14:paraId="1F197D8F">
            <w:pPr>
              <w:pStyle w:val="28"/>
            </w:pPr>
            <w:r>
              <w:t>单模型 + 5 尺度 + 翻转</w:t>
            </w:r>
          </w:p>
        </w:tc>
        <w:tc>
          <w:tcPr>
            <w:tcW w:w="1196" w:type="dxa"/>
          </w:tcPr>
          <w:p w14:paraId="2FF28EB2">
            <w:pPr>
              <w:pStyle w:val="28"/>
            </w:pPr>
            <w:r>
              <w:t>0.7759</w:t>
            </w:r>
          </w:p>
        </w:tc>
        <w:tc>
          <w:tcPr>
            <w:tcW w:w="1196" w:type="dxa"/>
          </w:tcPr>
          <w:p w14:paraId="075921E7">
            <w:pPr>
              <w:pStyle w:val="28"/>
            </w:pPr>
            <w:r>
              <w:t>0.7677</w:t>
            </w:r>
          </w:p>
        </w:tc>
        <w:tc>
          <w:tcPr>
            <w:tcW w:w="1088" w:type="dxa"/>
          </w:tcPr>
          <w:p w14:paraId="0176493A">
            <w:pPr>
              <w:pStyle w:val="28"/>
            </w:pPr>
            <w:r>
              <w:t>0.9482</w:t>
            </w:r>
          </w:p>
        </w:tc>
      </w:tr>
      <w:tr w14:paraId="34349CA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60" w:type="dxa"/>
          </w:tcPr>
          <w:p w14:paraId="10F920B9">
            <w:pPr>
              <w:pStyle w:val="28"/>
            </w:pPr>
            <w:r>
              <w:t>三模型集成（base+lfca_res+sbd）+ 翻转（单尺度）</w:t>
            </w:r>
          </w:p>
        </w:tc>
        <w:tc>
          <w:tcPr>
            <w:tcW w:w="1196" w:type="dxa"/>
          </w:tcPr>
          <w:p w14:paraId="40691915">
            <w:pPr>
              <w:pStyle w:val="28"/>
            </w:pPr>
            <w:r>
              <w:t>0.7775</w:t>
            </w:r>
          </w:p>
        </w:tc>
        <w:tc>
          <w:tcPr>
            <w:tcW w:w="1196" w:type="dxa"/>
          </w:tcPr>
          <w:p w14:paraId="1AF421D8">
            <w:pPr>
              <w:pStyle w:val="28"/>
            </w:pPr>
            <w:r>
              <w:t>0.7693</w:t>
            </w:r>
          </w:p>
        </w:tc>
        <w:tc>
          <w:tcPr>
            <w:tcW w:w="1088" w:type="dxa"/>
          </w:tcPr>
          <w:p w14:paraId="22C32A25">
            <w:pPr>
              <w:pStyle w:val="28"/>
            </w:pPr>
            <w:r>
              <w:t>0.9476</w:t>
            </w:r>
          </w:p>
        </w:tc>
      </w:tr>
      <w:tr w14:paraId="2F2A95F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60" w:type="dxa"/>
          </w:tcPr>
          <w:p w14:paraId="616A1931">
            <w:pPr>
              <w:pStyle w:val="28"/>
            </w:pPr>
            <w:r>
              <w:rPr>
                <w:b/>
                <w:bCs/>
              </w:rPr>
              <w:t>三模型集成 + 5 尺度 + 翻转</w:t>
            </w:r>
          </w:p>
        </w:tc>
        <w:tc>
          <w:tcPr>
            <w:tcW w:w="1196" w:type="dxa"/>
          </w:tcPr>
          <w:p w14:paraId="3E554FEE">
            <w:pPr>
              <w:pStyle w:val="28"/>
            </w:pPr>
            <w:r>
              <w:rPr>
                <w:b/>
                <w:bCs/>
              </w:rPr>
              <w:t>0.7907</w:t>
            </w:r>
          </w:p>
        </w:tc>
        <w:tc>
          <w:tcPr>
            <w:tcW w:w="1196" w:type="dxa"/>
          </w:tcPr>
          <w:p w14:paraId="69E84336">
            <w:pPr>
              <w:pStyle w:val="28"/>
            </w:pPr>
            <w:r>
              <w:rPr>
                <w:b/>
                <w:bCs/>
              </w:rPr>
              <w:t>0.7830</w:t>
            </w:r>
          </w:p>
        </w:tc>
        <w:tc>
          <w:tcPr>
            <w:tcW w:w="1088" w:type="dxa"/>
          </w:tcPr>
          <w:p w14:paraId="0E676216">
            <w:pPr>
              <w:pStyle w:val="28"/>
            </w:pPr>
            <w:r>
              <w:rPr>
                <w:b/>
                <w:bCs/>
              </w:rPr>
              <w:t>0.9518</w:t>
            </w:r>
          </w:p>
        </w:tc>
      </w:tr>
    </w:tbl>
    <w:p w14:paraId="0FC74859">
      <w:pPr>
        <w:pStyle w:val="3"/>
        <w:spacing w:before="16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  <w:b/>
          <w:bCs/>
        </w:rPr>
        <w:t>结果二：零样本 / 混合模型侧阶梯（全量 val 1449 张）</w:t>
      </w:r>
      <w:r>
        <w:rPr>
          <w:rFonts w:ascii="Times New Roman" w:hAnsi="Times New Roman" w:eastAsia="宋体" w:cs="Times New Roman"/>
        </w:rPr>
        <w:t>：</w:t>
      </w:r>
    </w:p>
    <w:p w14:paraId="6B2F333B">
      <w:pPr>
        <w:pStyle w:val="3"/>
        <w:keepNext/>
        <w:spacing w:before="80" w:after="200" w:line="420" w:lineRule="auto"/>
        <w:jc w:val="center"/>
      </w:pPr>
      <w:r>
        <w:rPr>
          <w:rFonts w:ascii="Times New Roman" w:hAnsi="Times New Roman" w:eastAsia="宋体" w:cs="Times New Roman"/>
          <w:bCs/>
          <w:sz w:val="21"/>
        </w:rPr>
        <w:t>表 5-10　零样本 / 混合模型侧推理阶梯（全量 val 1449 张）</w:t>
      </w:r>
    </w:p>
    <w:tbl>
      <w:tblPr>
        <w:tblStyle w:val="32"/>
        <w:tblW w:w="8640" w:type="dxa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74"/>
        <w:gridCol w:w="1196"/>
        <w:gridCol w:w="1196"/>
        <w:gridCol w:w="1074"/>
      </w:tblGrid>
      <w:tr w14:paraId="0D365D1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174" w:type="dxa"/>
            <w:tcBorders>
              <w:bottom w:val="single" w:color="000000" w:sz="6" w:space="0"/>
            </w:tcBorders>
            <w:vAlign w:val="bottom"/>
          </w:tcPr>
          <w:p w14:paraId="0CCD416B">
            <w:pPr>
              <w:pStyle w:val="28"/>
            </w:pPr>
            <w:r>
              <w:t>配置</w:t>
            </w:r>
          </w:p>
        </w:tc>
        <w:tc>
          <w:tcPr>
            <w:tcW w:w="1196" w:type="dxa"/>
            <w:tcBorders>
              <w:bottom w:val="single" w:color="000000" w:sz="6" w:space="0"/>
            </w:tcBorders>
            <w:vAlign w:val="bottom"/>
          </w:tcPr>
          <w:p w14:paraId="39535766">
            <w:pPr>
              <w:pStyle w:val="28"/>
            </w:pPr>
            <w:r>
              <w:t>mIoU(21)</w:t>
            </w:r>
          </w:p>
        </w:tc>
        <w:tc>
          <w:tcPr>
            <w:tcW w:w="1196" w:type="dxa"/>
            <w:tcBorders>
              <w:bottom w:val="single" w:color="000000" w:sz="6" w:space="0"/>
            </w:tcBorders>
            <w:vAlign w:val="bottom"/>
          </w:tcPr>
          <w:p w14:paraId="4D4CC05E">
            <w:pPr>
              <w:pStyle w:val="28"/>
            </w:pPr>
            <w:r>
              <w:t>mIoU(20)</w:t>
            </w:r>
          </w:p>
        </w:tc>
        <w:tc>
          <w:tcPr>
            <w:tcW w:w="1074" w:type="dxa"/>
            <w:tcBorders>
              <w:bottom w:val="single" w:color="000000" w:sz="6" w:space="0"/>
            </w:tcBorders>
            <w:vAlign w:val="bottom"/>
          </w:tcPr>
          <w:p w14:paraId="147CA799">
            <w:pPr>
              <w:pStyle w:val="28"/>
            </w:pPr>
            <w:r>
              <w:t>Pixel Acc</w:t>
            </w:r>
          </w:p>
        </w:tc>
      </w:tr>
      <w:tr w14:paraId="2C5AB6A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74" w:type="dxa"/>
          </w:tcPr>
          <w:p w14:paraId="799D2FC3">
            <w:pPr>
              <w:pStyle w:val="28"/>
            </w:pPr>
            <w:r>
              <w:t>零样本 R101，单尺度</w:t>
            </w:r>
          </w:p>
        </w:tc>
        <w:tc>
          <w:tcPr>
            <w:tcW w:w="1196" w:type="dxa"/>
          </w:tcPr>
          <w:p w14:paraId="1E3E3CD6">
            <w:pPr>
              <w:pStyle w:val="28"/>
            </w:pPr>
            <w:r>
              <w:t>0.7951</w:t>
            </w:r>
          </w:p>
        </w:tc>
        <w:tc>
          <w:tcPr>
            <w:tcW w:w="1196" w:type="dxa"/>
          </w:tcPr>
          <w:p w14:paraId="54B08DEC">
            <w:pPr>
              <w:pStyle w:val="28"/>
            </w:pPr>
            <w:r>
              <w:t>—</w:t>
            </w:r>
          </w:p>
        </w:tc>
        <w:tc>
          <w:tcPr>
            <w:tcW w:w="1074" w:type="dxa"/>
          </w:tcPr>
          <w:p w14:paraId="144168B5">
            <w:pPr>
              <w:pStyle w:val="28"/>
            </w:pPr>
            <w:r>
              <w:t>—</w:t>
            </w:r>
          </w:p>
        </w:tc>
      </w:tr>
      <w:tr w14:paraId="768AA66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74" w:type="dxa"/>
          </w:tcPr>
          <w:p w14:paraId="2F1E08C6">
            <w:pPr>
              <w:pStyle w:val="28"/>
            </w:pPr>
            <w:r>
              <w:t>零样本 R101 + 5 尺度 + 翻转</w:t>
            </w:r>
          </w:p>
        </w:tc>
        <w:tc>
          <w:tcPr>
            <w:tcW w:w="1196" w:type="dxa"/>
          </w:tcPr>
          <w:p w14:paraId="2E43612F">
            <w:pPr>
              <w:pStyle w:val="28"/>
            </w:pPr>
            <w:r>
              <w:t>0.8024</w:t>
            </w:r>
          </w:p>
        </w:tc>
        <w:tc>
          <w:tcPr>
            <w:tcW w:w="1196" w:type="dxa"/>
          </w:tcPr>
          <w:p w14:paraId="69F405F6">
            <w:pPr>
              <w:pStyle w:val="28"/>
            </w:pPr>
            <w:r>
              <w:t>0.7952</w:t>
            </w:r>
          </w:p>
        </w:tc>
        <w:tc>
          <w:tcPr>
            <w:tcW w:w="1074" w:type="dxa"/>
          </w:tcPr>
          <w:p w14:paraId="5195AFEB">
            <w:pPr>
              <w:pStyle w:val="28"/>
            </w:pPr>
            <w:r>
              <w:t>0.9559</w:t>
            </w:r>
          </w:p>
        </w:tc>
      </w:tr>
      <w:tr w14:paraId="75E3877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74" w:type="dxa"/>
          </w:tcPr>
          <w:p w14:paraId="401DD98A">
            <w:pPr>
              <w:pStyle w:val="28"/>
            </w:pPr>
            <w:r>
              <w:t>零样本 R50 + R101 + 5 尺度 + 翻转</w:t>
            </w:r>
          </w:p>
        </w:tc>
        <w:tc>
          <w:tcPr>
            <w:tcW w:w="1196" w:type="dxa"/>
          </w:tcPr>
          <w:p w14:paraId="542F582D">
            <w:pPr>
              <w:pStyle w:val="28"/>
            </w:pPr>
            <w:r>
              <w:t>0.8049</w:t>
            </w:r>
          </w:p>
        </w:tc>
        <w:tc>
          <w:tcPr>
            <w:tcW w:w="1196" w:type="dxa"/>
          </w:tcPr>
          <w:p w14:paraId="37569668">
            <w:pPr>
              <w:pStyle w:val="28"/>
            </w:pPr>
            <w:r>
              <w:t>0.7977</w:t>
            </w:r>
          </w:p>
        </w:tc>
        <w:tc>
          <w:tcPr>
            <w:tcW w:w="1074" w:type="dxa"/>
          </w:tcPr>
          <w:p w14:paraId="0FD4E861">
            <w:pPr>
              <w:pStyle w:val="28"/>
            </w:pPr>
            <w:r>
              <w:t>0.9559</w:t>
            </w:r>
          </w:p>
        </w:tc>
      </w:tr>
      <w:tr w14:paraId="3BEA322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74" w:type="dxa"/>
          </w:tcPr>
          <w:p w14:paraId="34D18D5E">
            <w:pPr>
              <w:pStyle w:val="28"/>
            </w:pPr>
            <w:r>
              <w:t>+ sbd_lfca（3 模型混合）+ 5 尺度 + 翻转</w:t>
            </w:r>
          </w:p>
        </w:tc>
        <w:tc>
          <w:tcPr>
            <w:tcW w:w="1196" w:type="dxa"/>
          </w:tcPr>
          <w:p w14:paraId="66292996">
            <w:pPr>
              <w:pStyle w:val="28"/>
            </w:pPr>
            <w:r>
              <w:t>0.8143</w:t>
            </w:r>
          </w:p>
        </w:tc>
        <w:tc>
          <w:tcPr>
            <w:tcW w:w="1196" w:type="dxa"/>
          </w:tcPr>
          <w:p w14:paraId="542D428C">
            <w:pPr>
              <w:pStyle w:val="28"/>
            </w:pPr>
            <w:r>
              <w:t>0.8075</w:t>
            </w:r>
          </w:p>
        </w:tc>
        <w:tc>
          <w:tcPr>
            <w:tcW w:w="1074" w:type="dxa"/>
          </w:tcPr>
          <w:p w14:paraId="675ED3A4">
            <w:pPr>
              <w:pStyle w:val="28"/>
            </w:pPr>
            <w:r>
              <w:t>0.9590</w:t>
            </w:r>
          </w:p>
        </w:tc>
      </w:tr>
      <w:tr w14:paraId="0E5F31E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74" w:type="dxa"/>
          </w:tcPr>
          <w:p w14:paraId="22934B34">
            <w:pPr>
              <w:pStyle w:val="28"/>
            </w:pPr>
            <w:r>
              <w:rPr>
                <w:b/>
                <w:bCs/>
              </w:rPr>
              <w:t>+ r101_e13 且 R101 权重 ×1.25（4 模型）+ 5 尺度 + 翻转</w:t>
            </w:r>
          </w:p>
        </w:tc>
        <w:tc>
          <w:tcPr>
            <w:tcW w:w="1196" w:type="dxa"/>
          </w:tcPr>
          <w:p w14:paraId="07B8CA7C">
            <w:pPr>
              <w:pStyle w:val="28"/>
            </w:pPr>
            <w:r>
              <w:rPr>
                <w:b/>
                <w:bCs/>
              </w:rPr>
              <w:t>0.8195</w:t>
            </w:r>
          </w:p>
        </w:tc>
        <w:tc>
          <w:tcPr>
            <w:tcW w:w="1196" w:type="dxa"/>
          </w:tcPr>
          <w:p w14:paraId="573C9A30">
            <w:pPr>
              <w:pStyle w:val="28"/>
            </w:pPr>
            <w:r>
              <w:rPr>
                <w:b/>
                <w:bCs/>
              </w:rPr>
              <w:t>0.8128</w:t>
            </w:r>
          </w:p>
        </w:tc>
        <w:tc>
          <w:tcPr>
            <w:tcW w:w="1074" w:type="dxa"/>
          </w:tcPr>
          <w:p w14:paraId="4AF4048B">
            <w:pPr>
              <w:pStyle w:val="28"/>
            </w:pPr>
            <w:r>
              <w:rPr>
                <w:b/>
                <w:bCs/>
              </w:rPr>
              <w:t>0.9608</w:t>
            </w:r>
          </w:p>
        </w:tc>
      </w:tr>
    </w:tbl>
    <w:p w14:paraId="750AF403">
      <w:pPr>
        <w:pStyle w:val="38"/>
        <w:keepNext/>
      </w:pPr>
      <w:r>
        <w:drawing>
          <wp:inline distT="0" distB="0" distL="0" distR="0">
            <wp:extent cx="5334000" cy="3408045"/>
            <wp:effectExtent l="0" t="0" r="0" b="0"/>
            <wp:docPr id="5" name="Picture" descr="图 5-4　推理侧配置对比（全量 val，21 类 mIoU；横轴自 0.75 起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图 5-4　推理侧配置对比（全量 val，21 类 mIoU；横轴自 0.75 起）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08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4009A8">
      <w:pPr>
        <w:pStyle w:val="36"/>
        <w:spacing w:before="80" w:after="200" w:line="420" w:lineRule="auto"/>
        <w:jc w:val="center"/>
      </w:pPr>
      <w:r>
        <w:rPr>
          <w:rFonts w:ascii="Times New Roman" w:hAnsi="Times New Roman" w:eastAsia="宋体" w:cs="Times New Roman"/>
          <w:sz w:val="21"/>
        </w:rPr>
        <w:t>图 5-4　推理侧配置对比（全量 val，21 类 mIoU；横轴自 0.75 起）</w:t>
      </w:r>
    </w:p>
    <w:p w14:paraId="73BF4187">
      <w:pPr>
        <w:pStyle w:val="3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  <w:b/>
          <w:bCs/>
        </w:rPr>
        <w:t>成员构成的系统搜索</w:t>
      </w:r>
      <w:r>
        <w:rPr>
          <w:rFonts w:ascii="Times New Roman" w:hAnsi="Times New Roman" w:eastAsia="宋体" w:cs="Times New Roman"/>
        </w:rPr>
        <w:t>。对 5 个候选成员（2 个零样本 + 3 个微调：sbd_lfca / lfca_res / r101_e13）做全集扫描：先缓存各成员在 val 上的 TTA 概率图（</w:t>
      </w:r>
      <w:r>
        <w:rPr>
          <w:rStyle w:val="39"/>
          <w:rFonts w:ascii="Times New Roman" w:hAnsi="Times New Roman" w:eastAsia="宋体" w:cs="Times New Roman"/>
          <w:sz w:val="24"/>
        </w:rPr>
        <w:t>cache_val_probs.py</w:t>
      </w:r>
      <w:r>
        <w:rPr>
          <w:rFonts w:ascii="Times New Roman" w:hAnsi="Times New Roman" w:eastAsia="宋体" w:cs="Times New Roman"/>
        </w:rPr>
        <w:t>，半分辨率估计与全精度实测差 ≤0.001），再瞬时评估全部 31 个子集组合与权重网格（</w:t>
      </w:r>
      <w:r>
        <w:rPr>
          <w:rStyle w:val="39"/>
          <w:rFonts w:ascii="Times New Roman" w:hAnsi="Times New Roman" w:eastAsia="宋体" w:cs="Times New Roman"/>
          <w:sz w:val="24"/>
        </w:rPr>
        <w:t>sweep_val_cache.py</w:t>
      </w:r>
      <w:r>
        <w:rPr>
          <w:rFonts w:ascii="Times New Roman" w:hAnsi="Times New Roman" w:eastAsia="宋体" w:cs="Times New Roman"/>
        </w:rPr>
        <w:t>）。结论：</w:t>
      </w:r>
    </w:p>
    <w:p w14:paraId="0B41CD89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（1）</w:t>
      </w:r>
      <w:r>
        <w:rPr>
          <w:rFonts w:ascii="Times New Roman" w:hAnsi="Times New Roman" w:eastAsia="宋体" w:cs="Times New Roman"/>
          <w:b/>
          <w:bCs/>
        </w:rPr>
        <w:t>最优成员组合 = 零样本 R50 + 零样本 R101 + sbd_lfca + r101_e13</w:t>
      </w:r>
      <w:r>
        <w:rPr>
          <w:rFonts w:ascii="Times New Roman" w:hAnsi="Times New Roman" w:eastAsia="宋体" w:cs="Times New Roman"/>
        </w:rPr>
        <w:t xml:space="preserve">，恰好构成 </w:t>
      </w:r>
      <w:r>
        <w:rPr>
          <w:rFonts w:ascii="Times New Roman" w:hAnsi="Times New Roman" w:eastAsia="宋体" w:cs="Times New Roman"/>
          <w:b/>
          <w:bCs/>
        </w:rPr>
        <w:t>骨干(R50/​R101) × 训练方式(零样本/​微调)</w:t>
      </w:r>
      <w:r>
        <w:rPr>
          <w:rFonts w:ascii="Times New Roman" w:hAnsi="Times New Roman" w:eastAsia="宋体" w:cs="Times New Roman"/>
        </w:rPr>
        <w:t xml:space="preserve"> 的 2×2 设计——两个正交的多样性维度同时拉满。</w:t>
      </w:r>
    </w:p>
    <w:p w14:paraId="7676AD0D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（2）</w:t>
      </w:r>
      <w:r>
        <w:rPr>
          <w:rFonts w:ascii="Times New Roman" w:hAnsi="Times New Roman" w:eastAsia="宋体" w:cs="Times New Roman"/>
          <w:b/>
          <w:bCs/>
        </w:rPr>
        <w:t>最差的单模型做出了最大的集成贡献</w:t>
      </w:r>
      <w:r>
        <w:rPr>
          <w:rFonts w:ascii="Times New Roman" w:hAnsi="Times New Roman" w:eastAsia="宋体" w:cs="Times New Roman"/>
        </w:rPr>
        <w:t xml:space="preserve">。r101_e13 是 5.3 节所述「R101 大学习率微调在 epoch 13 中止」的残留模型，单模型仅 </w:t>
      </w:r>
      <w:r>
        <w:rPr>
          <w:rFonts w:ascii="Times New Roman" w:hAnsi="Times New Roman" w:eastAsia="宋体" w:cs="Times New Roman"/>
          <w:b/>
          <w:bCs/>
        </w:rPr>
        <w:t>0.7591（+TTA，全部候选中最差）</w:t>
      </w:r>
      <w:r>
        <w:rPr>
          <w:rFonts w:ascii="Times New Roman" w:hAnsi="Times New Roman" w:eastAsia="宋体" w:cs="Times New Roman"/>
        </w:rPr>
        <w:t xml:space="preserve">；但把它加进 3 模型集成，val 再涨 </w:t>
      </w:r>
      <w:r>
        <w:rPr>
          <w:rFonts w:ascii="Times New Roman" w:hAnsi="Times New Roman" w:eastAsia="宋体" w:cs="Times New Roman"/>
          <w:b/>
          <w:bCs/>
        </w:rPr>
        <w:t>+0.41</w:t>
      </w:r>
      <w:r>
        <w:rPr>
          <w:rFonts w:ascii="Times New Roman" w:hAnsi="Times New Roman" w:eastAsia="宋体" w:cs="Times New Roman"/>
        </w:rPr>
        <w:t>（等权口径 0.8138 → 0.8179）。它是在 lr=0.01 破坏通用表征的</w:t>
      </w:r>
      <w:r>
        <w:rPr>
          <w:rFonts w:ascii="Times New Roman" w:hAnsi="Times New Roman" w:eastAsia="宋体" w:cs="Times New Roman"/>
          <w:b/>
          <w:bCs/>
        </w:rPr>
        <w:t>过程中被截停</w:t>
      </w:r>
      <w:r>
        <w:rPr>
          <w:rFonts w:ascii="Times New Roman" w:hAnsi="Times New Roman" w:eastAsia="宋体" w:cs="Times New Roman"/>
        </w:rPr>
        <w:t>的，错误模式与完整收敛的 sbd_lfca（poly 衰减跑满 24 个有效 epoch）差异极大，提供了最互补的投票。这是「单模型精度 ≠ 集成价值」最极端的一个例证。</w:t>
      </w:r>
    </w:p>
    <w:p w14:paraId="41D9B2F9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（3）</w:t>
      </w:r>
      <w:r>
        <w:rPr>
          <w:rFonts w:ascii="Times New Roman" w:hAnsi="Times New Roman" w:eastAsia="宋体" w:cs="Times New Roman"/>
          <w:b/>
          <w:bCs/>
        </w:rPr>
        <w:t>同源冗余会被惩罚</w:t>
      </w:r>
      <w:r>
        <w:rPr>
          <w:rFonts w:ascii="Times New Roman" w:hAnsi="Times New Roman" w:eastAsia="宋体" w:cs="Times New Roman"/>
        </w:rPr>
        <w:t xml:space="preserve">：只加 lfca_res（与 sbd_lfca 同架构、同数据、少数据）仅 +0.19；5 个成员全家桶（0.8141）反而低于 4 成员；砍掉同源的 zs_r50 只留 </w:t>
      </w:r>
      <w:r>
        <w:rPr>
          <w:rStyle w:val="39"/>
          <w:rFonts w:ascii="Times New Roman" w:hAnsi="Times New Roman" w:eastAsia="宋体" w:cs="Times New Roman"/>
          <w:sz w:val="24"/>
        </w:rPr>
        <w:t>zs_r101×1.25 + sbd_lfca</w:t>
      </w:r>
      <w:r>
        <w:rPr>
          <w:rFonts w:ascii="Times New Roman" w:hAnsi="Times New Roman" w:eastAsia="宋体" w:cs="Times New Roman"/>
        </w:rPr>
        <w:t xml:space="preserve"> 双模型也有 0.8167。</w:t>
      </w:r>
    </w:p>
    <w:p w14:paraId="57B3DFFC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（4）</w:t>
      </w:r>
      <w:r>
        <w:rPr>
          <w:rFonts w:ascii="Times New Roman" w:hAnsi="Times New Roman" w:eastAsia="宋体" w:cs="Times New Roman"/>
          <w:b/>
          <w:bCs/>
        </w:rPr>
        <w:t>权重应向最强且最通用的成员倾斜</w:t>
      </w:r>
      <w:r>
        <w:rPr>
          <w:rFonts w:ascii="Times New Roman" w:hAnsi="Times New Roman" w:eastAsia="宋体" w:cs="Times New Roman"/>
        </w:rPr>
        <w:t xml:space="preserve">：所有权重网格的头部配置一致地把 </w:t>
      </w:r>
      <w:r>
        <w:rPr>
          <w:rFonts w:ascii="Times New Roman" w:hAnsi="Times New Roman" w:eastAsia="宋体" w:cs="Times New Roman"/>
          <w:b/>
          <w:bCs/>
        </w:rPr>
        <w:t>zs_r101 加权 1.25~1.5×</w:t>
      </w:r>
      <w:r>
        <w:rPr>
          <w:rFonts w:ascii="Times New Roman" w:hAnsi="Times New Roman" w:eastAsia="宋体" w:cs="Times New Roman"/>
        </w:rPr>
        <w:t>（零样本权重中单模型最强、且在 COCO 上预训练泛化性最好）。最终采用 ×1.25（+0.11），未采用更激进的 ×1.5——权重是在 val 上搜出来的，需要防过拟合，取保守值。</w:t>
      </w:r>
    </w:p>
    <w:p w14:paraId="2AA4A51C">
      <w:pPr>
        <w:pStyle w:val="27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  <w:b/>
          <w:bCs/>
        </w:rPr>
        <w:t>三个关键观察</w:t>
      </w:r>
      <w:r>
        <w:rPr>
          <w:rFonts w:ascii="Times New Roman" w:hAnsi="Times New Roman" w:eastAsia="宋体" w:cs="Times New Roman"/>
        </w:rPr>
        <w:t>：</w:t>
      </w:r>
    </w:p>
    <w:p w14:paraId="095EDF7E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（1）</w:t>
      </w:r>
      <w:r>
        <w:rPr>
          <w:rFonts w:ascii="Times New Roman" w:hAnsi="Times New Roman" w:eastAsia="宋体" w:cs="Times New Roman"/>
          <w:b/>
          <w:bCs/>
        </w:rPr>
        <w:t>单模型精度 ≠ 集成价值</w:t>
      </w:r>
      <w:r>
        <w:rPr>
          <w:rFonts w:ascii="Times New Roman" w:hAnsi="Times New Roman" w:eastAsia="宋体" w:cs="Times New Roman"/>
        </w:rPr>
        <w:t xml:space="preserve">。微调让 R50 单模型差了 1.98 点（0.7768 → 0.7570），但把这个“更差”的 sbd_lfca 加进零样本集成，反而贡献 </w:t>
      </w:r>
      <w:r>
        <w:rPr>
          <w:rFonts w:ascii="Times New Roman" w:hAnsi="Times New Roman" w:eastAsia="宋体" w:cs="Times New Roman"/>
          <w:b/>
          <w:bCs/>
        </w:rPr>
        <w:t>+0.94</w:t>
      </w:r>
      <w:r>
        <w:rPr>
          <w:rFonts w:ascii="Times New Roman" w:hAnsi="Times New Roman" w:eastAsia="宋体" w:cs="Times New Roman"/>
        </w:rPr>
        <w:t>（0.8049 → 0.8143）。原因：过拟合到 VOC train 的模型，其错误模式与预训练权重差异极大，在集成中提供了</w:t>
      </w:r>
      <w:r>
        <w:rPr>
          <w:rFonts w:ascii="Times New Roman" w:hAnsi="Times New Roman" w:eastAsia="宋体" w:cs="Times New Roman"/>
          <w:b/>
          <w:bCs/>
        </w:rPr>
        <w:t>互补投票</w:t>
      </w:r>
      <w:r>
        <w:rPr>
          <w:rFonts w:ascii="Times New Roman" w:hAnsi="Times New Roman" w:eastAsia="宋体" w:cs="Times New Roman"/>
        </w:rPr>
        <w:t>；同源预训练（R50/​R101）之间错误模式重合，集成收益很小（仅 +0.25）。</w:t>
      </w:r>
    </w:p>
    <w:p w14:paraId="17B0A0B8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（2）</w:t>
      </w:r>
      <w:r>
        <w:rPr>
          <w:rFonts w:ascii="Times New Roman" w:hAnsi="Times New Roman" w:eastAsia="宋体" w:cs="Times New Roman"/>
          <w:b/>
          <w:bCs/>
        </w:rPr>
        <w:t>集成与 TTA 是两条独立的增益来源</w:t>
      </w:r>
      <w:r>
        <w:rPr>
          <w:rFonts w:ascii="Times New Roman" w:hAnsi="Times New Roman" w:eastAsia="宋体" w:cs="Times New Roman"/>
        </w:rPr>
        <w:t>。训练三模型集成单尺度（0.7775）就已超过单模型 5 尺度 TTA（0.7759），两者叠加达 0.7907（净增 +3.37，全部来自推理阶段，未增加任何训练成本）。</w:t>
      </w:r>
    </w:p>
    <w:p w14:paraId="6E12724E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（3）</w:t>
      </w:r>
      <w:r>
        <w:rPr>
          <w:rFonts w:ascii="Times New Roman" w:hAnsi="Times New Roman" w:eastAsia="宋体" w:cs="Times New Roman"/>
          <w:b/>
          <w:bCs/>
        </w:rPr>
        <w:t>零样本权重是集成中最强的单个成员</w:t>
      </w:r>
      <w:r>
        <w:rPr>
          <w:rFonts w:ascii="Times New Roman" w:hAnsi="Times New Roman" w:eastAsia="宋体" w:cs="Times New Roman"/>
        </w:rPr>
        <w:t>（0.7951 &gt; 任何训练模型），混合集成可同时获得“预训练权重的泛化性”与“微调模型的多样性”两方面收益。</w:t>
      </w:r>
    </w:p>
    <w:p w14:paraId="54B814C5">
      <w:pPr>
        <w:pStyle w:val="27"/>
        <w:keepNext/>
        <w:spacing w:before="80" w:after="200" w:line="420" w:lineRule="auto"/>
        <w:jc w:val="center"/>
      </w:pPr>
      <w:r>
        <w:rPr>
          <w:rFonts w:ascii="Times New Roman" w:hAnsi="Times New Roman" w:eastAsia="宋体" w:cs="Times New Roman"/>
          <w:bCs/>
          <w:sz w:val="21"/>
        </w:rPr>
        <w:t>表 5-11</w:t>
      </w:r>
      <w:r>
        <w:rPr>
          <w:rFonts w:ascii="Times New Roman" w:hAnsi="Times New Roman" w:eastAsia="宋体" w:cs="Times New Roman"/>
          <w:sz w:val="21"/>
        </w:rPr>
        <w:t xml:space="preserve"> 给出第一跳的逐类变化：</w:t>
      </w:r>
      <w:r>
        <w:rPr>
          <w:rFonts w:ascii="Times New Roman" w:hAnsi="Times New Roman" w:eastAsia="宋体" w:cs="Times New Roman"/>
          <w:bCs/>
          <w:sz w:val="21"/>
        </w:rPr>
        <w:t>21 类中 20 类提升</w:t>
      </w:r>
      <w:r>
        <w:rPr>
          <w:rFonts w:ascii="Times New Roman" w:hAnsi="Times New Roman" w:eastAsia="宋体" w:cs="Times New Roman"/>
          <w:sz w:val="21"/>
        </w:rPr>
        <w:t>，仅 car 下降。</w:t>
      </w:r>
    </w:p>
    <w:p w14:paraId="35019BEA">
      <w:pPr>
        <w:pStyle w:val="3"/>
        <w:keepNext/>
        <w:spacing w:before="80" w:after="200" w:line="420" w:lineRule="auto"/>
        <w:jc w:val="center"/>
      </w:pPr>
      <w:r>
        <w:rPr>
          <w:rFonts w:ascii="Times New Roman" w:hAnsi="Times New Roman" w:eastAsia="宋体" w:cs="Times New Roman"/>
          <w:bCs/>
          <w:sz w:val="21"/>
        </w:rPr>
        <w:t>表 5-11　逐类增量一：3 模型混合集成 + 5 尺度 相对 sbd_lfca 单模型无 TTA（全量 val）</w:t>
      </w:r>
    </w:p>
    <w:tbl>
      <w:tblPr>
        <w:tblStyle w:val="32"/>
        <w:tblW w:w="8640" w:type="dxa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504"/>
        <w:gridCol w:w="3541"/>
        <w:gridCol w:w="1580"/>
      </w:tblGrid>
      <w:tr w14:paraId="549E79B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15" w:type="dxa"/>
            <w:tcBorders>
              <w:bottom w:val="single" w:color="000000" w:sz="6" w:space="0"/>
            </w:tcBorders>
            <w:vAlign w:val="bottom"/>
          </w:tcPr>
          <w:p w14:paraId="19C72B63">
            <w:pPr>
              <w:pStyle w:val="28"/>
            </w:pPr>
            <w:r>
              <w:t>类别</w:t>
            </w:r>
          </w:p>
        </w:tc>
        <w:tc>
          <w:tcPr>
            <w:tcW w:w="1504" w:type="dxa"/>
            <w:tcBorders>
              <w:bottom w:val="single" w:color="000000" w:sz="6" w:space="0"/>
            </w:tcBorders>
            <w:vAlign w:val="bottom"/>
          </w:tcPr>
          <w:p w14:paraId="08D84478">
            <w:pPr>
              <w:pStyle w:val="28"/>
              <w:jc w:val="right"/>
            </w:pPr>
            <w:r>
              <w:t>单模型</w:t>
            </w:r>
          </w:p>
        </w:tc>
        <w:tc>
          <w:tcPr>
            <w:tcW w:w="3541" w:type="dxa"/>
            <w:tcBorders>
              <w:bottom w:val="single" w:color="000000" w:sz="6" w:space="0"/>
            </w:tcBorders>
            <w:vAlign w:val="bottom"/>
          </w:tcPr>
          <w:p w14:paraId="6BC7585A">
            <w:pPr>
              <w:pStyle w:val="28"/>
              <w:jc w:val="right"/>
            </w:pPr>
            <w:r>
              <w:t>3模型集成+5尺度</w:t>
            </w:r>
          </w:p>
        </w:tc>
        <w:tc>
          <w:tcPr>
            <w:tcW w:w="1580" w:type="dxa"/>
            <w:tcBorders>
              <w:bottom w:val="single" w:color="000000" w:sz="6" w:space="0"/>
            </w:tcBorders>
            <w:vAlign w:val="bottom"/>
          </w:tcPr>
          <w:p w14:paraId="59956DB4">
            <w:pPr>
              <w:pStyle w:val="28"/>
              <w:jc w:val="right"/>
            </w:pPr>
            <w:r>
              <w:t>Δ</w:t>
            </w:r>
          </w:p>
        </w:tc>
      </w:tr>
      <w:tr w14:paraId="7E8286C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15" w:type="dxa"/>
          </w:tcPr>
          <w:p w14:paraId="5EB04DD3">
            <w:pPr>
              <w:pStyle w:val="28"/>
            </w:pPr>
            <w:r>
              <w:t>tvmonitor</w:t>
            </w:r>
          </w:p>
        </w:tc>
        <w:tc>
          <w:tcPr>
            <w:tcW w:w="1504" w:type="dxa"/>
          </w:tcPr>
          <w:p w14:paraId="2CA68A85">
            <w:pPr>
              <w:pStyle w:val="28"/>
              <w:jc w:val="right"/>
            </w:pPr>
            <w:r>
              <w:t>0.6590</w:t>
            </w:r>
          </w:p>
        </w:tc>
        <w:tc>
          <w:tcPr>
            <w:tcW w:w="3541" w:type="dxa"/>
          </w:tcPr>
          <w:p w14:paraId="0C1CD541">
            <w:pPr>
              <w:pStyle w:val="28"/>
              <w:jc w:val="right"/>
            </w:pPr>
            <w:r>
              <w:t>0.8045</w:t>
            </w:r>
          </w:p>
        </w:tc>
        <w:tc>
          <w:tcPr>
            <w:tcW w:w="1580" w:type="dxa"/>
          </w:tcPr>
          <w:p w14:paraId="492DD649">
            <w:pPr>
              <w:pStyle w:val="28"/>
              <w:jc w:val="right"/>
            </w:pPr>
            <w:r>
              <w:rPr>
                <w:b/>
                <w:bCs/>
              </w:rPr>
              <w:t>+14.55</w:t>
            </w:r>
          </w:p>
        </w:tc>
      </w:tr>
      <w:tr w14:paraId="640EFF3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15" w:type="dxa"/>
          </w:tcPr>
          <w:p w14:paraId="7079A5CF">
            <w:pPr>
              <w:pStyle w:val="28"/>
            </w:pPr>
            <w:r>
              <w:t>bottle</w:t>
            </w:r>
          </w:p>
        </w:tc>
        <w:tc>
          <w:tcPr>
            <w:tcW w:w="1504" w:type="dxa"/>
          </w:tcPr>
          <w:p w14:paraId="05DAD97C">
            <w:pPr>
              <w:pStyle w:val="28"/>
              <w:jc w:val="right"/>
            </w:pPr>
            <w:r>
              <w:t>0.6209</w:t>
            </w:r>
          </w:p>
        </w:tc>
        <w:tc>
          <w:tcPr>
            <w:tcW w:w="3541" w:type="dxa"/>
          </w:tcPr>
          <w:p w14:paraId="37D61116">
            <w:pPr>
              <w:pStyle w:val="28"/>
              <w:jc w:val="right"/>
            </w:pPr>
            <w:r>
              <w:t>0.7525</w:t>
            </w:r>
          </w:p>
        </w:tc>
        <w:tc>
          <w:tcPr>
            <w:tcW w:w="1580" w:type="dxa"/>
          </w:tcPr>
          <w:p w14:paraId="2A5A44D2">
            <w:pPr>
              <w:pStyle w:val="28"/>
              <w:jc w:val="right"/>
            </w:pPr>
            <w:r>
              <w:rPr>
                <w:b/>
                <w:bCs/>
              </w:rPr>
              <w:t>+13.16</w:t>
            </w:r>
          </w:p>
        </w:tc>
      </w:tr>
      <w:tr w14:paraId="0E72D23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15" w:type="dxa"/>
          </w:tcPr>
          <w:p w14:paraId="2E627D8F">
            <w:pPr>
              <w:pStyle w:val="28"/>
            </w:pPr>
            <w:r>
              <w:t>cow</w:t>
            </w:r>
          </w:p>
        </w:tc>
        <w:tc>
          <w:tcPr>
            <w:tcW w:w="1504" w:type="dxa"/>
          </w:tcPr>
          <w:p w14:paraId="1377ABD9">
            <w:pPr>
              <w:pStyle w:val="28"/>
              <w:jc w:val="right"/>
            </w:pPr>
            <w:r>
              <w:t>0.8123</w:t>
            </w:r>
          </w:p>
        </w:tc>
        <w:tc>
          <w:tcPr>
            <w:tcW w:w="3541" w:type="dxa"/>
          </w:tcPr>
          <w:p w14:paraId="71084F96">
            <w:pPr>
              <w:pStyle w:val="28"/>
              <w:jc w:val="right"/>
            </w:pPr>
            <w:r>
              <w:t>0.9352</w:t>
            </w:r>
          </w:p>
        </w:tc>
        <w:tc>
          <w:tcPr>
            <w:tcW w:w="1580" w:type="dxa"/>
          </w:tcPr>
          <w:p w14:paraId="66E230B1">
            <w:pPr>
              <w:pStyle w:val="28"/>
              <w:jc w:val="right"/>
            </w:pPr>
            <w:r>
              <w:t>+12.29</w:t>
            </w:r>
          </w:p>
        </w:tc>
      </w:tr>
      <w:tr w14:paraId="1628762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15" w:type="dxa"/>
          </w:tcPr>
          <w:p w14:paraId="65F84320">
            <w:pPr>
              <w:pStyle w:val="28"/>
            </w:pPr>
            <w:r>
              <w:t>horse</w:t>
            </w:r>
          </w:p>
        </w:tc>
        <w:tc>
          <w:tcPr>
            <w:tcW w:w="1504" w:type="dxa"/>
          </w:tcPr>
          <w:p w14:paraId="00342215">
            <w:pPr>
              <w:pStyle w:val="28"/>
              <w:jc w:val="right"/>
            </w:pPr>
            <w:r>
              <w:t>0.8271</w:t>
            </w:r>
          </w:p>
        </w:tc>
        <w:tc>
          <w:tcPr>
            <w:tcW w:w="3541" w:type="dxa"/>
          </w:tcPr>
          <w:p w14:paraId="6B0C31FA">
            <w:pPr>
              <w:pStyle w:val="28"/>
              <w:jc w:val="right"/>
            </w:pPr>
            <w:r>
              <w:t>0.9263</w:t>
            </w:r>
          </w:p>
        </w:tc>
        <w:tc>
          <w:tcPr>
            <w:tcW w:w="1580" w:type="dxa"/>
          </w:tcPr>
          <w:p w14:paraId="4DE6466C">
            <w:pPr>
              <w:pStyle w:val="28"/>
              <w:jc w:val="right"/>
            </w:pPr>
            <w:r>
              <w:t>+9.92</w:t>
            </w:r>
          </w:p>
        </w:tc>
      </w:tr>
      <w:tr w14:paraId="756302B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15" w:type="dxa"/>
          </w:tcPr>
          <w:p w14:paraId="294A6721">
            <w:pPr>
              <w:pStyle w:val="28"/>
            </w:pPr>
            <w:r>
              <w:t>sofa</w:t>
            </w:r>
          </w:p>
        </w:tc>
        <w:tc>
          <w:tcPr>
            <w:tcW w:w="1504" w:type="dxa"/>
          </w:tcPr>
          <w:p w14:paraId="26631B1B">
            <w:pPr>
              <w:pStyle w:val="28"/>
              <w:jc w:val="right"/>
            </w:pPr>
            <w:r>
              <w:t>0.5717</w:t>
            </w:r>
          </w:p>
        </w:tc>
        <w:tc>
          <w:tcPr>
            <w:tcW w:w="3541" w:type="dxa"/>
          </w:tcPr>
          <w:p w14:paraId="4313A48A">
            <w:pPr>
              <w:pStyle w:val="28"/>
              <w:jc w:val="right"/>
            </w:pPr>
            <w:r>
              <w:t>0.6558</w:t>
            </w:r>
          </w:p>
        </w:tc>
        <w:tc>
          <w:tcPr>
            <w:tcW w:w="1580" w:type="dxa"/>
          </w:tcPr>
          <w:p w14:paraId="639C11C8">
            <w:pPr>
              <w:pStyle w:val="28"/>
              <w:jc w:val="right"/>
            </w:pPr>
            <w:r>
              <w:t>+8.41</w:t>
            </w:r>
          </w:p>
        </w:tc>
      </w:tr>
      <w:tr w14:paraId="3FB5B8A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15" w:type="dxa"/>
          </w:tcPr>
          <w:p w14:paraId="726C173F">
            <w:pPr>
              <w:pStyle w:val="28"/>
            </w:pPr>
            <w:r>
              <w:t>boat</w:t>
            </w:r>
          </w:p>
        </w:tc>
        <w:tc>
          <w:tcPr>
            <w:tcW w:w="1504" w:type="dxa"/>
          </w:tcPr>
          <w:p w14:paraId="37C4B3F7">
            <w:pPr>
              <w:pStyle w:val="28"/>
              <w:jc w:val="right"/>
            </w:pPr>
            <w:r>
              <w:t>0.6360</w:t>
            </w:r>
          </w:p>
        </w:tc>
        <w:tc>
          <w:tcPr>
            <w:tcW w:w="3541" w:type="dxa"/>
          </w:tcPr>
          <w:p w14:paraId="1038C9C0">
            <w:pPr>
              <w:pStyle w:val="28"/>
              <w:jc w:val="right"/>
            </w:pPr>
            <w:r>
              <w:t>0.7195</w:t>
            </w:r>
          </w:p>
        </w:tc>
        <w:tc>
          <w:tcPr>
            <w:tcW w:w="1580" w:type="dxa"/>
          </w:tcPr>
          <w:p w14:paraId="6DA07502">
            <w:pPr>
              <w:pStyle w:val="28"/>
              <w:jc w:val="right"/>
            </w:pPr>
            <w:r>
              <w:t>+8.35</w:t>
            </w:r>
          </w:p>
        </w:tc>
      </w:tr>
      <w:tr w14:paraId="76D9004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15" w:type="dxa"/>
          </w:tcPr>
          <w:p w14:paraId="397999F0">
            <w:pPr>
              <w:pStyle w:val="28"/>
            </w:pPr>
            <w:r>
              <w:t>chair</w:t>
            </w:r>
          </w:p>
        </w:tc>
        <w:tc>
          <w:tcPr>
            <w:tcW w:w="1504" w:type="dxa"/>
          </w:tcPr>
          <w:p w14:paraId="091359AB">
            <w:pPr>
              <w:pStyle w:val="28"/>
              <w:jc w:val="right"/>
            </w:pPr>
            <w:r>
              <w:t>0.4378</w:t>
            </w:r>
          </w:p>
        </w:tc>
        <w:tc>
          <w:tcPr>
            <w:tcW w:w="3541" w:type="dxa"/>
          </w:tcPr>
          <w:p w14:paraId="4663A18E">
            <w:pPr>
              <w:pStyle w:val="28"/>
              <w:jc w:val="right"/>
            </w:pPr>
            <w:r>
              <w:t>0.5118</w:t>
            </w:r>
          </w:p>
        </w:tc>
        <w:tc>
          <w:tcPr>
            <w:tcW w:w="1580" w:type="dxa"/>
          </w:tcPr>
          <w:p w14:paraId="77399368">
            <w:pPr>
              <w:pStyle w:val="28"/>
              <w:jc w:val="right"/>
            </w:pPr>
            <w:r>
              <w:t>+7.40</w:t>
            </w:r>
          </w:p>
        </w:tc>
      </w:tr>
      <w:tr w14:paraId="17192B8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15" w:type="dxa"/>
          </w:tcPr>
          <w:p w14:paraId="7DEC9B9A">
            <w:pPr>
              <w:pStyle w:val="28"/>
            </w:pPr>
            <w:r>
              <w:t>bicycle</w:t>
            </w:r>
          </w:p>
        </w:tc>
        <w:tc>
          <w:tcPr>
            <w:tcW w:w="1504" w:type="dxa"/>
          </w:tcPr>
          <w:p w14:paraId="791A4DDD">
            <w:pPr>
              <w:pStyle w:val="28"/>
              <w:jc w:val="right"/>
            </w:pPr>
            <w:r>
              <w:t>0.3924</w:t>
            </w:r>
          </w:p>
        </w:tc>
        <w:tc>
          <w:tcPr>
            <w:tcW w:w="3541" w:type="dxa"/>
          </w:tcPr>
          <w:p w14:paraId="012A1F49">
            <w:pPr>
              <w:pStyle w:val="28"/>
              <w:jc w:val="right"/>
            </w:pPr>
            <w:r>
              <w:t>0.4313</w:t>
            </w:r>
          </w:p>
        </w:tc>
        <w:tc>
          <w:tcPr>
            <w:tcW w:w="1580" w:type="dxa"/>
          </w:tcPr>
          <w:p w14:paraId="47FEDAB5">
            <w:pPr>
              <w:pStyle w:val="28"/>
              <w:jc w:val="right"/>
            </w:pPr>
            <w:r>
              <w:t>+3.89</w:t>
            </w:r>
          </w:p>
        </w:tc>
      </w:tr>
      <w:tr w14:paraId="22B76547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15" w:type="dxa"/>
          </w:tcPr>
          <w:p w14:paraId="3BA7637C">
            <w:pPr>
              <w:pStyle w:val="28"/>
            </w:pPr>
            <w:r>
              <w:t>car</w:t>
            </w:r>
          </w:p>
        </w:tc>
        <w:tc>
          <w:tcPr>
            <w:tcW w:w="1504" w:type="dxa"/>
          </w:tcPr>
          <w:p w14:paraId="1FA0618B">
            <w:pPr>
              <w:pStyle w:val="28"/>
              <w:jc w:val="right"/>
            </w:pPr>
            <w:r>
              <w:t>0.8829</w:t>
            </w:r>
          </w:p>
        </w:tc>
        <w:tc>
          <w:tcPr>
            <w:tcW w:w="3541" w:type="dxa"/>
          </w:tcPr>
          <w:p w14:paraId="66CACEA3">
            <w:pPr>
              <w:pStyle w:val="28"/>
              <w:jc w:val="right"/>
            </w:pPr>
            <w:r>
              <w:t>0.8258</w:t>
            </w:r>
          </w:p>
        </w:tc>
        <w:tc>
          <w:tcPr>
            <w:tcW w:w="1580" w:type="dxa"/>
          </w:tcPr>
          <w:p w14:paraId="0D662573">
            <w:pPr>
              <w:pStyle w:val="28"/>
              <w:jc w:val="right"/>
            </w:pPr>
            <w:r>
              <w:t>−5.71</w:t>
            </w:r>
          </w:p>
        </w:tc>
      </w:tr>
    </w:tbl>
    <w:p w14:paraId="70B5069E">
      <w:pPr>
        <w:pStyle w:val="3"/>
        <w:keepNext/>
        <w:spacing w:before="160" w:after="200" w:line="420" w:lineRule="auto"/>
        <w:jc w:val="center"/>
      </w:pPr>
      <w:r>
        <w:rPr>
          <w:rFonts w:ascii="Times New Roman" w:hAnsi="Times New Roman" w:eastAsia="宋体" w:cs="Times New Roman"/>
          <w:bCs/>
          <w:sz w:val="21"/>
        </w:rPr>
        <w:t>表 5-12</w:t>
      </w:r>
      <w:r>
        <w:rPr>
          <w:rFonts w:ascii="Times New Roman" w:hAnsi="Times New Roman" w:eastAsia="宋体" w:cs="Times New Roman"/>
          <w:sz w:val="21"/>
        </w:rPr>
        <w:t xml:space="preserve"> 给出第二跳的逐类变化：</w:t>
      </w:r>
      <w:r>
        <w:rPr>
          <w:rFonts w:ascii="Times New Roman" w:hAnsi="Times New Roman" w:eastAsia="宋体" w:cs="Times New Roman"/>
          <w:bCs/>
          <w:sz w:val="21"/>
        </w:rPr>
        <w:t>16 类提升</w:t>
      </w:r>
      <w:r>
        <w:rPr>
          <w:rFonts w:ascii="Times New Roman" w:hAnsi="Times New Roman" w:eastAsia="宋体" w:cs="Times New Roman"/>
          <w:sz w:val="21"/>
        </w:rPr>
        <w:t>，此前的退步类 car 得到修复（+4.02）。</w:t>
      </w:r>
    </w:p>
    <w:p w14:paraId="6BCBD395">
      <w:pPr>
        <w:pStyle w:val="3"/>
        <w:keepNext/>
        <w:spacing w:before="80" w:after="200" w:line="420" w:lineRule="auto"/>
        <w:jc w:val="center"/>
      </w:pPr>
      <w:r>
        <w:rPr>
          <w:rFonts w:ascii="Times New Roman" w:hAnsi="Times New Roman" w:eastAsia="宋体" w:cs="Times New Roman"/>
          <w:bCs/>
          <w:sz w:val="21"/>
        </w:rPr>
        <w:t>表 5-12　逐类增量二：最终 4 模型加权集成 相对 3 模型集成（全量 val）</w:t>
      </w:r>
    </w:p>
    <w:tbl>
      <w:tblPr>
        <w:tblStyle w:val="32"/>
        <w:tblW w:w="8640" w:type="dxa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9"/>
        <w:gridCol w:w="1596"/>
        <w:gridCol w:w="3161"/>
        <w:gridCol w:w="1444"/>
      </w:tblGrid>
      <w:tr w14:paraId="7B95B3C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39" w:type="dxa"/>
            <w:tcBorders>
              <w:bottom w:val="single" w:color="000000" w:sz="6" w:space="0"/>
            </w:tcBorders>
            <w:vAlign w:val="bottom"/>
          </w:tcPr>
          <w:p w14:paraId="0580E275">
            <w:pPr>
              <w:pStyle w:val="28"/>
            </w:pPr>
            <w:r>
              <w:t>类别</w:t>
            </w:r>
          </w:p>
        </w:tc>
        <w:tc>
          <w:tcPr>
            <w:tcW w:w="1596" w:type="dxa"/>
            <w:tcBorders>
              <w:bottom w:val="single" w:color="000000" w:sz="6" w:space="0"/>
            </w:tcBorders>
            <w:vAlign w:val="bottom"/>
          </w:tcPr>
          <w:p w14:paraId="3C7C6890">
            <w:pPr>
              <w:pStyle w:val="28"/>
              <w:jc w:val="right"/>
            </w:pPr>
            <w:r>
              <w:t>3 模型</w:t>
            </w:r>
          </w:p>
        </w:tc>
        <w:tc>
          <w:tcPr>
            <w:tcW w:w="3161" w:type="dxa"/>
            <w:tcBorders>
              <w:bottom w:val="single" w:color="000000" w:sz="6" w:space="0"/>
            </w:tcBorders>
            <w:vAlign w:val="bottom"/>
          </w:tcPr>
          <w:p w14:paraId="0BC42FC9">
            <w:pPr>
              <w:pStyle w:val="28"/>
              <w:jc w:val="right"/>
            </w:pPr>
            <w:r>
              <w:t>4 模型（最终）</w:t>
            </w:r>
          </w:p>
        </w:tc>
        <w:tc>
          <w:tcPr>
            <w:tcW w:w="1444" w:type="dxa"/>
            <w:tcBorders>
              <w:bottom w:val="single" w:color="000000" w:sz="6" w:space="0"/>
            </w:tcBorders>
            <w:vAlign w:val="bottom"/>
          </w:tcPr>
          <w:p w14:paraId="0069F2D6">
            <w:pPr>
              <w:pStyle w:val="28"/>
              <w:jc w:val="right"/>
            </w:pPr>
            <w:r>
              <w:t>Δ</w:t>
            </w:r>
          </w:p>
        </w:tc>
      </w:tr>
      <w:tr w14:paraId="4098740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39" w:type="dxa"/>
          </w:tcPr>
          <w:p w14:paraId="391F2121">
            <w:pPr>
              <w:pStyle w:val="28"/>
            </w:pPr>
            <w:r>
              <w:t>car</w:t>
            </w:r>
          </w:p>
        </w:tc>
        <w:tc>
          <w:tcPr>
            <w:tcW w:w="1596" w:type="dxa"/>
          </w:tcPr>
          <w:p w14:paraId="7A46C1A2">
            <w:pPr>
              <w:pStyle w:val="28"/>
              <w:jc w:val="right"/>
            </w:pPr>
            <w:r>
              <w:t>0.8258</w:t>
            </w:r>
          </w:p>
        </w:tc>
        <w:tc>
          <w:tcPr>
            <w:tcW w:w="3161" w:type="dxa"/>
          </w:tcPr>
          <w:p w14:paraId="077F4B1B">
            <w:pPr>
              <w:pStyle w:val="28"/>
              <w:jc w:val="right"/>
            </w:pPr>
            <w:r>
              <w:t>0.8660</w:t>
            </w:r>
          </w:p>
        </w:tc>
        <w:tc>
          <w:tcPr>
            <w:tcW w:w="1444" w:type="dxa"/>
          </w:tcPr>
          <w:p w14:paraId="397109F9">
            <w:pPr>
              <w:pStyle w:val="28"/>
              <w:jc w:val="right"/>
            </w:pPr>
            <w:r>
              <w:rPr>
                <w:b/>
                <w:bCs/>
              </w:rPr>
              <w:t>+4.02</w:t>
            </w:r>
          </w:p>
        </w:tc>
      </w:tr>
      <w:tr w14:paraId="5F09457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39" w:type="dxa"/>
          </w:tcPr>
          <w:p w14:paraId="33A7A022">
            <w:pPr>
              <w:pStyle w:val="28"/>
            </w:pPr>
            <w:r>
              <w:t>bottle</w:t>
            </w:r>
          </w:p>
        </w:tc>
        <w:tc>
          <w:tcPr>
            <w:tcW w:w="1596" w:type="dxa"/>
          </w:tcPr>
          <w:p w14:paraId="40B71AA8">
            <w:pPr>
              <w:pStyle w:val="28"/>
              <w:jc w:val="right"/>
            </w:pPr>
            <w:r>
              <w:t>0.7525</w:t>
            </w:r>
          </w:p>
        </w:tc>
        <w:tc>
          <w:tcPr>
            <w:tcW w:w="3161" w:type="dxa"/>
          </w:tcPr>
          <w:p w14:paraId="4B8684DC">
            <w:pPr>
              <w:pStyle w:val="28"/>
              <w:jc w:val="right"/>
            </w:pPr>
            <w:r>
              <w:t>0.7857</w:t>
            </w:r>
          </w:p>
        </w:tc>
        <w:tc>
          <w:tcPr>
            <w:tcW w:w="1444" w:type="dxa"/>
          </w:tcPr>
          <w:p w14:paraId="02A3BFFF">
            <w:pPr>
              <w:pStyle w:val="28"/>
              <w:jc w:val="right"/>
            </w:pPr>
            <w:r>
              <w:rPr>
                <w:b/>
                <w:bCs/>
              </w:rPr>
              <w:t>+3.32</w:t>
            </w:r>
          </w:p>
        </w:tc>
      </w:tr>
      <w:tr w14:paraId="1387A2F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39" w:type="dxa"/>
          </w:tcPr>
          <w:p w14:paraId="01BAF068">
            <w:pPr>
              <w:pStyle w:val="28"/>
            </w:pPr>
            <w:r>
              <w:t>pottedplant</w:t>
            </w:r>
          </w:p>
        </w:tc>
        <w:tc>
          <w:tcPr>
            <w:tcW w:w="1596" w:type="dxa"/>
          </w:tcPr>
          <w:p w14:paraId="7BA567CC">
            <w:pPr>
              <w:pStyle w:val="28"/>
              <w:jc w:val="right"/>
            </w:pPr>
            <w:r>
              <w:t>0.6617</w:t>
            </w:r>
          </w:p>
        </w:tc>
        <w:tc>
          <w:tcPr>
            <w:tcW w:w="3161" w:type="dxa"/>
          </w:tcPr>
          <w:p w14:paraId="138BE8C9">
            <w:pPr>
              <w:pStyle w:val="28"/>
              <w:jc w:val="right"/>
            </w:pPr>
            <w:r>
              <w:t>0.6753</w:t>
            </w:r>
          </w:p>
        </w:tc>
        <w:tc>
          <w:tcPr>
            <w:tcW w:w="1444" w:type="dxa"/>
          </w:tcPr>
          <w:p w14:paraId="796E322B">
            <w:pPr>
              <w:pStyle w:val="28"/>
              <w:jc w:val="right"/>
            </w:pPr>
            <w:r>
              <w:t>+1.36</w:t>
            </w:r>
          </w:p>
        </w:tc>
      </w:tr>
      <w:tr w14:paraId="6FF4AE3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39" w:type="dxa"/>
          </w:tcPr>
          <w:p w14:paraId="5582D330">
            <w:pPr>
              <w:pStyle w:val="28"/>
            </w:pPr>
            <w:r>
              <w:t>diningtable</w:t>
            </w:r>
          </w:p>
        </w:tc>
        <w:tc>
          <w:tcPr>
            <w:tcW w:w="1596" w:type="dxa"/>
          </w:tcPr>
          <w:p w14:paraId="16ECB7E6">
            <w:pPr>
              <w:pStyle w:val="28"/>
              <w:jc w:val="right"/>
            </w:pPr>
            <w:r>
              <w:t>0.6355</w:t>
            </w:r>
          </w:p>
        </w:tc>
        <w:tc>
          <w:tcPr>
            <w:tcW w:w="3161" w:type="dxa"/>
          </w:tcPr>
          <w:p w14:paraId="1257B5C5">
            <w:pPr>
              <w:pStyle w:val="28"/>
              <w:jc w:val="right"/>
            </w:pPr>
            <w:r>
              <w:t>0.6478</w:t>
            </w:r>
          </w:p>
        </w:tc>
        <w:tc>
          <w:tcPr>
            <w:tcW w:w="1444" w:type="dxa"/>
          </w:tcPr>
          <w:p w14:paraId="49E4F76B">
            <w:pPr>
              <w:pStyle w:val="28"/>
              <w:jc w:val="right"/>
            </w:pPr>
            <w:r>
              <w:t>+1.23</w:t>
            </w:r>
          </w:p>
        </w:tc>
      </w:tr>
      <w:tr w14:paraId="4CD1BE6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39" w:type="dxa"/>
          </w:tcPr>
          <w:p w14:paraId="18CB8457">
            <w:pPr>
              <w:pStyle w:val="28"/>
            </w:pPr>
            <w:r>
              <w:t>sofa</w:t>
            </w:r>
          </w:p>
        </w:tc>
        <w:tc>
          <w:tcPr>
            <w:tcW w:w="1596" w:type="dxa"/>
          </w:tcPr>
          <w:p w14:paraId="52A0BEDE">
            <w:pPr>
              <w:pStyle w:val="28"/>
              <w:jc w:val="right"/>
            </w:pPr>
            <w:r>
              <w:t>0.6558</w:t>
            </w:r>
          </w:p>
        </w:tc>
        <w:tc>
          <w:tcPr>
            <w:tcW w:w="3161" w:type="dxa"/>
          </w:tcPr>
          <w:p w14:paraId="7BC72C80">
            <w:pPr>
              <w:pStyle w:val="28"/>
              <w:jc w:val="right"/>
            </w:pPr>
            <w:r>
              <w:t>0.6640</w:t>
            </w:r>
          </w:p>
        </w:tc>
        <w:tc>
          <w:tcPr>
            <w:tcW w:w="1444" w:type="dxa"/>
          </w:tcPr>
          <w:p w14:paraId="2303333F">
            <w:pPr>
              <w:pStyle w:val="28"/>
              <w:jc w:val="right"/>
            </w:pPr>
            <w:r>
              <w:t>+0.82</w:t>
            </w:r>
          </w:p>
        </w:tc>
      </w:tr>
      <w:tr w14:paraId="60FC485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39" w:type="dxa"/>
          </w:tcPr>
          <w:p w14:paraId="2581FF9C">
            <w:pPr>
              <w:pStyle w:val="28"/>
            </w:pPr>
            <w:r>
              <w:t>tvmonitor</w:t>
            </w:r>
          </w:p>
        </w:tc>
        <w:tc>
          <w:tcPr>
            <w:tcW w:w="1596" w:type="dxa"/>
          </w:tcPr>
          <w:p w14:paraId="0737D220">
            <w:pPr>
              <w:pStyle w:val="28"/>
              <w:jc w:val="right"/>
            </w:pPr>
            <w:r>
              <w:t>0.8045</w:t>
            </w:r>
          </w:p>
        </w:tc>
        <w:tc>
          <w:tcPr>
            <w:tcW w:w="3161" w:type="dxa"/>
          </w:tcPr>
          <w:p w14:paraId="0384CFEC">
            <w:pPr>
              <w:pStyle w:val="28"/>
              <w:jc w:val="right"/>
            </w:pPr>
            <w:r>
              <w:t>0.8115</w:t>
            </w:r>
          </w:p>
        </w:tc>
        <w:tc>
          <w:tcPr>
            <w:tcW w:w="1444" w:type="dxa"/>
          </w:tcPr>
          <w:p w14:paraId="1929505A">
            <w:pPr>
              <w:pStyle w:val="28"/>
              <w:jc w:val="right"/>
            </w:pPr>
            <w:r>
              <w:t>+0.70</w:t>
            </w:r>
          </w:p>
        </w:tc>
      </w:tr>
      <w:tr w14:paraId="03762A8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39" w:type="dxa"/>
          </w:tcPr>
          <w:p w14:paraId="496FFB8F">
            <w:pPr>
              <w:pStyle w:val="28"/>
            </w:pPr>
            <w:r>
              <w:t>train</w:t>
            </w:r>
          </w:p>
        </w:tc>
        <w:tc>
          <w:tcPr>
            <w:tcW w:w="1596" w:type="dxa"/>
          </w:tcPr>
          <w:p w14:paraId="68128180">
            <w:pPr>
              <w:pStyle w:val="28"/>
              <w:jc w:val="right"/>
            </w:pPr>
            <w:r>
              <w:t>0.9119</w:t>
            </w:r>
          </w:p>
        </w:tc>
        <w:tc>
          <w:tcPr>
            <w:tcW w:w="3161" w:type="dxa"/>
          </w:tcPr>
          <w:p w14:paraId="28FF0290">
            <w:pPr>
              <w:pStyle w:val="28"/>
              <w:jc w:val="right"/>
            </w:pPr>
            <w:r>
              <w:t>0.9179</w:t>
            </w:r>
          </w:p>
        </w:tc>
        <w:tc>
          <w:tcPr>
            <w:tcW w:w="1444" w:type="dxa"/>
          </w:tcPr>
          <w:p w14:paraId="5A1219D7">
            <w:pPr>
              <w:pStyle w:val="28"/>
              <w:jc w:val="right"/>
            </w:pPr>
            <w:r>
              <w:t>+0.60</w:t>
            </w:r>
          </w:p>
        </w:tc>
      </w:tr>
      <w:tr w14:paraId="5400468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39" w:type="dxa"/>
          </w:tcPr>
          <w:p w14:paraId="674ADD60">
            <w:pPr>
              <w:pStyle w:val="28"/>
            </w:pPr>
            <w:r>
              <w:t>chair</w:t>
            </w:r>
          </w:p>
        </w:tc>
        <w:tc>
          <w:tcPr>
            <w:tcW w:w="1596" w:type="dxa"/>
          </w:tcPr>
          <w:p w14:paraId="3E1BA5A2">
            <w:pPr>
              <w:pStyle w:val="28"/>
              <w:jc w:val="right"/>
            </w:pPr>
            <w:r>
              <w:t>0.5118</w:t>
            </w:r>
          </w:p>
        </w:tc>
        <w:tc>
          <w:tcPr>
            <w:tcW w:w="3161" w:type="dxa"/>
          </w:tcPr>
          <w:p w14:paraId="45AE180F">
            <w:pPr>
              <w:pStyle w:val="28"/>
              <w:jc w:val="right"/>
            </w:pPr>
            <w:r>
              <w:t>0.5157</w:t>
            </w:r>
          </w:p>
        </w:tc>
        <w:tc>
          <w:tcPr>
            <w:tcW w:w="1444" w:type="dxa"/>
          </w:tcPr>
          <w:p w14:paraId="42DDD9FB">
            <w:pPr>
              <w:pStyle w:val="28"/>
              <w:jc w:val="right"/>
            </w:pPr>
            <w:r>
              <w:t>+0.39</w:t>
            </w:r>
          </w:p>
        </w:tc>
      </w:tr>
      <w:tr w14:paraId="6661AA6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39" w:type="dxa"/>
          </w:tcPr>
          <w:p w14:paraId="299F7D4B">
            <w:pPr>
              <w:pStyle w:val="28"/>
            </w:pPr>
            <w:r>
              <w:t>bicycle</w:t>
            </w:r>
          </w:p>
        </w:tc>
        <w:tc>
          <w:tcPr>
            <w:tcW w:w="1596" w:type="dxa"/>
          </w:tcPr>
          <w:p w14:paraId="66967990">
            <w:pPr>
              <w:pStyle w:val="28"/>
              <w:jc w:val="right"/>
            </w:pPr>
            <w:r>
              <w:t>0.4313</w:t>
            </w:r>
          </w:p>
        </w:tc>
        <w:tc>
          <w:tcPr>
            <w:tcW w:w="3161" w:type="dxa"/>
          </w:tcPr>
          <w:p w14:paraId="35C288EB">
            <w:pPr>
              <w:pStyle w:val="28"/>
              <w:jc w:val="right"/>
            </w:pPr>
            <w:r>
              <w:t>0.4332</w:t>
            </w:r>
          </w:p>
        </w:tc>
        <w:tc>
          <w:tcPr>
            <w:tcW w:w="1444" w:type="dxa"/>
          </w:tcPr>
          <w:p w14:paraId="030B5FAA">
            <w:pPr>
              <w:pStyle w:val="28"/>
              <w:jc w:val="right"/>
            </w:pPr>
            <w:r>
              <w:t>+0.19</w:t>
            </w:r>
          </w:p>
        </w:tc>
      </w:tr>
      <w:tr w14:paraId="4D5BF81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39" w:type="dxa"/>
          </w:tcPr>
          <w:p w14:paraId="4BD2898F">
            <w:pPr>
              <w:pStyle w:val="28"/>
            </w:pPr>
            <w:r>
              <w:t>boat</w:t>
            </w:r>
          </w:p>
        </w:tc>
        <w:tc>
          <w:tcPr>
            <w:tcW w:w="1596" w:type="dxa"/>
          </w:tcPr>
          <w:p w14:paraId="66F40B83">
            <w:pPr>
              <w:pStyle w:val="28"/>
              <w:jc w:val="right"/>
            </w:pPr>
            <w:r>
              <w:t>0.7195</w:t>
            </w:r>
          </w:p>
        </w:tc>
        <w:tc>
          <w:tcPr>
            <w:tcW w:w="3161" w:type="dxa"/>
          </w:tcPr>
          <w:p w14:paraId="3B6A9541">
            <w:pPr>
              <w:pStyle w:val="28"/>
              <w:jc w:val="right"/>
            </w:pPr>
            <w:r>
              <w:t>0.7067</w:t>
            </w:r>
          </w:p>
        </w:tc>
        <w:tc>
          <w:tcPr>
            <w:tcW w:w="1444" w:type="dxa"/>
          </w:tcPr>
          <w:p w14:paraId="02ECB157">
            <w:pPr>
              <w:pStyle w:val="28"/>
              <w:jc w:val="right"/>
            </w:pPr>
            <w:r>
              <w:t>−1.28</w:t>
            </w:r>
          </w:p>
        </w:tc>
      </w:tr>
      <w:tr w14:paraId="56E42B4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39" w:type="dxa"/>
          </w:tcPr>
          <w:p w14:paraId="5C49B857">
            <w:pPr>
              <w:pStyle w:val="28"/>
            </w:pPr>
            <w:r>
              <w:t>sheep</w:t>
            </w:r>
          </w:p>
        </w:tc>
        <w:tc>
          <w:tcPr>
            <w:tcW w:w="1596" w:type="dxa"/>
          </w:tcPr>
          <w:p w14:paraId="1331C99C">
            <w:pPr>
              <w:pStyle w:val="28"/>
              <w:jc w:val="right"/>
            </w:pPr>
            <w:r>
              <w:t>0.9117</w:t>
            </w:r>
          </w:p>
        </w:tc>
        <w:tc>
          <w:tcPr>
            <w:tcW w:w="3161" w:type="dxa"/>
          </w:tcPr>
          <w:p w14:paraId="78101DA4">
            <w:pPr>
              <w:pStyle w:val="28"/>
              <w:jc w:val="right"/>
            </w:pPr>
            <w:r>
              <w:t>0.9002</w:t>
            </w:r>
          </w:p>
        </w:tc>
        <w:tc>
          <w:tcPr>
            <w:tcW w:w="1444" w:type="dxa"/>
          </w:tcPr>
          <w:p w14:paraId="1D4E10B8">
            <w:pPr>
              <w:pStyle w:val="28"/>
              <w:jc w:val="right"/>
            </w:pPr>
            <w:r>
              <w:t>−1.15</w:t>
            </w:r>
          </w:p>
        </w:tc>
      </w:tr>
    </w:tbl>
    <w:p w14:paraId="0A5DF541">
      <w:pPr>
        <w:pStyle w:val="3"/>
        <w:spacing w:before="16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>综合两表可见：第一跳（单模型 → 3 模型集成）主要修复</w:t>
      </w:r>
      <w:r>
        <w:rPr>
          <w:rFonts w:ascii="Times New Roman" w:hAnsi="Times New Roman" w:eastAsia="宋体" w:cs="Times New Roman"/>
          <w:b/>
          <w:bCs/>
        </w:rPr>
        <w:t>系统性偏差</w:t>
      </w:r>
      <w:r>
        <w:rPr>
          <w:rFonts w:ascii="Times New Roman" w:hAnsi="Times New Roman" w:eastAsia="宋体" w:cs="Times New Roman"/>
        </w:rPr>
        <w:t>（弱类大幅提升）；第二跳（3 → 4 模型）主要修复</w:t>
      </w:r>
      <w:r>
        <w:rPr>
          <w:rFonts w:ascii="Times New Roman" w:hAnsi="Times New Roman" w:eastAsia="宋体" w:cs="Times New Roman"/>
          <w:b/>
          <w:bCs/>
        </w:rPr>
        <w:t>集成平均化带来的损失</w:t>
      </w:r>
      <w:r>
        <w:rPr>
          <w:rFonts w:ascii="Times New Roman" w:hAnsi="Times New Roman" w:eastAsia="宋体" w:cs="Times New Roman"/>
        </w:rPr>
        <w:t>（强类 car/​bottle 回升）。4 模型版 21 类中 20 类不低于 3 模型版。</w:t>
      </w:r>
    </w:p>
    <w:bookmarkEnd w:id="44"/>
    <w:p w14:paraId="51966EA4">
      <w:pPr>
        <w:pStyle w:val="5"/>
        <w:keepNext/>
        <w:spacing w:before="240" w:after="120" w:line="312" w:lineRule="auto"/>
      </w:pPr>
      <w:bookmarkStart w:id="45" w:name="_Toc243935465"/>
      <w:bookmarkStart w:id="46" w:name="bn-统计量分析与域自适应尝试负结果"/>
      <w:r>
        <w:rPr>
          <w:rFonts w:ascii="Times New Roman" w:hAnsi="Times New Roman" w:eastAsia="黑体" w:cs="Times New Roman"/>
        </w:rPr>
        <w:t>5.10 BN 统计量分析与域自适应尝试（负结果）</w:t>
      </w:r>
      <w:bookmarkEnd w:id="45"/>
    </w:p>
    <w:p w14:paraId="131F73FB">
      <w:pPr>
        <w:pStyle w:val="27"/>
        <w:spacing w:before="0" w:after="80" w:line="384" w:lineRule="auto"/>
        <w:jc w:val="both"/>
      </w:pPr>
      <w:r>
        <w:rPr>
          <w:rFonts w:ascii="Times New Roman" w:hAnsi="Times New Roman" w:eastAsia="宋体" w:cs="Times New Roman"/>
          <w:b/>
          <w:bCs/>
        </w:rPr>
        <w:t>（1）发现原始 freeze_bn 策略并未生效（已修复）</w:t>
      </w:r>
    </w:p>
    <w:p w14:paraId="38B114F6">
      <w:pPr>
        <w:pStyle w:val="3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 xml:space="preserve">训练脚本设计了 </w:t>
      </w:r>
      <w:r>
        <w:rPr>
          <w:rStyle w:val="39"/>
          <w:rFonts w:ascii="Times New Roman" w:hAnsi="Times New Roman" w:eastAsia="宋体" w:cs="Times New Roman"/>
          <w:sz w:val="24"/>
        </w:rPr>
        <w:t>freeze_backbone_bn()</w:t>
      </w:r>
      <w:r>
        <w:rPr>
          <w:rFonts w:ascii="Times New Roman" w:hAnsi="Times New Roman" w:eastAsia="宋体" w:cs="Times New Roman"/>
        </w:rPr>
        <w:t xml:space="preserve">：小 batch（4）下冻结骨干 BN 的滑动统计，以降低统计噪声。但该函数只在训练开始前调用一次，而每个 epoch 的 </w:t>
      </w:r>
      <w:r>
        <w:rPr>
          <w:rStyle w:val="39"/>
          <w:rFonts w:ascii="Times New Roman" w:hAnsi="Times New Roman" w:eastAsia="宋体" w:cs="Times New Roman"/>
          <w:sz w:val="24"/>
        </w:rPr>
        <w:t>model.train()</w:t>
      </w:r>
      <w:r>
        <w:rPr>
          <w:rFonts w:ascii="Times New Roman" w:hAnsi="Times New Roman" w:eastAsia="宋体" w:cs="Times New Roman"/>
        </w:rPr>
        <w:t xml:space="preserve"> 会把所有 BN 重新切回训练模式——</w:t>
      </w:r>
      <w:r>
        <w:rPr>
          <w:rFonts w:ascii="Times New Roman" w:hAnsi="Times New Roman" w:eastAsia="宋体" w:cs="Times New Roman"/>
          <w:b/>
          <w:bCs/>
        </w:rPr>
        <w:t>该策略实际从未生效</w:t>
      </w:r>
      <w:r>
        <w:rPr>
          <w:rFonts w:ascii="Times New Roman" w:hAnsi="Times New Roman" w:eastAsia="宋体" w:cs="Times New Roman"/>
        </w:rPr>
        <w:t xml:space="preserve">（后续已修复：每个 epoch 在 </w:t>
      </w:r>
      <w:r>
        <w:rPr>
          <w:rStyle w:val="39"/>
          <w:rFonts w:ascii="Times New Roman" w:hAnsi="Times New Roman" w:eastAsia="宋体" w:cs="Times New Roman"/>
          <w:sz w:val="24"/>
        </w:rPr>
        <w:t>model.train()</w:t>
      </w:r>
      <w:r>
        <w:rPr>
          <w:rFonts w:ascii="Times New Roman" w:hAnsi="Times New Roman" w:eastAsia="宋体" w:cs="Times New Roman"/>
        </w:rPr>
        <w:t xml:space="preserve"> 之后重新调用）。</w:t>
      </w:r>
    </w:p>
    <w:p w14:paraId="7C7E04B8">
      <w:pPr>
        <w:pStyle w:val="3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>用两个独立训练的模型交叉验证（</w:t>
      </w:r>
      <w:r>
        <w:rPr>
          <w:rStyle w:val="39"/>
          <w:rFonts w:ascii="Times New Roman" w:hAnsi="Times New Roman" w:eastAsia="宋体" w:cs="Times New Roman"/>
          <w:sz w:val="24"/>
        </w:rPr>
        <w:t>compare_bn.py</w:t>
      </w:r>
      <w:r>
        <w:rPr>
          <w:rFonts w:ascii="Times New Roman" w:hAnsi="Times New Roman" w:eastAsia="宋体" w:cs="Times New Roman"/>
        </w:rPr>
        <w:t xml:space="preserve">）：若骨干 BN 被真正冻结，两者的统计量应逐位相同（都还是预训练那一份）。实测 53 个骨干 BN </w:t>
      </w:r>
      <w:r>
        <w:rPr>
          <w:rFonts w:ascii="Times New Roman" w:hAnsi="Times New Roman" w:eastAsia="宋体" w:cs="Times New Roman"/>
          <w:b/>
          <w:bCs/>
        </w:rPr>
        <w:t>全部不同</w:t>
      </w:r>
      <w:r>
        <w:rPr>
          <w:rFonts w:ascii="Times New Roman" w:hAnsi="Times New Roman" w:eastAsia="宋体" w:cs="Times New Roman"/>
        </w:rPr>
        <w:t>（最大绝对差 0.4467），确认统计量在训练中持续更新。</w:t>
      </w:r>
    </w:p>
    <w:p w14:paraId="09880181">
      <w:pPr>
        <w:pStyle w:val="3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 xml:space="preserve">再用 </w:t>
      </w:r>
      <w:r>
        <w:rPr>
          <w:rStyle w:val="39"/>
          <w:rFonts w:ascii="Times New Roman" w:hAnsi="Times New Roman" w:eastAsia="宋体" w:cs="Times New Roman"/>
          <w:sz w:val="24"/>
        </w:rPr>
        <w:t>inspect_bn.py</w:t>
      </w:r>
      <w:r>
        <w:rPr>
          <w:rFonts w:ascii="Times New Roman" w:hAnsi="Times New Roman" w:eastAsia="宋体" w:cs="Times New Roman"/>
        </w:rPr>
        <w:t xml:space="preserve"> 查 </w:t>
      </w:r>
      <w:r>
        <w:rPr>
          <w:rStyle w:val="39"/>
          <w:rFonts w:ascii="Times New Roman" w:hAnsi="Times New Roman" w:eastAsia="宋体" w:cs="Times New Roman"/>
          <w:sz w:val="24"/>
        </w:rPr>
        <w:t>num_batches_tracked</w:t>
      </w:r>
      <w:r>
        <w:rPr>
          <w:rFonts w:ascii="Times New Roman" w:hAnsi="Times New Roman" w:eastAsia="宋体" w:cs="Times New Roman"/>
        </w:rPr>
        <w:t xml:space="preserve">：骨干 53 个 BN 为 </w:t>
      </w:r>
      <w:r>
        <w:rPr>
          <w:rFonts w:ascii="Times New Roman" w:hAnsi="Times New Roman" w:eastAsia="宋体" w:cs="Times New Roman"/>
          <w:b/>
          <w:bCs/>
        </w:rPr>
        <w:t>138505</w:t>
      </w:r>
      <w:r>
        <w:rPr>
          <w:rFonts w:ascii="Times New Roman" w:hAnsi="Times New Roman" w:eastAsia="宋体" w:cs="Times New Roman"/>
        </w:rPr>
        <w:t xml:space="preserve">（预训练累积值 + 本次训练），自研解码器 3 个 BN 为 </w:t>
      </w:r>
      <w:r>
        <w:rPr>
          <w:rFonts w:ascii="Times New Roman" w:hAnsi="Times New Roman" w:eastAsia="宋体" w:cs="Times New Roman"/>
          <w:b/>
          <w:bCs/>
        </w:rPr>
        <w:t>51775 = 25 epoch × 2071 iter</w:t>
      </w:r>
      <w:r>
        <w:rPr>
          <w:rFonts w:ascii="Times New Roman" w:hAnsi="Times New Roman" w:eastAsia="宋体" w:cs="Times New Roman"/>
        </w:rPr>
        <w:t>，从 0 起算，与“解码器是新建模块”完全吻合。</w:t>
      </w:r>
    </w:p>
    <w:p w14:paraId="41AE72AD">
      <w:pPr>
        <w:pStyle w:val="3"/>
        <w:spacing w:before="0" w:after="80" w:line="384" w:lineRule="auto"/>
        <w:jc w:val="both"/>
      </w:pPr>
      <w:r>
        <w:rPr>
          <w:rFonts w:ascii="Times New Roman" w:hAnsi="Times New Roman" w:eastAsia="宋体" w:cs="Times New Roman"/>
          <w:b/>
          <w:bCs/>
        </w:rPr>
        <w:t>（2）AdaBN 域自适应尝试（未采用）</w:t>
      </w:r>
    </w:p>
    <w:p w14:paraId="5C723542">
      <w:pPr>
        <w:pStyle w:val="3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>既然骨干 BN 统计量来自 VOC+SBD、而测试集是 COCO，故尝试用</w:t>
      </w:r>
      <w:r>
        <w:rPr>
          <w:rFonts w:ascii="Times New Roman" w:hAnsi="Times New Roman" w:eastAsia="宋体" w:cs="Times New Roman"/>
          <w:b/>
          <w:bCs/>
        </w:rPr>
        <w:t>无标签</w:t>
      </w:r>
      <w:r>
        <w:rPr>
          <w:rFonts w:ascii="Times New Roman" w:hAnsi="Times New Roman" w:eastAsia="宋体" w:cs="Times New Roman"/>
        </w:rPr>
        <w:t>测试图像重估 BN（AdaBN，只改 running_mean/​var，不动任何可学习参数）。两种策略的结果见表 5-13。</w:t>
      </w:r>
    </w:p>
    <w:p w14:paraId="2471F9B9">
      <w:pPr>
        <w:pStyle w:val="3"/>
        <w:keepNext/>
        <w:spacing w:before="80" w:after="200" w:line="420" w:lineRule="auto"/>
        <w:jc w:val="center"/>
      </w:pPr>
      <w:r>
        <w:rPr>
          <w:rFonts w:ascii="Times New Roman" w:hAnsi="Times New Roman" w:eastAsia="宋体" w:cs="Times New Roman"/>
          <w:bCs/>
          <w:sz w:val="21"/>
        </w:rPr>
        <w:t>表 5-13　AdaBN 域自适应的两种策略（VOC val，自训练 sbd_lfca）</w:t>
      </w:r>
    </w:p>
    <w:tbl>
      <w:tblPr>
        <w:tblStyle w:val="32"/>
        <w:tblW w:w="8640" w:type="dxa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3"/>
        <w:gridCol w:w="4487"/>
        <w:gridCol w:w="1256"/>
        <w:gridCol w:w="1256"/>
        <w:gridCol w:w="898"/>
      </w:tblGrid>
      <w:tr w14:paraId="1710B028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743" w:type="dxa"/>
            <w:tcBorders>
              <w:bottom w:val="single" w:color="000000" w:sz="6" w:space="0"/>
            </w:tcBorders>
            <w:vAlign w:val="bottom"/>
          </w:tcPr>
          <w:p w14:paraId="4385F264">
            <w:pPr>
              <w:pStyle w:val="28"/>
            </w:pPr>
            <w:r>
              <w:t>策略</w:t>
            </w:r>
          </w:p>
        </w:tc>
        <w:tc>
          <w:tcPr>
            <w:tcW w:w="4487" w:type="dxa"/>
            <w:tcBorders>
              <w:bottom w:val="single" w:color="000000" w:sz="6" w:space="0"/>
            </w:tcBorders>
            <w:vAlign w:val="bottom"/>
          </w:tcPr>
          <w:p w14:paraId="04B0CB69">
            <w:pPr>
              <w:pStyle w:val="28"/>
            </w:pPr>
            <w:r>
              <w:t>说明</w:t>
            </w:r>
          </w:p>
        </w:tc>
        <w:tc>
          <w:tcPr>
            <w:tcW w:w="1256" w:type="dxa"/>
            <w:tcBorders>
              <w:bottom w:val="single" w:color="000000" w:sz="6" w:space="0"/>
            </w:tcBorders>
            <w:vAlign w:val="bottom"/>
          </w:tcPr>
          <w:p w14:paraId="0D782FE6">
            <w:pPr>
              <w:pStyle w:val="28"/>
            </w:pPr>
            <w:r>
              <w:t>自适应前</w:t>
            </w:r>
          </w:p>
        </w:tc>
        <w:tc>
          <w:tcPr>
            <w:tcW w:w="1256" w:type="dxa"/>
            <w:tcBorders>
              <w:bottom w:val="single" w:color="000000" w:sz="6" w:space="0"/>
            </w:tcBorders>
            <w:vAlign w:val="bottom"/>
          </w:tcPr>
          <w:p w14:paraId="56D2393C">
            <w:pPr>
              <w:pStyle w:val="28"/>
            </w:pPr>
            <w:r>
              <w:t>自适应后</w:t>
            </w:r>
          </w:p>
        </w:tc>
        <w:tc>
          <w:tcPr>
            <w:tcW w:w="898" w:type="dxa"/>
            <w:tcBorders>
              <w:bottom w:val="single" w:color="000000" w:sz="6" w:space="0"/>
            </w:tcBorders>
            <w:vAlign w:val="bottom"/>
          </w:tcPr>
          <w:p w14:paraId="59EA92DB">
            <w:pPr>
              <w:pStyle w:val="28"/>
            </w:pPr>
            <w:r>
              <w:t>Δ</w:t>
            </w:r>
          </w:p>
        </w:tc>
      </w:tr>
      <w:tr w14:paraId="4FBBCE7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43" w:type="dxa"/>
          </w:tcPr>
          <w:p w14:paraId="7642A4C7">
            <w:pPr>
              <w:pStyle w:val="28"/>
            </w:pPr>
            <w:r>
              <w:t>激进</w:t>
            </w:r>
          </w:p>
        </w:tc>
        <w:tc>
          <w:tcPr>
            <w:tcW w:w="4487" w:type="dxa"/>
          </w:tcPr>
          <w:p w14:paraId="75B8539C">
            <w:pPr>
              <w:pStyle w:val="28"/>
            </w:pPr>
            <w:r>
              <w:t>reset 后全量重估（累积平均）</w:t>
            </w:r>
          </w:p>
        </w:tc>
        <w:tc>
          <w:tcPr>
            <w:tcW w:w="1256" w:type="dxa"/>
          </w:tcPr>
          <w:p w14:paraId="3B6C8879">
            <w:pPr>
              <w:pStyle w:val="28"/>
            </w:pPr>
            <w:r>
              <w:t>0.7570</w:t>
            </w:r>
          </w:p>
        </w:tc>
        <w:tc>
          <w:tcPr>
            <w:tcW w:w="1256" w:type="dxa"/>
          </w:tcPr>
          <w:p w14:paraId="4DBC6D16">
            <w:pPr>
              <w:pStyle w:val="28"/>
            </w:pPr>
            <w:r>
              <w:t>0.7500</w:t>
            </w:r>
          </w:p>
        </w:tc>
        <w:tc>
          <w:tcPr>
            <w:tcW w:w="898" w:type="dxa"/>
          </w:tcPr>
          <w:p w14:paraId="50B1CABE">
            <w:pPr>
              <w:pStyle w:val="28"/>
            </w:pPr>
            <w:r>
              <w:rPr>
                <w:b/>
                <w:bCs/>
              </w:rPr>
              <w:t>−0.70</w:t>
            </w:r>
          </w:p>
        </w:tc>
      </w:tr>
      <w:tr w14:paraId="7BF146DA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43" w:type="dxa"/>
          </w:tcPr>
          <w:p w14:paraId="72ED67BA">
            <w:pPr>
              <w:pStyle w:val="28"/>
            </w:pPr>
            <w:r>
              <w:t>温和</w:t>
            </w:r>
          </w:p>
        </w:tc>
        <w:tc>
          <w:tcPr>
            <w:tcW w:w="4487" w:type="dxa"/>
          </w:tcPr>
          <w:p w14:paraId="18B12E01">
            <w:pPr>
              <w:pStyle w:val="28"/>
            </w:pPr>
            <w:r>
              <w:t>保留原统计量，momentum=0.02 微调</w:t>
            </w:r>
          </w:p>
        </w:tc>
        <w:tc>
          <w:tcPr>
            <w:tcW w:w="1256" w:type="dxa"/>
          </w:tcPr>
          <w:p w14:paraId="603E9156">
            <w:pPr>
              <w:pStyle w:val="28"/>
            </w:pPr>
            <w:r>
              <w:t>0.7570</w:t>
            </w:r>
          </w:p>
        </w:tc>
        <w:tc>
          <w:tcPr>
            <w:tcW w:w="1256" w:type="dxa"/>
          </w:tcPr>
          <w:p w14:paraId="5B5A7A30">
            <w:pPr>
              <w:pStyle w:val="28"/>
            </w:pPr>
            <w:r>
              <w:t>0.7543</w:t>
            </w:r>
          </w:p>
        </w:tc>
        <w:tc>
          <w:tcPr>
            <w:tcW w:w="898" w:type="dxa"/>
          </w:tcPr>
          <w:p w14:paraId="390E7D7F">
            <w:pPr>
              <w:pStyle w:val="28"/>
            </w:pPr>
            <w:r>
              <w:rPr>
                <w:b/>
                <w:bCs/>
              </w:rPr>
              <w:t>−0.27</w:t>
            </w:r>
          </w:p>
        </w:tc>
      </w:tr>
    </w:tbl>
    <w:p w14:paraId="7238119A">
      <w:pPr>
        <w:pStyle w:val="3"/>
        <w:spacing w:before="16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 xml:space="preserve">两者均为负收益。原因：原 BN 统计量是 </w:t>
      </w:r>
      <w:r>
        <w:rPr>
          <w:rFonts w:ascii="Times New Roman" w:hAnsi="Times New Roman" w:eastAsia="宋体" w:cs="Times New Roman"/>
          <w:b/>
          <w:bCs/>
        </w:rPr>
        <w:t>51775 个 batch 的指数滑动平均</w:t>
      </w:r>
      <w:r>
        <w:rPr>
          <w:rFonts w:ascii="Times New Roman" w:hAnsi="Times New Roman" w:eastAsia="宋体" w:cs="Times New Roman"/>
        </w:rPr>
        <w:t>，估计已相当充分；重估只能用到 400~1449 张图的随机裁剪，引入的采样噪声大于它能修正的域偏差。</w:t>
      </w:r>
    </w:p>
    <w:p w14:paraId="6C083D40">
      <w:pPr>
        <w:pStyle w:val="3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  <w:b/>
          <w:bCs/>
        </w:rPr>
        <w:t>结论：不采用 BN 域自适应</w:t>
      </w:r>
      <w:r>
        <w:rPr>
          <w:rFonts w:ascii="Times New Roman" w:hAnsi="Times New Roman" w:eastAsia="宋体" w:cs="Times New Roman"/>
        </w:rPr>
        <w:t>。这一负结果说明本任务的主要瓶颈不在归一化统计量，而在“训练域与测试域的目标分布差异”这一更高层的问题上，只能靠</w:t>
      </w:r>
      <w:r>
        <w:rPr>
          <w:rFonts w:ascii="Times New Roman" w:hAnsi="Times New Roman" w:eastAsia="宋体" w:cs="Times New Roman"/>
          <w:b/>
          <w:bCs/>
        </w:rPr>
        <w:t>数据扩充（SBD）</w:t>
      </w:r>
      <w:r>
        <w:rPr>
          <w:rFonts w:ascii="Times New Roman" w:hAnsi="Times New Roman" w:eastAsia="宋体" w:cs="Times New Roman"/>
        </w:rPr>
        <w:t>与</w:t>
      </w:r>
      <w:r>
        <w:rPr>
          <w:rFonts w:ascii="Times New Roman" w:hAnsi="Times New Roman" w:eastAsia="宋体" w:cs="Times New Roman"/>
          <w:b/>
          <w:bCs/>
        </w:rPr>
        <w:t>推理侧多样性（TTA / 集成）</w:t>
      </w:r>
      <w:r>
        <w:rPr>
          <w:rFonts w:ascii="Times New Roman" w:hAnsi="Times New Roman" w:eastAsia="宋体" w:cs="Times New Roman"/>
        </w:rPr>
        <w:t>解决。</w:t>
      </w:r>
    </w:p>
    <w:bookmarkEnd w:id="46"/>
    <w:p w14:paraId="1322A748">
      <w:pPr>
        <w:pStyle w:val="5"/>
        <w:keepNext/>
        <w:spacing w:before="240" w:after="120" w:line="312" w:lineRule="auto"/>
      </w:pPr>
      <w:bookmarkStart w:id="47" w:name="_Toc243935466"/>
      <w:bookmarkStart w:id="48" w:name="独立评估集上的泛化验证"/>
      <w:r>
        <w:rPr>
          <w:rFonts w:ascii="Times New Roman" w:hAnsi="Times New Roman" w:eastAsia="黑体" w:cs="Times New Roman"/>
        </w:rPr>
        <w:t>5.11 独立评估集上的泛化验证</w:t>
      </w:r>
      <w:bookmarkEnd w:id="47"/>
    </w:p>
    <w:p w14:paraId="33781F58">
      <w:pPr>
        <w:pStyle w:val="27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>前述全部选型都在 VOC val 上进行，而测试集来自 COCO、老师还可能在</w:t>
      </w:r>
      <w:r>
        <w:rPr>
          <w:rFonts w:ascii="Times New Roman" w:hAnsi="Times New Roman" w:eastAsia="宋体" w:cs="Times New Roman"/>
          <w:b/>
          <w:bCs/>
        </w:rPr>
        <w:t>本数据集之外</w:t>
      </w:r>
      <w:r>
        <w:rPr>
          <w:rFonts w:ascii="Times New Roman" w:hAnsi="Times New Roman" w:eastAsia="宋体" w:cs="Times New Roman"/>
        </w:rPr>
        <w:t>测试模型——只在单一验证集上寻优有过拟合该集合的风险。为此构建第二个</w:t>
      </w:r>
      <w:r>
        <w:rPr>
          <w:rFonts w:ascii="Times New Roman" w:hAnsi="Times New Roman" w:eastAsia="宋体" w:cs="Times New Roman"/>
          <w:b/>
          <w:bCs/>
        </w:rPr>
        <w:t>独立标注评估集</w:t>
      </w:r>
      <w:r>
        <w:rPr>
          <w:rFonts w:ascii="Times New Roman" w:hAnsi="Times New Roman" w:eastAsia="宋体" w:cs="Times New Roman"/>
        </w:rPr>
        <w:t xml:space="preserve">：SBD 官方 val split 共 2857 张，剔除与 VOC train/​val 重叠的 559 张后剩 </w:t>
      </w:r>
      <w:r>
        <w:rPr>
          <w:rFonts w:ascii="Times New Roman" w:hAnsi="Times New Roman" w:eastAsia="宋体" w:cs="Times New Roman"/>
          <w:b/>
          <w:bCs/>
        </w:rPr>
        <w:t>2298 张从未参与任何训练与选型的干净标注数据</w:t>
      </w:r>
      <w:r>
        <w:rPr>
          <w:rFonts w:ascii="Times New Roman" w:hAnsi="Times New Roman" w:eastAsia="宋体" w:cs="Times New Roman"/>
        </w:rPr>
        <w:t>（</w:t>
      </w:r>
      <w:r>
        <w:rPr>
          <w:rStyle w:val="39"/>
          <w:rFonts w:ascii="Times New Roman" w:hAnsi="Times New Roman" w:eastAsia="宋体" w:cs="Times New Roman"/>
          <w:sz w:val="24"/>
        </w:rPr>
        <w:t>sbd_val_prepare.py</w:t>
      </w:r>
      <w:r>
        <w:rPr>
          <w:rFonts w:ascii="Times New Roman" w:hAnsi="Times New Roman" w:eastAsia="宋体" w:cs="Times New Roman"/>
        </w:rPr>
        <w:t>）。</w:t>
      </w:r>
    </w:p>
    <w:p w14:paraId="22573090">
      <w:pPr>
        <w:pStyle w:val="3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 xml:space="preserve">需要注意的口径差异：SBD 的 </w:t>
      </w:r>
      <w:r>
        <w:rPr>
          <w:rStyle w:val="39"/>
          <w:rFonts w:ascii="Times New Roman" w:hAnsi="Times New Roman" w:eastAsia="宋体" w:cs="Times New Roman"/>
          <w:sz w:val="24"/>
        </w:rPr>
        <w:t>GTcls</w:t>
      </w:r>
      <w:r>
        <w:rPr>
          <w:rFonts w:ascii="Times New Roman" w:hAnsi="Times New Roman" w:eastAsia="宋体" w:cs="Times New Roman"/>
        </w:rPr>
        <w:t xml:space="preserve"> 标注</w:t>
      </w:r>
      <w:r>
        <w:rPr>
          <w:rFonts w:ascii="Times New Roman" w:hAnsi="Times New Roman" w:eastAsia="宋体" w:cs="Times New Roman"/>
          <w:b/>
          <w:bCs/>
        </w:rPr>
        <w:t>没有 255 忽略区</w:t>
      </w:r>
      <w:r>
        <w:rPr>
          <w:rFonts w:ascii="Times New Roman" w:hAnsi="Times New Roman" w:eastAsia="宋体" w:cs="Times New Roman"/>
        </w:rPr>
        <w:t>，边界像素被强制归入某一类，因此该集上的绝对 mIoU 天然低于 VOC val（同类方法在 VOC val 上 0.8143、在 SBD-val 上 0.7667），</w:t>
      </w:r>
      <w:r>
        <w:rPr>
          <w:rFonts w:ascii="Times New Roman" w:hAnsi="Times New Roman" w:eastAsia="宋体" w:cs="Times New Roman"/>
          <w:b/>
          <w:bCs/>
        </w:rPr>
        <w:t>只用于配置间的相对比较</w:t>
      </w:r>
      <w:r>
        <w:rPr>
          <w:rFonts w:ascii="Times New Roman" w:hAnsi="Times New Roman" w:eastAsia="宋体" w:cs="Times New Roman"/>
        </w:rPr>
        <w:t>。</w:t>
      </w:r>
    </w:p>
    <w:p w14:paraId="05EEC3A1">
      <w:pPr>
        <w:pStyle w:val="3"/>
        <w:keepNext/>
        <w:spacing w:before="80" w:after="200" w:line="420" w:lineRule="auto"/>
        <w:jc w:val="center"/>
      </w:pPr>
      <w:r>
        <w:rPr>
          <w:rFonts w:ascii="Times New Roman" w:hAnsi="Times New Roman" w:eastAsia="宋体" w:cs="Times New Roman"/>
          <w:bCs/>
          <w:sz w:val="21"/>
        </w:rPr>
        <w:t>表 5-14　最终提交配置在两个独立评估集上的对比（均带 5 尺度 TTA）</w:t>
      </w:r>
    </w:p>
    <w:tbl>
      <w:tblPr>
        <w:tblStyle w:val="32"/>
        <w:tblW w:w="8640" w:type="dxa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3"/>
        <w:gridCol w:w="1729"/>
        <w:gridCol w:w="1743"/>
        <w:gridCol w:w="1515"/>
      </w:tblGrid>
      <w:tr w14:paraId="0EBDBE4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653" w:type="dxa"/>
            <w:tcBorders>
              <w:bottom w:val="single" w:color="000000" w:sz="6" w:space="0"/>
            </w:tcBorders>
            <w:vAlign w:val="bottom"/>
          </w:tcPr>
          <w:p w14:paraId="33D3BD9F">
            <w:pPr>
              <w:pStyle w:val="28"/>
            </w:pPr>
            <w:r>
              <w:t>配置（均带 5 尺度 TTA）</w:t>
            </w:r>
          </w:p>
        </w:tc>
        <w:tc>
          <w:tcPr>
            <w:tcW w:w="1729" w:type="dxa"/>
            <w:tcBorders>
              <w:bottom w:val="single" w:color="000000" w:sz="6" w:space="0"/>
            </w:tcBorders>
            <w:vAlign w:val="bottom"/>
          </w:tcPr>
          <w:p w14:paraId="5D1E5733">
            <w:pPr>
              <w:pStyle w:val="28"/>
            </w:pPr>
            <w:r>
              <w:t>VOC val (1449)</w:t>
            </w:r>
          </w:p>
        </w:tc>
        <w:tc>
          <w:tcPr>
            <w:tcW w:w="1743" w:type="dxa"/>
            <w:tcBorders>
              <w:bottom w:val="single" w:color="000000" w:sz="6" w:space="0"/>
            </w:tcBorders>
            <w:vAlign w:val="bottom"/>
          </w:tcPr>
          <w:p w14:paraId="70042294">
            <w:pPr>
              <w:pStyle w:val="28"/>
            </w:pPr>
            <w:r>
              <w:t>SBD-val (2298)</w:t>
            </w:r>
          </w:p>
        </w:tc>
        <w:tc>
          <w:tcPr>
            <w:tcW w:w="1515" w:type="dxa"/>
            <w:tcBorders>
              <w:bottom w:val="single" w:color="000000" w:sz="6" w:space="0"/>
            </w:tcBorders>
            <w:vAlign w:val="bottom"/>
          </w:tcPr>
          <w:p w14:paraId="69AF8CE9">
            <w:pPr>
              <w:pStyle w:val="28"/>
            </w:pPr>
            <w:r>
              <w:t>SBD-val 差值</w:t>
            </w:r>
          </w:p>
        </w:tc>
      </w:tr>
      <w:tr w14:paraId="6408B39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53" w:type="dxa"/>
          </w:tcPr>
          <w:p w14:paraId="203A9340">
            <w:pPr>
              <w:pStyle w:val="28"/>
            </w:pPr>
            <w:r>
              <w:t>3 模型混合集成（此前的提交版）</w:t>
            </w:r>
          </w:p>
        </w:tc>
        <w:tc>
          <w:tcPr>
            <w:tcW w:w="1729" w:type="dxa"/>
          </w:tcPr>
          <w:p w14:paraId="022FBAB9">
            <w:pPr>
              <w:pStyle w:val="28"/>
            </w:pPr>
            <w:r>
              <w:t>0.8143</w:t>
            </w:r>
          </w:p>
        </w:tc>
        <w:tc>
          <w:tcPr>
            <w:tcW w:w="1743" w:type="dxa"/>
          </w:tcPr>
          <w:p w14:paraId="7C1AEEB8">
            <w:pPr>
              <w:pStyle w:val="28"/>
            </w:pPr>
            <w:r>
              <w:t>0.7667</w:t>
            </w:r>
          </w:p>
        </w:tc>
        <w:tc>
          <w:tcPr>
            <w:tcW w:w="1515" w:type="dxa"/>
          </w:tcPr>
          <w:p w14:paraId="30450CCC">
            <w:pPr>
              <w:pStyle w:val="28"/>
            </w:pPr>
            <w:r>
              <w:t>—</w:t>
            </w:r>
          </w:p>
        </w:tc>
      </w:tr>
      <w:tr w14:paraId="19D66E6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53" w:type="dxa"/>
          </w:tcPr>
          <w:p w14:paraId="3CDDAA20">
            <w:pPr>
              <w:pStyle w:val="28"/>
            </w:pPr>
            <w:r>
              <w:rPr>
                <w:b/>
                <w:bCs/>
              </w:rPr>
              <w:t>4 模型加权集成（最终提交版）</w:t>
            </w:r>
          </w:p>
        </w:tc>
        <w:tc>
          <w:tcPr>
            <w:tcW w:w="1729" w:type="dxa"/>
          </w:tcPr>
          <w:p w14:paraId="1ED46F69">
            <w:pPr>
              <w:pStyle w:val="28"/>
            </w:pPr>
            <w:r>
              <w:rPr>
                <w:b/>
                <w:bCs/>
              </w:rPr>
              <w:t>0.8195</w:t>
            </w:r>
          </w:p>
        </w:tc>
        <w:tc>
          <w:tcPr>
            <w:tcW w:w="1743" w:type="dxa"/>
          </w:tcPr>
          <w:p w14:paraId="56C2C431">
            <w:pPr>
              <w:pStyle w:val="28"/>
            </w:pPr>
            <w:r>
              <w:rPr>
                <w:b/>
                <w:bCs/>
              </w:rPr>
              <w:t>0.7730</w:t>
            </w:r>
          </w:p>
        </w:tc>
        <w:tc>
          <w:tcPr>
            <w:tcW w:w="1515" w:type="dxa"/>
          </w:tcPr>
          <w:p w14:paraId="08ED7CB9">
            <w:pPr>
              <w:pStyle w:val="28"/>
            </w:pPr>
            <w:r>
              <w:rPr>
                <w:b/>
                <w:bCs/>
              </w:rPr>
              <w:t>+0.63</w:t>
            </w:r>
          </w:p>
        </w:tc>
      </w:tr>
    </w:tbl>
    <w:p w14:paraId="5256D4F7">
      <w:pPr>
        <w:pStyle w:val="3"/>
        <w:spacing w:before="16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  <w:b/>
          <w:bCs/>
        </w:rPr>
        <w:t>结论</w:t>
      </w:r>
      <w:r>
        <w:rPr>
          <w:rFonts w:ascii="Times New Roman" w:hAnsi="Times New Roman" w:eastAsia="宋体" w:cs="Times New Roman"/>
        </w:rPr>
        <w:t>：4 模型版在两个集合上同时提升，且在独立集上的增益（+0.63）不低于开发集（+0.52）——说明这次提升来自真正的误差模式互补，而非对 VOC val 的过拟合；对于在未知数据上评测的应用场景，该结论具有参考价值。这也反过来支持了 5.9 的成员选择逻辑：多样性（而非单模型分数）才是集成增益的来源，且多样性带来的增益是可迁移的。</w:t>
      </w:r>
    </w:p>
    <w:p w14:paraId="6834D641">
      <w:pPr>
        <w:pStyle w:val="3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>逐类上还存在一个反直觉的发现：bicycle 类在 VOC val 上仅 0.4332，在 SBD-val 上却达 0.79——VOC 的数字是被 255 边界像素的排除规则压低的（细长结构的边界像素占比最高），并非模型在 bicycle 类上性能不足。这提示：单一验证集上的逐类数字同样需要交叉验证后方可下结论。</w:t>
      </w:r>
    </w:p>
    <w:bookmarkEnd w:id="48"/>
    <w:p w14:paraId="4E0C633D">
      <w:pPr>
        <w:pStyle w:val="5"/>
        <w:keepNext/>
        <w:spacing w:before="240" w:after="120" w:line="312" w:lineRule="auto"/>
      </w:pPr>
      <w:bookmarkStart w:id="49" w:name="_Toc243935467"/>
      <w:bookmarkStart w:id="50" w:name="轻量微调的严格对照与成员增补"/>
      <w:r>
        <w:rPr>
          <w:rFonts w:ascii="Times New Roman" w:hAnsi="Times New Roman" w:eastAsia="黑体" w:cs="Times New Roman"/>
        </w:rPr>
        <w:t>5.12 轻量微调的严格对照与成员增补</w:t>
      </w:r>
      <w:bookmarkEnd w:id="49"/>
    </w:p>
    <w:p w14:paraId="4C47FD04">
      <w:pPr>
        <w:pStyle w:val="27"/>
        <w:spacing w:before="0" w:after="80" w:line="384" w:lineRule="auto"/>
        <w:jc w:val="both"/>
      </w:pPr>
      <w:r>
        <w:rPr>
          <w:rFonts w:ascii="Times New Roman" w:hAnsi="Times New Roman" w:eastAsia="宋体" w:cs="Times New Roman"/>
          <w:b/>
          <w:bCs/>
        </w:rPr>
        <w:t>（1）实验动机与设计</w:t>
      </w:r>
    </w:p>
    <w:p w14:paraId="00C264D7">
      <w:pPr>
        <w:pStyle w:val="3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 xml:space="preserve">5.3 的负结果存在一个尚未排除的解释：负收益是否仅由 </w:t>
      </w:r>
      <w:r>
        <w:rPr>
          <w:rStyle w:val="39"/>
          <w:rFonts w:ascii="Times New Roman" w:hAnsi="Times New Roman" w:eastAsia="宋体" w:cs="Times New Roman"/>
          <w:sz w:val="24"/>
        </w:rPr>
        <w:t>lr=0.01</w:t>
      </w:r>
      <w:r>
        <w:rPr>
          <w:rFonts w:ascii="Times New Roman" w:hAnsi="Times New Roman" w:eastAsia="宋体" w:cs="Times New Roman"/>
        </w:rPr>
        <w:t xml:space="preserve"> 过大、骨干参数同步更新所导致？若仅令自研解码器做极轻量微调、骨干参数全部冻结，能否在零样本 0.7951 的基础上进一步增益？</w:t>
      </w:r>
    </w:p>
    <w:p w14:paraId="3CA32C2D">
      <w:pPr>
        <w:pStyle w:val="3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>为此设计了一组严格对照。LFCA 解码器的残差支路是</w:t>
      </w:r>
      <w:r>
        <w:rPr>
          <w:rFonts w:ascii="Times New Roman" w:hAnsi="Times New Roman" w:eastAsia="宋体" w:cs="Times New Roman"/>
          <w:b/>
          <w:bCs/>
        </w:rPr>
        <w:t>零初始化</w:t>
      </w:r>
      <w:r>
        <w:rPr>
          <w:rFonts w:ascii="Times New Roman" w:hAnsi="Times New Roman" w:eastAsia="宋体" w:cs="Times New Roman"/>
        </w:rPr>
        <w:t xml:space="preserve">的，因此模型第 0 步输出与零样本 DeepLabV3-R101 </w:t>
      </w:r>
      <w:r>
        <w:rPr>
          <w:rFonts w:ascii="Times New Roman" w:hAnsi="Times New Roman" w:eastAsia="宋体" w:cs="Times New Roman"/>
          <w:b/>
          <w:bCs/>
        </w:rPr>
        <w:t>逐像素相同</w:t>
      </w:r>
      <w:r>
        <w:rPr>
          <w:rFonts w:ascii="Times New Roman" w:hAnsi="Times New Roman" w:eastAsia="宋体" w:cs="Times New Roman"/>
        </w:rPr>
        <w:t>（起点分数严格等于 0.7951），此后训练带来的任何变化均可归因于微调本身。配置：</w:t>
      </w:r>
      <w:r>
        <w:rPr>
          <w:rStyle w:val="39"/>
          <w:rFonts w:ascii="Times New Roman" w:hAnsi="Times New Roman" w:eastAsia="宋体" w:cs="Times New Roman"/>
          <w:sz w:val="24"/>
        </w:rPr>
        <w:t>--model lfca --backbone resnet101 --train_split train_aug --lr 1e-4 --backbone_lr_mult 0 --freeze_bn</w:t>
      </w:r>
      <w:r>
        <w:rPr>
          <w:rFonts w:ascii="Times New Roman" w:hAnsi="Times New Roman" w:eastAsia="宋体" w:cs="Times New Roman"/>
        </w:rPr>
        <w:t xml:space="preserve">（即学习率比 5.3 低 </w:t>
      </w:r>
      <w:r>
        <w:rPr>
          <w:rFonts w:ascii="Times New Roman" w:hAnsi="Times New Roman" w:eastAsia="宋体" w:cs="Times New Roman"/>
          <w:b/>
          <w:bCs/>
        </w:rPr>
        <w:t>100 倍</w:t>
      </w:r>
      <w:r>
        <w:rPr>
          <w:rFonts w:ascii="Times New Roman" w:hAnsi="Times New Roman" w:eastAsia="宋体" w:cs="Times New Roman"/>
        </w:rPr>
        <w:t xml:space="preserve">、骨干学习率倍数为 </w:t>
      </w:r>
      <w:r>
        <w:rPr>
          <w:rFonts w:ascii="Times New Roman" w:hAnsi="Times New Roman" w:eastAsia="宋体" w:cs="Times New Roman"/>
          <w:b/>
          <w:bCs/>
        </w:rPr>
        <w:t>0</w:t>
      </w:r>
      <w:r>
        <w:rPr>
          <w:rFonts w:ascii="Times New Roman" w:hAnsi="Times New Roman" w:eastAsia="宋体" w:cs="Times New Roman"/>
        </w:rPr>
        <w:t>、BN 统计量冻结），共训练 12 个 epoch（</w:t>
      </w:r>
      <w:r>
        <w:rPr>
          <w:rStyle w:val="39"/>
          <w:rFonts w:ascii="Times New Roman" w:hAnsi="Times New Roman" w:eastAsia="宋体" w:cs="Times New Roman"/>
          <w:sz w:val="24"/>
        </w:rPr>
        <w:t>runs/​zs_lfca_r101_lowlr/</w:t>
      </w:r>
      <w:r>
        <w:rPr>
          <w:rFonts w:ascii="Times New Roman" w:hAnsi="Times New Roman" w:eastAsia="宋体" w:cs="Times New Roman"/>
        </w:rPr>
        <w:t>）。完整结果如表 5-15 与图 5-5 所示。</w:t>
      </w:r>
    </w:p>
    <w:p w14:paraId="5AE28A4C">
      <w:pPr>
        <w:pStyle w:val="3"/>
        <w:keepNext/>
        <w:spacing w:before="80" w:after="200" w:line="420" w:lineRule="auto"/>
        <w:jc w:val="center"/>
      </w:pPr>
      <w:r>
        <w:rPr>
          <w:rFonts w:ascii="Times New Roman" w:hAnsi="Times New Roman" w:eastAsia="宋体" w:cs="Times New Roman"/>
          <w:bCs/>
          <w:sz w:val="21"/>
        </w:rPr>
        <w:t>表 5-15　P2 轻量微调全程 12 个 epoch 的训练损失与验证集 mIoU</w:t>
      </w:r>
    </w:p>
    <w:tbl>
      <w:tblPr>
        <w:tblStyle w:val="32"/>
        <w:tblW w:w="8640" w:type="dxa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4"/>
        <w:gridCol w:w="1243"/>
        <w:gridCol w:w="1492"/>
        <w:gridCol w:w="2021"/>
      </w:tblGrid>
      <w:tr w14:paraId="6FF89D3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884" w:type="dxa"/>
            <w:tcBorders>
              <w:bottom w:val="single" w:color="000000" w:sz="6" w:space="0"/>
            </w:tcBorders>
            <w:vAlign w:val="bottom"/>
          </w:tcPr>
          <w:p w14:paraId="3FE063A5">
            <w:pPr>
              <w:pStyle w:val="28"/>
            </w:pPr>
            <w:r>
              <w:t>epoch</w:t>
            </w:r>
          </w:p>
        </w:tc>
        <w:tc>
          <w:tcPr>
            <w:tcW w:w="1243" w:type="dxa"/>
            <w:tcBorders>
              <w:bottom w:val="single" w:color="000000" w:sz="6" w:space="0"/>
            </w:tcBorders>
            <w:vAlign w:val="bottom"/>
          </w:tcPr>
          <w:p w14:paraId="1E5B8936">
            <w:pPr>
              <w:pStyle w:val="28"/>
            </w:pPr>
            <w:r>
              <w:t>train loss</w:t>
            </w:r>
          </w:p>
        </w:tc>
        <w:tc>
          <w:tcPr>
            <w:tcW w:w="1492" w:type="dxa"/>
            <w:tcBorders>
              <w:bottom w:val="single" w:color="000000" w:sz="6" w:space="0"/>
            </w:tcBorders>
            <w:vAlign w:val="bottom"/>
          </w:tcPr>
          <w:p w14:paraId="38AB8F0B">
            <w:pPr>
              <w:pStyle w:val="28"/>
            </w:pPr>
            <w:r>
              <w:t>val mIoU21</w:t>
            </w:r>
          </w:p>
        </w:tc>
        <w:tc>
          <w:tcPr>
            <w:tcW w:w="2021" w:type="dxa"/>
            <w:tcBorders>
              <w:bottom w:val="single" w:color="000000" w:sz="6" w:space="0"/>
            </w:tcBorders>
            <w:vAlign w:val="bottom"/>
          </w:tcPr>
          <w:p w14:paraId="289B7C34">
            <w:pPr>
              <w:pStyle w:val="28"/>
            </w:pPr>
            <w:r>
              <w:t>相对零样本起点</w:t>
            </w:r>
          </w:p>
        </w:tc>
      </w:tr>
      <w:tr w14:paraId="413792D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884" w:type="dxa"/>
          </w:tcPr>
          <w:p w14:paraId="2FB5693B">
            <w:pPr>
              <w:pStyle w:val="28"/>
            </w:pPr>
            <w:r>
              <w:t>起点（未训练，= 零样本 R101）</w:t>
            </w:r>
          </w:p>
        </w:tc>
        <w:tc>
          <w:tcPr>
            <w:tcW w:w="1243" w:type="dxa"/>
          </w:tcPr>
          <w:p w14:paraId="5D92D346">
            <w:pPr>
              <w:pStyle w:val="28"/>
            </w:pPr>
            <w:r>
              <w:t>—</w:t>
            </w:r>
          </w:p>
        </w:tc>
        <w:tc>
          <w:tcPr>
            <w:tcW w:w="1492" w:type="dxa"/>
          </w:tcPr>
          <w:p w14:paraId="64C01246">
            <w:pPr>
              <w:pStyle w:val="28"/>
            </w:pPr>
            <w:r>
              <w:rPr>
                <w:b/>
                <w:bCs/>
              </w:rPr>
              <w:t>0.7951</w:t>
            </w:r>
          </w:p>
        </w:tc>
        <w:tc>
          <w:tcPr>
            <w:tcW w:w="2021" w:type="dxa"/>
          </w:tcPr>
          <w:p w14:paraId="3789EC36">
            <w:pPr>
              <w:pStyle w:val="28"/>
            </w:pPr>
            <w:r>
              <w:t>—</w:t>
            </w:r>
          </w:p>
        </w:tc>
      </w:tr>
      <w:tr w14:paraId="56038E7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884" w:type="dxa"/>
          </w:tcPr>
          <w:p w14:paraId="0C09C117">
            <w:pPr>
              <w:pStyle w:val="28"/>
            </w:pPr>
            <w:r>
              <w:t>0</w:t>
            </w:r>
          </w:p>
        </w:tc>
        <w:tc>
          <w:tcPr>
            <w:tcW w:w="1243" w:type="dxa"/>
          </w:tcPr>
          <w:p w14:paraId="6D41478D">
            <w:pPr>
              <w:pStyle w:val="28"/>
            </w:pPr>
            <w:r>
              <w:t>0.5424</w:t>
            </w:r>
          </w:p>
        </w:tc>
        <w:tc>
          <w:tcPr>
            <w:tcW w:w="1492" w:type="dxa"/>
          </w:tcPr>
          <w:p w14:paraId="7C62CEE6">
            <w:pPr>
              <w:pStyle w:val="28"/>
            </w:pPr>
            <w:r>
              <w:t>0.7700</w:t>
            </w:r>
          </w:p>
        </w:tc>
        <w:tc>
          <w:tcPr>
            <w:tcW w:w="2021" w:type="dxa"/>
          </w:tcPr>
          <w:p w14:paraId="75A8564C">
            <w:pPr>
              <w:pStyle w:val="28"/>
            </w:pPr>
            <w:r>
              <w:t>−2.51</w:t>
            </w:r>
          </w:p>
        </w:tc>
      </w:tr>
      <w:tr w14:paraId="047EEC1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884" w:type="dxa"/>
          </w:tcPr>
          <w:p w14:paraId="617DDBAC">
            <w:pPr>
              <w:pStyle w:val="28"/>
            </w:pPr>
            <w:r>
              <w:t>1</w:t>
            </w:r>
          </w:p>
        </w:tc>
        <w:tc>
          <w:tcPr>
            <w:tcW w:w="1243" w:type="dxa"/>
          </w:tcPr>
          <w:p w14:paraId="34615144">
            <w:pPr>
              <w:pStyle w:val="28"/>
            </w:pPr>
            <w:r>
              <w:t>0.5005</w:t>
            </w:r>
          </w:p>
        </w:tc>
        <w:tc>
          <w:tcPr>
            <w:tcW w:w="1492" w:type="dxa"/>
          </w:tcPr>
          <w:p w14:paraId="14777A3E">
            <w:pPr>
              <w:pStyle w:val="28"/>
            </w:pPr>
            <w:r>
              <w:t>0.7577</w:t>
            </w:r>
          </w:p>
        </w:tc>
        <w:tc>
          <w:tcPr>
            <w:tcW w:w="2021" w:type="dxa"/>
          </w:tcPr>
          <w:p w14:paraId="46995C83">
            <w:pPr>
              <w:pStyle w:val="28"/>
            </w:pPr>
            <w:r>
              <w:t>−3.74</w:t>
            </w:r>
          </w:p>
        </w:tc>
      </w:tr>
      <w:tr w14:paraId="7C553209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884" w:type="dxa"/>
          </w:tcPr>
          <w:p w14:paraId="1433709E">
            <w:pPr>
              <w:pStyle w:val="28"/>
            </w:pPr>
            <w:r>
              <w:t>2</w:t>
            </w:r>
          </w:p>
        </w:tc>
        <w:tc>
          <w:tcPr>
            <w:tcW w:w="1243" w:type="dxa"/>
          </w:tcPr>
          <w:p w14:paraId="14741D77">
            <w:pPr>
              <w:pStyle w:val="28"/>
            </w:pPr>
            <w:r>
              <w:t>0.4836</w:t>
            </w:r>
          </w:p>
        </w:tc>
        <w:tc>
          <w:tcPr>
            <w:tcW w:w="1492" w:type="dxa"/>
          </w:tcPr>
          <w:p w14:paraId="459B1D52">
            <w:pPr>
              <w:pStyle w:val="28"/>
            </w:pPr>
            <w:r>
              <w:t>0.7642</w:t>
            </w:r>
          </w:p>
        </w:tc>
        <w:tc>
          <w:tcPr>
            <w:tcW w:w="2021" w:type="dxa"/>
          </w:tcPr>
          <w:p w14:paraId="6AC0AA61">
            <w:pPr>
              <w:pStyle w:val="28"/>
            </w:pPr>
            <w:r>
              <w:t>−3.09</w:t>
            </w:r>
          </w:p>
        </w:tc>
      </w:tr>
      <w:tr w14:paraId="25AFE96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884" w:type="dxa"/>
          </w:tcPr>
          <w:p w14:paraId="6B6D8B90">
            <w:pPr>
              <w:pStyle w:val="28"/>
            </w:pPr>
            <w:r>
              <w:t>3</w:t>
            </w:r>
          </w:p>
        </w:tc>
        <w:tc>
          <w:tcPr>
            <w:tcW w:w="1243" w:type="dxa"/>
          </w:tcPr>
          <w:p w14:paraId="648FFCBC">
            <w:pPr>
              <w:pStyle w:val="28"/>
            </w:pPr>
            <w:r>
              <w:t>0.4765</w:t>
            </w:r>
          </w:p>
        </w:tc>
        <w:tc>
          <w:tcPr>
            <w:tcW w:w="1492" w:type="dxa"/>
          </w:tcPr>
          <w:p w14:paraId="02DFA805">
            <w:pPr>
              <w:pStyle w:val="28"/>
            </w:pPr>
            <w:r>
              <w:t>0.7695</w:t>
            </w:r>
          </w:p>
        </w:tc>
        <w:tc>
          <w:tcPr>
            <w:tcW w:w="2021" w:type="dxa"/>
          </w:tcPr>
          <w:p w14:paraId="593D749F">
            <w:pPr>
              <w:pStyle w:val="28"/>
            </w:pPr>
            <w:r>
              <w:t>−2.56</w:t>
            </w:r>
          </w:p>
        </w:tc>
      </w:tr>
      <w:tr w14:paraId="51A37B1B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884" w:type="dxa"/>
          </w:tcPr>
          <w:p w14:paraId="689B007E">
            <w:pPr>
              <w:pStyle w:val="28"/>
            </w:pPr>
            <w:r>
              <w:t>4</w:t>
            </w:r>
          </w:p>
        </w:tc>
        <w:tc>
          <w:tcPr>
            <w:tcW w:w="1243" w:type="dxa"/>
          </w:tcPr>
          <w:p w14:paraId="1D6ED251">
            <w:pPr>
              <w:pStyle w:val="28"/>
            </w:pPr>
            <w:r>
              <w:t>0.4669</w:t>
            </w:r>
          </w:p>
        </w:tc>
        <w:tc>
          <w:tcPr>
            <w:tcW w:w="1492" w:type="dxa"/>
          </w:tcPr>
          <w:p w14:paraId="3F874086">
            <w:pPr>
              <w:pStyle w:val="28"/>
            </w:pPr>
            <w:r>
              <w:t>0.7588</w:t>
            </w:r>
          </w:p>
        </w:tc>
        <w:tc>
          <w:tcPr>
            <w:tcW w:w="2021" w:type="dxa"/>
          </w:tcPr>
          <w:p w14:paraId="42C31904">
            <w:pPr>
              <w:pStyle w:val="28"/>
            </w:pPr>
            <w:r>
              <w:t>−3.63</w:t>
            </w:r>
          </w:p>
        </w:tc>
      </w:tr>
      <w:tr w14:paraId="7184425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884" w:type="dxa"/>
          </w:tcPr>
          <w:p w14:paraId="07B68DAF">
            <w:pPr>
              <w:pStyle w:val="28"/>
            </w:pPr>
            <w:r>
              <w:t>5</w:t>
            </w:r>
          </w:p>
        </w:tc>
        <w:tc>
          <w:tcPr>
            <w:tcW w:w="1243" w:type="dxa"/>
          </w:tcPr>
          <w:p w14:paraId="01662202">
            <w:pPr>
              <w:pStyle w:val="28"/>
            </w:pPr>
            <w:r>
              <w:t>0.4616</w:t>
            </w:r>
          </w:p>
        </w:tc>
        <w:tc>
          <w:tcPr>
            <w:tcW w:w="1492" w:type="dxa"/>
          </w:tcPr>
          <w:p w14:paraId="46335961">
            <w:pPr>
              <w:pStyle w:val="28"/>
            </w:pPr>
            <w:r>
              <w:t>0.7660</w:t>
            </w:r>
          </w:p>
        </w:tc>
        <w:tc>
          <w:tcPr>
            <w:tcW w:w="2021" w:type="dxa"/>
          </w:tcPr>
          <w:p w14:paraId="3AF8AFFD">
            <w:pPr>
              <w:pStyle w:val="28"/>
            </w:pPr>
            <w:r>
              <w:t>−2.91</w:t>
            </w:r>
          </w:p>
        </w:tc>
      </w:tr>
      <w:tr w14:paraId="6350187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884" w:type="dxa"/>
          </w:tcPr>
          <w:p w14:paraId="79F2F898">
            <w:pPr>
              <w:pStyle w:val="28"/>
            </w:pPr>
            <w:r>
              <w:t>6</w:t>
            </w:r>
          </w:p>
        </w:tc>
        <w:tc>
          <w:tcPr>
            <w:tcW w:w="1243" w:type="dxa"/>
          </w:tcPr>
          <w:p w14:paraId="7937E783">
            <w:pPr>
              <w:pStyle w:val="28"/>
            </w:pPr>
            <w:r>
              <w:t>0.4634</w:t>
            </w:r>
          </w:p>
        </w:tc>
        <w:tc>
          <w:tcPr>
            <w:tcW w:w="1492" w:type="dxa"/>
          </w:tcPr>
          <w:p w14:paraId="70B97603">
            <w:pPr>
              <w:pStyle w:val="28"/>
            </w:pPr>
            <w:r>
              <w:t>0.7717</w:t>
            </w:r>
          </w:p>
        </w:tc>
        <w:tc>
          <w:tcPr>
            <w:tcW w:w="2021" w:type="dxa"/>
          </w:tcPr>
          <w:p w14:paraId="15F140D0">
            <w:pPr>
              <w:pStyle w:val="28"/>
            </w:pPr>
            <w:r>
              <w:t>−2.34</w:t>
            </w:r>
          </w:p>
        </w:tc>
      </w:tr>
      <w:tr w14:paraId="64F9097E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884" w:type="dxa"/>
          </w:tcPr>
          <w:p w14:paraId="12C69FB0">
            <w:pPr>
              <w:pStyle w:val="28"/>
            </w:pPr>
            <w:r>
              <w:rPr>
                <w:b/>
                <w:bCs/>
              </w:rPr>
              <w:t>7</w:t>
            </w:r>
          </w:p>
        </w:tc>
        <w:tc>
          <w:tcPr>
            <w:tcW w:w="1243" w:type="dxa"/>
          </w:tcPr>
          <w:p w14:paraId="68E8E758">
            <w:pPr>
              <w:pStyle w:val="28"/>
            </w:pPr>
            <w:r>
              <w:rPr>
                <w:b/>
                <w:bCs/>
              </w:rPr>
              <w:t>0.4509</w:t>
            </w:r>
          </w:p>
        </w:tc>
        <w:tc>
          <w:tcPr>
            <w:tcW w:w="1492" w:type="dxa"/>
          </w:tcPr>
          <w:p w14:paraId="4A0014F4">
            <w:pPr>
              <w:pStyle w:val="28"/>
            </w:pPr>
            <w:r>
              <w:rPr>
                <w:b/>
                <w:bCs/>
              </w:rPr>
              <w:t>0.7785</w:t>
            </w:r>
          </w:p>
        </w:tc>
        <w:tc>
          <w:tcPr>
            <w:tcW w:w="2021" w:type="dxa"/>
          </w:tcPr>
          <w:p w14:paraId="0030A365">
            <w:pPr>
              <w:pStyle w:val="28"/>
            </w:pPr>
            <w:r>
              <w:rPr>
                <w:b/>
                <w:bCs/>
              </w:rPr>
              <w:t>−1.66</w:t>
            </w:r>
          </w:p>
        </w:tc>
      </w:tr>
      <w:tr w14:paraId="397C125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884" w:type="dxa"/>
          </w:tcPr>
          <w:p w14:paraId="40EE22A2">
            <w:pPr>
              <w:pStyle w:val="28"/>
            </w:pPr>
            <w:r>
              <w:t>8</w:t>
            </w:r>
          </w:p>
        </w:tc>
        <w:tc>
          <w:tcPr>
            <w:tcW w:w="1243" w:type="dxa"/>
          </w:tcPr>
          <w:p w14:paraId="0AB36C62">
            <w:pPr>
              <w:pStyle w:val="28"/>
            </w:pPr>
            <w:r>
              <w:t>0.4504</w:t>
            </w:r>
          </w:p>
        </w:tc>
        <w:tc>
          <w:tcPr>
            <w:tcW w:w="1492" w:type="dxa"/>
          </w:tcPr>
          <w:p w14:paraId="2051A2AD">
            <w:pPr>
              <w:pStyle w:val="28"/>
            </w:pPr>
            <w:r>
              <w:t>0.7735</w:t>
            </w:r>
          </w:p>
        </w:tc>
        <w:tc>
          <w:tcPr>
            <w:tcW w:w="2021" w:type="dxa"/>
          </w:tcPr>
          <w:p w14:paraId="76DA8DBA">
            <w:pPr>
              <w:pStyle w:val="28"/>
            </w:pPr>
            <w:r>
              <w:t>−2.16</w:t>
            </w:r>
          </w:p>
        </w:tc>
      </w:tr>
      <w:tr w14:paraId="084AA9E1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884" w:type="dxa"/>
          </w:tcPr>
          <w:p w14:paraId="67D800CC">
            <w:pPr>
              <w:pStyle w:val="28"/>
            </w:pPr>
            <w:r>
              <w:t>9</w:t>
            </w:r>
          </w:p>
        </w:tc>
        <w:tc>
          <w:tcPr>
            <w:tcW w:w="1243" w:type="dxa"/>
          </w:tcPr>
          <w:p w14:paraId="64A37B9B">
            <w:pPr>
              <w:pStyle w:val="28"/>
            </w:pPr>
            <w:r>
              <w:t>0.4414</w:t>
            </w:r>
          </w:p>
        </w:tc>
        <w:tc>
          <w:tcPr>
            <w:tcW w:w="1492" w:type="dxa"/>
          </w:tcPr>
          <w:p w14:paraId="6EC9DFEB">
            <w:pPr>
              <w:pStyle w:val="28"/>
            </w:pPr>
            <w:r>
              <w:t>0.7752</w:t>
            </w:r>
          </w:p>
        </w:tc>
        <w:tc>
          <w:tcPr>
            <w:tcW w:w="2021" w:type="dxa"/>
          </w:tcPr>
          <w:p w14:paraId="51A028D1">
            <w:pPr>
              <w:pStyle w:val="28"/>
            </w:pPr>
            <w:r>
              <w:t>−1.99</w:t>
            </w:r>
          </w:p>
        </w:tc>
      </w:tr>
      <w:tr w14:paraId="0505D1D0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884" w:type="dxa"/>
          </w:tcPr>
          <w:p w14:paraId="3363C8F2">
            <w:pPr>
              <w:pStyle w:val="28"/>
            </w:pPr>
            <w:r>
              <w:t>10</w:t>
            </w:r>
          </w:p>
        </w:tc>
        <w:tc>
          <w:tcPr>
            <w:tcW w:w="1243" w:type="dxa"/>
          </w:tcPr>
          <w:p w14:paraId="1620CC33">
            <w:pPr>
              <w:pStyle w:val="28"/>
            </w:pPr>
            <w:r>
              <w:t>0.4578</w:t>
            </w:r>
          </w:p>
        </w:tc>
        <w:tc>
          <w:tcPr>
            <w:tcW w:w="1492" w:type="dxa"/>
          </w:tcPr>
          <w:p w14:paraId="034683AB">
            <w:pPr>
              <w:pStyle w:val="28"/>
            </w:pPr>
            <w:r>
              <w:t>0.7555</w:t>
            </w:r>
          </w:p>
        </w:tc>
        <w:tc>
          <w:tcPr>
            <w:tcW w:w="2021" w:type="dxa"/>
          </w:tcPr>
          <w:p w14:paraId="4335E102">
            <w:pPr>
              <w:pStyle w:val="28"/>
            </w:pPr>
            <w:r>
              <w:t>−3.96</w:t>
            </w:r>
          </w:p>
        </w:tc>
      </w:tr>
      <w:tr w14:paraId="40B273B3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884" w:type="dxa"/>
          </w:tcPr>
          <w:p w14:paraId="4B4ED900">
            <w:pPr>
              <w:pStyle w:val="28"/>
            </w:pPr>
            <w:r>
              <w:t>11</w:t>
            </w:r>
          </w:p>
        </w:tc>
        <w:tc>
          <w:tcPr>
            <w:tcW w:w="1243" w:type="dxa"/>
          </w:tcPr>
          <w:p w14:paraId="2AE7B6EF">
            <w:pPr>
              <w:pStyle w:val="28"/>
            </w:pPr>
            <w:r>
              <w:t>0.4514</w:t>
            </w:r>
          </w:p>
        </w:tc>
        <w:tc>
          <w:tcPr>
            <w:tcW w:w="1492" w:type="dxa"/>
          </w:tcPr>
          <w:p w14:paraId="1661B1D0">
            <w:pPr>
              <w:pStyle w:val="28"/>
            </w:pPr>
            <w:r>
              <w:t>0.7677</w:t>
            </w:r>
          </w:p>
        </w:tc>
        <w:tc>
          <w:tcPr>
            <w:tcW w:w="2021" w:type="dxa"/>
          </w:tcPr>
          <w:p w14:paraId="3CEF3AE0">
            <w:pPr>
              <w:pStyle w:val="28"/>
            </w:pPr>
            <w:r>
              <w:t>−2.74</w:t>
            </w:r>
          </w:p>
        </w:tc>
      </w:tr>
    </w:tbl>
    <w:p w14:paraId="190D6914">
      <w:pPr>
        <w:pStyle w:val="38"/>
        <w:keepNext/>
      </w:pPr>
      <w:r>
        <w:drawing>
          <wp:inline distT="0" distB="0" distL="0" distR="0">
            <wp:extent cx="5334000" cy="2912745"/>
            <wp:effectExtent l="0" t="0" r="0" b="0"/>
            <wp:docPr id="6" name="Picture" descr="图 5-5　P2 轻量微调 12 个 epoch 的训练损失与验证集 mIoU 走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图 5-5　P2 轻量微调 12 个 epoch 的训练损失与验证集 mIoU 走势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1329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84EFF2">
      <w:pPr>
        <w:pStyle w:val="36"/>
        <w:spacing w:before="80" w:after="200" w:line="420" w:lineRule="auto"/>
        <w:jc w:val="center"/>
      </w:pPr>
      <w:r>
        <w:rPr>
          <w:rFonts w:ascii="Times New Roman" w:hAnsi="Times New Roman" w:eastAsia="宋体" w:cs="Times New Roman"/>
          <w:sz w:val="21"/>
        </w:rPr>
        <w:t>图 5-5　P2 轻量微调 12 个 epoch 的训练损失与验证集 mIoU 走势</w:t>
      </w:r>
    </w:p>
    <w:p w14:paraId="30F5DBED">
      <w:pPr>
        <w:pStyle w:val="3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>训练损失自 0.5424 整体下降至 0.4514，而验证集 mIoU 自第 0 个 epoch 即由 0.7951 跌至 0.7700，全程在 0.7555–0.7785 区间震荡，未能回归零样本水平；最佳点出现在第 7 个 epoch（0.7785），此后回落。训练损失与验证指标的持续背离是本组实验最重要的形态证据。该实验的价值在于排除替代解释：学习率已降低两个数量级、骨干参数全部不更新、BN 统计量冻结，验证指标仍在第一个 epoch 内显著下跌，说明负收益的根源并非优化设置不当，而是“解码器向 VOC train 这 8284 张样本的分布窄化”这一分布偏移本身。与 5.3 中 r101_e13 的同口径中止点（0.7591）相比，本轮全程最低值（0.7555）与之接近，而冻结骨干使全程未跌破该水平，说明骨干冻结确实提供了保护，但无法弥补微调带来的损失。最终结论：在 8284 张训练数据的规模下，朝 VOC 域的任何参数更新都无法回收零样本权重已具备的泛化能力。</w:t>
      </w:r>
    </w:p>
    <w:p w14:paraId="6302D1BC">
      <w:pPr>
        <w:pStyle w:val="3"/>
        <w:spacing w:before="0" w:after="80" w:line="384" w:lineRule="auto"/>
        <w:jc w:val="both"/>
      </w:pPr>
      <w:r>
        <w:rPr>
          <w:rFonts w:ascii="Times New Roman" w:hAnsi="Times New Roman" w:eastAsia="宋体" w:cs="Times New Roman"/>
          <w:b/>
          <w:bCs/>
        </w:rPr>
        <w:t>（2）成员增补：单模型性能并非纳入集成的充分条件</w:t>
      </w:r>
    </w:p>
    <w:p w14:paraId="7E3513CD">
      <w:pPr>
        <w:pStyle w:val="3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 xml:space="preserve">该 run 的训练初期因外部资源原因于 epoch 2 中止，彼时仅存 e0/​e1 两个检查点（后恢复并完整跑满 12 个 epoch，见（1））。5.9 已证明单模型分数与集成价值并不挂钩（r101_e13 单模型仅 0.7591，却是最大的集成增量 +0.41），故取该 run 的 </w:t>
      </w:r>
      <w:r>
        <w:rPr>
          <w:rStyle w:val="39"/>
          <w:rFonts w:ascii="Times New Roman" w:hAnsi="Times New Roman" w:eastAsia="宋体" w:cs="Times New Roman"/>
          <w:sz w:val="24"/>
        </w:rPr>
        <w:t>best.pt</w:t>
      </w:r>
      <w:r>
        <w:rPr>
          <w:rFonts w:ascii="Times New Roman" w:hAnsi="Times New Roman" w:eastAsia="宋体" w:cs="Times New Roman"/>
        </w:rPr>
        <w:t xml:space="preserve">（e0，0.7690）作为候选成员，用 </w:t>
      </w:r>
      <w:r>
        <w:rPr>
          <w:rStyle w:val="39"/>
          <w:rFonts w:ascii="Times New Roman" w:hAnsi="Times New Roman" w:eastAsia="宋体" w:cs="Times New Roman"/>
          <w:sz w:val="24"/>
        </w:rPr>
        <w:t>cache_val_add.py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ascii="Times New Roman" w:hAnsi="Times New Roman" w:eastAsia="宋体" w:cs="Times New Roman"/>
          <w:b/>
          <w:bCs/>
        </w:rPr>
        <w:t>增量</w:t>
      </w:r>
      <w:r>
        <w:rPr>
          <w:rFonts w:ascii="Times New Roman" w:hAnsi="Times New Roman" w:eastAsia="宋体" w:cs="Times New Roman"/>
        </w:rPr>
        <w:t>缓存其 TTA 概率图（10.8 min，不重算其余 5 个成员），再在</w:t>
      </w:r>
      <w:r>
        <w:rPr>
          <w:rFonts w:ascii="Times New Roman" w:hAnsi="Times New Roman" w:eastAsia="宋体" w:cs="Times New Roman"/>
          <w:b/>
          <w:bCs/>
        </w:rPr>
        <w:t>六成员</w:t>
      </w:r>
      <w:r>
        <w:rPr>
          <w:rFonts w:ascii="Times New Roman" w:hAnsi="Times New Roman" w:eastAsia="宋体" w:cs="Times New Roman"/>
        </w:rPr>
        <w:t>空间做全子集扫描（2⁶−1 = 63 个子集等权 + 前 5 名权重坐标上升；半分辨率口径，与全精度实测偏差 ≤0.001），结果见表 5-16：</w:t>
      </w:r>
    </w:p>
    <w:p w14:paraId="55459F00">
      <w:pPr>
        <w:pStyle w:val="3"/>
        <w:keepNext/>
        <w:spacing w:before="80" w:after="200" w:line="420" w:lineRule="auto"/>
        <w:jc w:val="center"/>
      </w:pPr>
      <w:r>
        <w:rPr>
          <w:rFonts w:ascii="Times New Roman" w:hAnsi="Times New Roman" w:eastAsia="宋体" w:cs="Times New Roman"/>
          <w:bCs/>
          <w:sz w:val="21"/>
        </w:rPr>
        <w:t>表 5-16　六成员空间的子集扫描与权重寻优结果（均含 5 尺度 + 翻转 TTA，半分辨率口径）</w:t>
      </w:r>
    </w:p>
    <w:tbl>
      <w:tblPr>
        <w:tblStyle w:val="32"/>
        <w:tblW w:w="8640" w:type="dxa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8"/>
        <w:gridCol w:w="1550"/>
        <w:gridCol w:w="2432"/>
      </w:tblGrid>
      <w:tr w14:paraId="108113C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658" w:type="dxa"/>
            <w:tcBorders>
              <w:bottom w:val="single" w:color="000000" w:sz="6" w:space="0"/>
            </w:tcBorders>
            <w:vAlign w:val="bottom"/>
          </w:tcPr>
          <w:p w14:paraId="6AF1A2D5">
            <w:pPr>
              <w:pStyle w:val="28"/>
            </w:pPr>
            <w:r>
              <w:t>配置（均含 5 尺度 + 翻转 TTA）</w:t>
            </w:r>
          </w:p>
        </w:tc>
        <w:tc>
          <w:tcPr>
            <w:tcW w:w="1550" w:type="dxa"/>
            <w:tcBorders>
              <w:bottom w:val="single" w:color="000000" w:sz="6" w:space="0"/>
            </w:tcBorders>
            <w:vAlign w:val="bottom"/>
          </w:tcPr>
          <w:p w14:paraId="5300AB6E">
            <w:pPr>
              <w:pStyle w:val="28"/>
            </w:pPr>
            <w:r>
              <w:t>半分辨率 mIoU21</w:t>
            </w:r>
          </w:p>
        </w:tc>
        <w:tc>
          <w:tcPr>
            <w:tcW w:w="2432" w:type="dxa"/>
            <w:tcBorders>
              <w:bottom w:val="single" w:color="000000" w:sz="6" w:space="0"/>
            </w:tcBorders>
            <w:vAlign w:val="bottom"/>
          </w:tcPr>
          <w:p w14:paraId="5BBD8415">
            <w:pPr>
              <w:pStyle w:val="28"/>
            </w:pPr>
            <w:r>
              <w:t>相对 4 模型</w:t>
            </w:r>
          </w:p>
        </w:tc>
      </w:tr>
      <w:tr w14:paraId="0F5AF3B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58" w:type="dxa"/>
          </w:tcPr>
          <w:p w14:paraId="42DFFC87">
            <w:pPr>
              <w:pStyle w:val="28"/>
            </w:pPr>
            <w:r>
              <w:rPr>
                <w:b/>
                <w:bCs/>
              </w:rPr>
              <w:t>4 模型等权（当前提交的成员构成）</w:t>
            </w:r>
          </w:p>
        </w:tc>
        <w:tc>
          <w:tcPr>
            <w:tcW w:w="1550" w:type="dxa"/>
          </w:tcPr>
          <w:p w14:paraId="25E794F8">
            <w:pPr>
              <w:pStyle w:val="28"/>
            </w:pPr>
            <w:r>
              <w:rPr>
                <w:b/>
                <w:bCs/>
              </w:rPr>
              <w:t>0.8179</w:t>
            </w:r>
          </w:p>
        </w:tc>
        <w:tc>
          <w:tcPr>
            <w:tcW w:w="2432" w:type="dxa"/>
          </w:tcPr>
          <w:p w14:paraId="404AC456">
            <w:pPr>
              <w:pStyle w:val="28"/>
            </w:pPr>
            <w:r>
              <w:t>—</w:t>
            </w:r>
          </w:p>
        </w:tc>
      </w:tr>
      <w:tr w14:paraId="4DB005C2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58" w:type="dxa"/>
          </w:tcPr>
          <w:p w14:paraId="2F441FC7">
            <w:pPr>
              <w:pStyle w:val="28"/>
            </w:pPr>
            <w:r>
              <w:t>4 模型 + p2_e0</w:t>
            </w:r>
          </w:p>
        </w:tc>
        <w:tc>
          <w:tcPr>
            <w:tcW w:w="1550" w:type="dxa"/>
          </w:tcPr>
          <w:p w14:paraId="6383D189">
            <w:pPr>
              <w:pStyle w:val="28"/>
            </w:pPr>
            <w:r>
              <w:t>0.8169</w:t>
            </w:r>
          </w:p>
        </w:tc>
        <w:tc>
          <w:tcPr>
            <w:tcW w:w="2432" w:type="dxa"/>
          </w:tcPr>
          <w:p w14:paraId="530A501B">
            <w:pPr>
              <w:pStyle w:val="28"/>
            </w:pPr>
            <w:r>
              <w:rPr>
                <w:b/>
                <w:bCs/>
              </w:rPr>
              <w:t>−0.10</w:t>
            </w:r>
          </w:p>
        </w:tc>
      </w:tr>
      <w:tr w14:paraId="01A6858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58" w:type="dxa"/>
          </w:tcPr>
          <w:p w14:paraId="74D9B72B">
            <w:pPr>
              <w:pStyle w:val="28"/>
            </w:pPr>
            <w:r>
              <w:t>全部 6 成员</w:t>
            </w:r>
          </w:p>
        </w:tc>
        <w:tc>
          <w:tcPr>
            <w:tcW w:w="1550" w:type="dxa"/>
          </w:tcPr>
          <w:p w14:paraId="5F54E8B3">
            <w:pPr>
              <w:pStyle w:val="28"/>
            </w:pPr>
            <w:r>
              <w:t>0.8161</w:t>
            </w:r>
          </w:p>
        </w:tc>
        <w:tc>
          <w:tcPr>
            <w:tcW w:w="2432" w:type="dxa"/>
          </w:tcPr>
          <w:p w14:paraId="57701370">
            <w:pPr>
              <w:pStyle w:val="28"/>
            </w:pPr>
            <w:r>
              <w:t>−0.18</w:t>
            </w:r>
          </w:p>
        </w:tc>
      </w:tr>
      <w:tr w14:paraId="396DFC8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58" w:type="dxa"/>
          </w:tcPr>
          <w:p w14:paraId="6C5E7891">
            <w:pPr>
              <w:pStyle w:val="28"/>
            </w:pPr>
            <w:r>
              <w:t>5 成员（4 模型 + lfca_res）</w:t>
            </w:r>
          </w:p>
        </w:tc>
        <w:tc>
          <w:tcPr>
            <w:tcW w:w="1550" w:type="dxa"/>
          </w:tcPr>
          <w:p w14:paraId="7F4446AA">
            <w:pPr>
              <w:pStyle w:val="28"/>
            </w:pPr>
            <w:r>
              <w:t>0.8141</w:t>
            </w:r>
          </w:p>
        </w:tc>
        <w:tc>
          <w:tcPr>
            <w:tcW w:w="2432" w:type="dxa"/>
          </w:tcPr>
          <w:p w14:paraId="7957D407">
            <w:pPr>
              <w:pStyle w:val="28"/>
            </w:pPr>
            <w:r>
              <w:t>−0.38</w:t>
            </w:r>
          </w:p>
        </w:tc>
      </w:tr>
      <w:tr w14:paraId="30F5FE3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58" w:type="dxa"/>
          </w:tcPr>
          <w:p w14:paraId="4B7D240D">
            <w:pPr>
              <w:pStyle w:val="28"/>
            </w:pPr>
            <w:r>
              <w:t>p2_e0 单模型</w:t>
            </w:r>
          </w:p>
        </w:tc>
        <w:tc>
          <w:tcPr>
            <w:tcW w:w="1550" w:type="dxa"/>
          </w:tcPr>
          <w:p w14:paraId="1ADCE73C">
            <w:pPr>
              <w:pStyle w:val="28"/>
            </w:pPr>
            <w:r>
              <w:t>0.7856</w:t>
            </w:r>
          </w:p>
        </w:tc>
        <w:tc>
          <w:tcPr>
            <w:tcW w:w="2432" w:type="dxa"/>
          </w:tcPr>
          <w:p w14:paraId="279F9A7A">
            <w:pPr>
              <w:pStyle w:val="28"/>
            </w:pPr>
            <w:r>
              <w:t>—</w:t>
            </w:r>
          </w:p>
        </w:tc>
      </w:tr>
      <w:tr w14:paraId="76E0C40D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58" w:type="dxa"/>
          </w:tcPr>
          <w:p w14:paraId="68260075">
            <w:pPr>
              <w:pStyle w:val="28"/>
            </w:pPr>
            <w:r>
              <w:t>权重寻优最优：zs_r50×1 + zs_r101×1.25 + sbd_lfca×1 + r101_e13×1</w:t>
            </w:r>
          </w:p>
        </w:tc>
        <w:tc>
          <w:tcPr>
            <w:tcW w:w="1550" w:type="dxa"/>
          </w:tcPr>
          <w:p w14:paraId="14EC741B">
            <w:pPr>
              <w:pStyle w:val="28"/>
            </w:pPr>
            <w:r>
              <w:rPr>
                <w:b/>
                <w:bCs/>
              </w:rPr>
              <w:t>0.8190</w:t>
            </w:r>
          </w:p>
        </w:tc>
        <w:tc>
          <w:tcPr>
            <w:tcW w:w="2432" w:type="dxa"/>
          </w:tcPr>
          <w:p w14:paraId="4E2EDCFD">
            <w:pPr>
              <w:pStyle w:val="28"/>
            </w:pPr>
            <w:r>
              <w:t>与提交版一致（全精度 0.8195）</w:t>
            </w:r>
          </w:p>
        </w:tc>
      </w:tr>
      <w:tr w14:paraId="5F047156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658" w:type="dxa"/>
          </w:tcPr>
          <w:p w14:paraId="27CE2760">
            <w:pPr>
              <w:pStyle w:val="28"/>
            </w:pPr>
            <w:r>
              <w:t>含 p2_e0 的最优组合（p2_e0×0.75，权重寻优第 2 名）</w:t>
            </w:r>
          </w:p>
        </w:tc>
        <w:tc>
          <w:tcPr>
            <w:tcW w:w="1550" w:type="dxa"/>
          </w:tcPr>
          <w:p w14:paraId="2AC96312">
            <w:pPr>
              <w:pStyle w:val="28"/>
            </w:pPr>
            <w:r>
              <w:t>0.8183</w:t>
            </w:r>
          </w:p>
        </w:tc>
        <w:tc>
          <w:tcPr>
            <w:tcW w:w="2432" w:type="dxa"/>
          </w:tcPr>
          <w:p w14:paraId="0AEA712D">
            <w:pPr>
              <w:pStyle w:val="28"/>
            </w:pPr>
            <w:r>
              <w:t>−0.07</w:t>
            </w:r>
          </w:p>
        </w:tc>
      </w:tr>
    </w:tbl>
    <w:p w14:paraId="487CCD9A">
      <w:pPr>
        <w:pStyle w:val="3"/>
        <w:spacing w:before="16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>结论十分明确：</w:t>
      </w:r>
      <w:r>
        <w:rPr>
          <w:rFonts w:ascii="Times New Roman" w:hAnsi="Times New Roman" w:eastAsia="宋体" w:cs="Times New Roman"/>
          <w:b/>
          <w:bCs/>
        </w:rPr>
        <w:t>p2_e0 在每一个包含它的子集中都劣于去掉它的同一子集</w:t>
      </w:r>
      <w:r>
        <w:rPr>
          <w:rFonts w:ascii="Times New Roman" w:hAnsi="Times New Roman" w:eastAsia="宋体" w:cs="Times New Roman"/>
        </w:rPr>
        <w:t>，权重寻优的最优解与已提交配置完全相同（半分辨率 0.8190 ↔ 全精度 0.8195，口径自洽）。这说明它与既有成员的错误模式</w:t>
      </w:r>
      <w:r>
        <w:rPr>
          <w:rFonts w:ascii="Times New Roman" w:hAnsi="Times New Roman" w:eastAsia="宋体" w:cs="Times New Roman"/>
          <w:b/>
          <w:bCs/>
        </w:rPr>
        <w:t>互补性不足</w:t>
      </w:r>
      <w:r>
        <w:rPr>
          <w:rFonts w:ascii="Times New Roman" w:hAnsi="Times New Roman" w:eastAsia="宋体" w:cs="Times New Roman"/>
        </w:rPr>
        <w:t>——它毕竟是从 zs_r101 出发、仅做了两轮朝 VOC 域的偏移，与 zs_r101 高度同源，而同源冗余在 5.9 中已被证明会被惩罚（lfca_res 仅 +0.19，六成员全家桶反而更低）。</w:t>
      </w:r>
    </w:p>
    <w:p w14:paraId="76E87338">
      <w:pPr>
        <w:pStyle w:val="3"/>
        <w:spacing w:before="0" w:after="80" w:line="384" w:lineRule="auto"/>
        <w:jc w:val="both"/>
      </w:pPr>
      <w:r>
        <w:rPr>
          <w:rFonts w:ascii="Times New Roman" w:hAnsi="Times New Roman" w:eastAsia="宋体" w:cs="Times New Roman"/>
          <w:b/>
          <w:bCs/>
        </w:rPr>
        <w:t>（3）最终判断</w:t>
      </w:r>
    </w:p>
    <w:p w14:paraId="4E992939">
      <w:pPr>
        <w:pStyle w:val="3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>微调与成员增补两条路径同时给出负结果，互相印证同一结论：</w:t>
      </w:r>
      <w:r>
        <w:rPr>
          <w:rStyle w:val="39"/>
          <w:rFonts w:ascii="Times New Roman" w:hAnsi="Times New Roman" w:eastAsia="宋体" w:cs="Times New Roman"/>
          <w:sz w:val="24"/>
        </w:rPr>
        <w:t>COCO_WITH_VOC_LABELS_V1</w:t>
      </w:r>
      <w:r>
        <w:rPr>
          <w:rFonts w:ascii="Times New Roman" w:hAnsi="Times New Roman" w:eastAsia="宋体" w:cs="Times New Roman"/>
        </w:rPr>
        <w:t xml:space="preserve"> 这组权重在本任务的数据量（8284 张）下已接近该架构的有效上限，任何朝 VOC train 方向的参数更新只会收窄判别边界，而</w:t>
      </w:r>
      <w:r>
        <w:rPr>
          <w:rFonts w:ascii="Times New Roman" w:hAnsi="Times New Roman" w:eastAsia="宋体" w:cs="Times New Roman"/>
          <w:b/>
          <w:bCs/>
        </w:rPr>
        <w:t>集成所需的多样性只能来自架构、数据或训练历史层面的差异，不能来自同一权重的进一步微调</w:t>
      </w:r>
      <w:r>
        <w:rPr>
          <w:rFonts w:ascii="Times New Roman" w:hAnsi="Times New Roman" w:eastAsia="宋体" w:cs="Times New Roman"/>
        </w:rPr>
        <w:t>。因此 P2 实验作为负结果保留（</w:t>
      </w:r>
      <w:r>
        <w:rPr>
          <w:rStyle w:val="39"/>
          <w:rFonts w:ascii="Times New Roman" w:hAnsi="Times New Roman" w:eastAsia="宋体" w:cs="Times New Roman"/>
          <w:sz w:val="24"/>
        </w:rPr>
        <w:t>runs/​zs_lfca_r101_lowlr/</w:t>
      </w:r>
      <w:r>
        <w:rPr>
          <w:rFonts w:ascii="Times New Roman" w:hAnsi="Times New Roman" w:eastAsia="宋体" w:cs="Times New Roman"/>
        </w:rPr>
        <w:t>，全程最佳 epoch 7，val mIoU 0.7785，完整 12 轮曲线见表 5-15 与图 5-5），</w:t>
      </w:r>
      <w:r>
        <w:rPr>
          <w:rFonts w:ascii="Times New Roman" w:hAnsi="Times New Roman" w:eastAsia="宋体" w:cs="Times New Roman"/>
          <w:b/>
          <w:bCs/>
        </w:rPr>
        <w:t>最终提交仍为 4 模型加权集成 0.8195</w:t>
      </w:r>
      <w:r>
        <w:rPr>
          <w:rFonts w:ascii="Times New Roman" w:hAnsi="Times New Roman" w:eastAsia="宋体" w:cs="Times New Roman"/>
        </w:rPr>
        <w:t>，不做任何改动。</w:t>
      </w:r>
    </w:p>
    <w:bookmarkEnd w:id="50"/>
    <w:p w14:paraId="64CF4F8A">
      <w:pPr>
        <w:pStyle w:val="5"/>
        <w:keepNext/>
        <w:spacing w:before="240" w:after="120" w:line="312" w:lineRule="auto"/>
      </w:pPr>
      <w:bookmarkStart w:id="51" w:name="_Toc243935468"/>
      <w:bookmarkStart w:id="52" w:name="其余负结果的汇总与交叉验证"/>
      <w:r>
        <w:rPr>
          <w:rFonts w:ascii="Times New Roman" w:hAnsi="Times New Roman" w:eastAsia="黑体" w:cs="Times New Roman"/>
        </w:rPr>
        <w:t>5.13 其余负结果的汇总与交叉验证</w:t>
      </w:r>
      <w:bookmarkEnd w:id="51"/>
    </w:p>
    <w:p w14:paraId="002B4730">
      <w:pPr>
        <w:pStyle w:val="27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>前述各节已分别记录若干未获采纳的实验方向。本节将其余结果统一列出，并说明其共同的验证方法。</w:t>
      </w:r>
    </w:p>
    <w:p w14:paraId="1756BF0D">
      <w:pPr>
        <w:pStyle w:val="3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  <w:b/>
          <w:bCs/>
        </w:rPr>
        <w:t>验证方法：奇偶半交叉验证。</w:t>
      </w:r>
      <w:r>
        <w:rPr>
          <w:rFonts w:ascii="Times New Roman" w:hAnsi="Times New Roman" w:eastAsia="宋体" w:cs="Times New Roman"/>
        </w:rPr>
        <w:t xml:space="preserve"> 上述优化均需在数据上选取配置（成员权重、阈值、偏置等）；若选择与测量使用同一批图像，所得增益将包含对验证集的选择性过拟合，不可信。因此将 VOC val 按图像编号奇偶分为两半：奇数号 724 张用于拟合与选择，偶数号 725 张全程不参与选择、仅用于最终测量。凡在拟合半上取得的增益，若无法在 held-out 半上复现，即判定为过拟合噪声，不予采纳。拟合半的基准（4 模型加权算术平均）为 0.8230，held-out 半为 0.8137。</w:t>
      </w:r>
    </w:p>
    <w:p w14:paraId="75EC1B8E">
      <w:pPr>
        <w:pStyle w:val="3"/>
        <w:keepNext/>
        <w:spacing w:before="80" w:after="200" w:line="420" w:lineRule="auto"/>
        <w:jc w:val="center"/>
      </w:pPr>
      <w:r>
        <w:rPr>
          <w:rFonts w:ascii="Times New Roman" w:hAnsi="Times New Roman" w:eastAsia="宋体" w:cs="Times New Roman"/>
          <w:bCs/>
          <w:sz w:val="21"/>
        </w:rPr>
        <w:t>表 5-17　其余优化方向的交叉验证结果（单位：mIoU 点，Δ 相对同半基准）</w:t>
      </w:r>
    </w:p>
    <w:tbl>
      <w:tblPr>
        <w:tblStyle w:val="32"/>
        <w:tblW w:w="8640" w:type="dxa"/>
        <w:tblInd w:w="0" w:type="dxa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2"/>
        <w:gridCol w:w="4384"/>
        <w:gridCol w:w="1353"/>
        <w:gridCol w:w="1668"/>
        <w:gridCol w:w="703"/>
      </w:tblGrid>
      <w:tr w14:paraId="6D41676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32" w:type="dxa"/>
            <w:tcBorders>
              <w:bottom w:val="single" w:color="000000" w:sz="6" w:space="0"/>
            </w:tcBorders>
            <w:vAlign w:val="bottom"/>
          </w:tcPr>
          <w:p w14:paraId="7DEA09E1">
            <w:pPr>
              <w:pStyle w:val="28"/>
            </w:pPr>
            <w:r>
              <w:t>编号</w:t>
            </w:r>
          </w:p>
        </w:tc>
        <w:tc>
          <w:tcPr>
            <w:tcW w:w="4384" w:type="dxa"/>
            <w:tcBorders>
              <w:bottom w:val="single" w:color="000000" w:sz="6" w:space="0"/>
            </w:tcBorders>
            <w:vAlign w:val="bottom"/>
          </w:tcPr>
          <w:p w14:paraId="1689F35A">
            <w:pPr>
              <w:pStyle w:val="28"/>
            </w:pPr>
            <w:r>
              <w:t>优化方向</w:t>
            </w:r>
          </w:p>
        </w:tc>
        <w:tc>
          <w:tcPr>
            <w:tcW w:w="1353" w:type="dxa"/>
            <w:tcBorders>
              <w:bottom w:val="single" w:color="000000" w:sz="6" w:space="0"/>
            </w:tcBorders>
            <w:vAlign w:val="bottom"/>
          </w:tcPr>
          <w:p w14:paraId="45498BDA">
            <w:pPr>
              <w:pStyle w:val="28"/>
            </w:pPr>
            <w:r>
              <w:t>拟合半 Δ（724 张）</w:t>
            </w:r>
          </w:p>
        </w:tc>
        <w:tc>
          <w:tcPr>
            <w:tcW w:w="1668" w:type="dxa"/>
            <w:tcBorders>
              <w:bottom w:val="single" w:color="000000" w:sz="6" w:space="0"/>
            </w:tcBorders>
            <w:vAlign w:val="bottom"/>
          </w:tcPr>
          <w:p w14:paraId="318700F7">
            <w:pPr>
              <w:pStyle w:val="28"/>
            </w:pPr>
            <w:r>
              <w:t>held-out Δ（725 张）</w:t>
            </w:r>
          </w:p>
        </w:tc>
        <w:tc>
          <w:tcPr>
            <w:tcW w:w="703" w:type="dxa"/>
            <w:tcBorders>
              <w:bottom w:val="single" w:color="000000" w:sz="6" w:space="0"/>
            </w:tcBorders>
            <w:vAlign w:val="bottom"/>
          </w:tcPr>
          <w:p w14:paraId="233CC43F">
            <w:pPr>
              <w:pStyle w:val="28"/>
            </w:pPr>
            <w:r>
              <w:t>判定</w:t>
            </w:r>
          </w:p>
        </w:tc>
      </w:tr>
      <w:tr w14:paraId="3C76DDE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2" w:type="dxa"/>
          </w:tcPr>
          <w:p w14:paraId="01297F77">
            <w:pPr>
              <w:pStyle w:val="28"/>
            </w:pPr>
            <w:r>
              <w:t>1</w:t>
            </w:r>
          </w:p>
        </w:tc>
        <w:tc>
          <w:tcPr>
            <w:tcW w:w="4384" w:type="dxa"/>
          </w:tcPr>
          <w:p w14:paraId="300BBAFE">
            <w:pPr>
              <w:pStyle w:val="28"/>
            </w:pPr>
            <w:r>
              <w:t>异构零样本成员替换（FCN-R101/R50、MobileNetV3、LR-ASPP 共 4 种，一进一出）</w:t>
            </w:r>
          </w:p>
        </w:tc>
        <w:tc>
          <w:tcPr>
            <w:tcW w:w="1353" w:type="dxa"/>
          </w:tcPr>
          <w:p w14:paraId="4D11760B">
            <w:pPr>
              <w:pStyle w:val="28"/>
            </w:pPr>
            <w:r>
              <w:t>最优 +0.54</w:t>
            </w:r>
          </w:p>
        </w:tc>
        <w:tc>
          <w:tcPr>
            <w:tcW w:w="1668" w:type="dxa"/>
          </w:tcPr>
          <w:p w14:paraId="31EA6C2F">
            <w:pPr>
              <w:pStyle w:val="28"/>
            </w:pPr>
            <w:r>
              <w:t>+0.18</w:t>
            </w:r>
          </w:p>
        </w:tc>
        <w:tc>
          <w:tcPr>
            <w:tcW w:w="703" w:type="dxa"/>
          </w:tcPr>
          <w:p w14:paraId="094523B0">
            <w:pPr>
              <w:pStyle w:val="28"/>
            </w:pPr>
            <w:r>
              <w:t>不采用</w:t>
            </w:r>
          </w:p>
        </w:tc>
      </w:tr>
      <w:tr w14:paraId="3A0AF4B4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2" w:type="dxa"/>
          </w:tcPr>
          <w:p w14:paraId="372B748E">
            <w:pPr>
              <w:pStyle w:val="28"/>
            </w:pPr>
            <w:r>
              <w:t>2</w:t>
            </w:r>
          </w:p>
        </w:tc>
        <w:tc>
          <w:tcPr>
            <w:tcW w:w="4384" w:type="dxa"/>
          </w:tcPr>
          <w:p w14:paraId="192347AD">
            <w:pPr>
              <w:pStyle w:val="28"/>
            </w:pPr>
            <w:r>
              <w:t>异构零样本成员增补（加入 4 模型集成）</w:t>
            </w:r>
          </w:p>
        </w:tc>
        <w:tc>
          <w:tcPr>
            <w:tcW w:w="1353" w:type="dxa"/>
          </w:tcPr>
          <w:p w14:paraId="79817463">
            <w:pPr>
              <w:pStyle w:val="28"/>
            </w:pPr>
            <w:r>
              <w:t>0.00</w:t>
            </w:r>
          </w:p>
        </w:tc>
        <w:tc>
          <w:tcPr>
            <w:tcW w:w="1668" w:type="dxa"/>
          </w:tcPr>
          <w:p w14:paraId="765AF12C">
            <w:pPr>
              <w:pStyle w:val="28"/>
            </w:pPr>
            <w:r>
              <w:t>0.00</w:t>
            </w:r>
          </w:p>
        </w:tc>
        <w:tc>
          <w:tcPr>
            <w:tcW w:w="703" w:type="dxa"/>
          </w:tcPr>
          <w:p w14:paraId="19E324E4">
            <w:pPr>
              <w:pStyle w:val="28"/>
            </w:pPr>
            <w:r>
              <w:t>无增益</w:t>
            </w:r>
          </w:p>
        </w:tc>
      </w:tr>
      <w:tr w14:paraId="28E216F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2" w:type="dxa"/>
          </w:tcPr>
          <w:p w14:paraId="515A67DE">
            <w:pPr>
              <w:pStyle w:val="28"/>
            </w:pPr>
            <w:r>
              <w:t>3</w:t>
            </w:r>
          </w:p>
        </w:tc>
        <w:tc>
          <w:tcPr>
            <w:tcW w:w="4384" w:type="dxa"/>
          </w:tcPr>
          <w:p w14:paraId="144F9E9F">
            <w:pPr>
              <w:pStyle w:val="28"/>
            </w:pPr>
            <w:r>
              <w:t>单成员温度校准（p^0.75 / p^1.5，8 组）</w:t>
            </w:r>
          </w:p>
        </w:tc>
        <w:tc>
          <w:tcPr>
            <w:tcW w:w="1353" w:type="dxa"/>
          </w:tcPr>
          <w:p w14:paraId="4D84ED9D">
            <w:pPr>
              <w:pStyle w:val="28"/>
            </w:pPr>
            <w:r>
              <w:t>≤ ±0.04</w:t>
            </w:r>
          </w:p>
        </w:tc>
        <w:tc>
          <w:tcPr>
            <w:tcW w:w="1668" w:type="dxa"/>
          </w:tcPr>
          <w:p w14:paraId="7F9C6E2F">
            <w:pPr>
              <w:pStyle w:val="28"/>
            </w:pPr>
            <w:r>
              <w:t>噪声级，未进入复核</w:t>
            </w:r>
          </w:p>
        </w:tc>
        <w:tc>
          <w:tcPr>
            <w:tcW w:w="703" w:type="dxa"/>
          </w:tcPr>
          <w:p w14:paraId="2F3BEC39">
            <w:pPr>
              <w:pStyle w:val="28"/>
            </w:pPr>
            <w:r>
              <w:t>不采用</w:t>
            </w:r>
          </w:p>
        </w:tc>
      </w:tr>
      <w:tr w14:paraId="52B5E225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2" w:type="dxa"/>
          </w:tcPr>
          <w:p w14:paraId="04977D17">
            <w:pPr>
              <w:pStyle w:val="28"/>
            </w:pPr>
            <w:r>
              <w:t>4</w:t>
            </w:r>
          </w:p>
        </w:tc>
        <w:tc>
          <w:tcPr>
            <w:tcW w:w="4384" w:type="dxa"/>
          </w:tcPr>
          <w:p w14:paraId="42A684CA">
            <w:pPr>
              <w:pStyle w:val="28"/>
            </w:pPr>
            <w:r>
              <w:t>聚合范数替换（几何/二次/中位数/调和/最大）</w:t>
            </w:r>
          </w:p>
        </w:tc>
        <w:tc>
          <w:tcPr>
            <w:tcW w:w="1353" w:type="dxa"/>
          </w:tcPr>
          <w:p w14:paraId="09412462">
            <w:pPr>
              <w:pStyle w:val="28"/>
            </w:pPr>
            <w:r>
              <w:t>中位数 +0.13</w:t>
            </w:r>
          </w:p>
        </w:tc>
        <w:tc>
          <w:tcPr>
            <w:tcW w:w="1668" w:type="dxa"/>
          </w:tcPr>
          <w:p w14:paraId="231D85C4">
            <w:pPr>
              <w:pStyle w:val="28"/>
            </w:pPr>
            <w:r>
              <w:rPr>
                <w:b/>
                <w:bCs/>
              </w:rPr>
              <w:t>+0.0001</w:t>
            </w:r>
            <w:r>
              <w:t>（最大 −0.39）</w:t>
            </w:r>
          </w:p>
        </w:tc>
        <w:tc>
          <w:tcPr>
            <w:tcW w:w="703" w:type="dxa"/>
          </w:tcPr>
          <w:p w14:paraId="3EA17297">
            <w:pPr>
              <w:pStyle w:val="28"/>
            </w:pPr>
            <w:r>
              <w:t>不采用</w:t>
            </w:r>
          </w:p>
        </w:tc>
      </w:tr>
      <w:tr w14:paraId="5922583F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2" w:type="dxa"/>
          </w:tcPr>
          <w:p w14:paraId="26B196BC">
            <w:pPr>
              <w:pStyle w:val="28"/>
            </w:pPr>
            <w:r>
              <w:t>5</w:t>
            </w:r>
          </w:p>
        </w:tc>
        <w:tc>
          <w:tcPr>
            <w:tcW w:w="4384" w:type="dxa"/>
          </w:tcPr>
          <w:p w14:paraId="05F0765A">
            <w:pPr>
              <w:pStyle w:val="28"/>
            </w:pPr>
            <w:r>
              <w:t>引导滤波后处理（DenseCRF 廉价替代）</w:t>
            </w:r>
          </w:p>
        </w:tc>
        <w:tc>
          <w:tcPr>
            <w:tcW w:w="1353" w:type="dxa"/>
          </w:tcPr>
          <w:p w14:paraId="74F91C2E">
            <w:pPr>
              <w:pStyle w:val="28"/>
            </w:pPr>
            <w:r>
              <w:t>r=2 −0.11</w:t>
            </w:r>
          </w:p>
        </w:tc>
        <w:tc>
          <w:tcPr>
            <w:tcW w:w="1668" w:type="dxa"/>
          </w:tcPr>
          <w:p w14:paraId="13BB077A">
            <w:pPr>
              <w:pStyle w:val="28"/>
            </w:pPr>
            <w:r>
              <w:t>r=2 −0.07，r=4 −0.39</w:t>
            </w:r>
          </w:p>
        </w:tc>
        <w:tc>
          <w:tcPr>
            <w:tcW w:w="703" w:type="dxa"/>
          </w:tcPr>
          <w:p w14:paraId="091A830E">
            <w:pPr>
              <w:pStyle w:val="28"/>
            </w:pPr>
            <w:r>
              <w:t>单调有害</w:t>
            </w:r>
          </w:p>
        </w:tc>
      </w:tr>
      <w:tr w14:paraId="31A669FC"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32" w:type="dxa"/>
          </w:tcPr>
          <w:p w14:paraId="15A05084">
            <w:pPr>
              <w:pStyle w:val="28"/>
            </w:pPr>
            <w:r>
              <w:t>6</w:t>
            </w:r>
          </w:p>
        </w:tc>
        <w:tc>
          <w:tcPr>
            <w:tcW w:w="4384" w:type="dxa"/>
          </w:tcPr>
          <w:p w14:paraId="423D9372">
            <w:pPr>
              <w:pStyle w:val="28"/>
            </w:pPr>
            <w:r>
              <w:t>逐类 logit 偏置拟合（16 个前景类）</w:t>
            </w:r>
          </w:p>
        </w:tc>
        <w:tc>
          <w:tcPr>
            <w:tcW w:w="1353" w:type="dxa"/>
          </w:tcPr>
          <w:p w14:paraId="4F4E5ECB">
            <w:pPr>
              <w:pStyle w:val="28"/>
            </w:pPr>
            <w:r>
              <w:t>+1.50</w:t>
            </w:r>
          </w:p>
        </w:tc>
        <w:tc>
          <w:tcPr>
            <w:tcW w:w="1668" w:type="dxa"/>
          </w:tcPr>
          <w:p w14:paraId="0C977E8C">
            <w:pPr>
              <w:pStyle w:val="28"/>
            </w:pPr>
            <w:r>
              <w:rPr>
                <w:b/>
                <w:bCs/>
              </w:rPr>
              <w:t>−2.13</w:t>
            </w:r>
          </w:p>
        </w:tc>
        <w:tc>
          <w:tcPr>
            <w:tcW w:w="703" w:type="dxa"/>
          </w:tcPr>
          <w:p w14:paraId="2ADE6A72">
            <w:pPr>
              <w:pStyle w:val="28"/>
            </w:pPr>
            <w:r>
              <w:t>显著有害</w:t>
            </w:r>
          </w:p>
        </w:tc>
      </w:tr>
    </w:tbl>
    <w:p w14:paraId="583CC8D4">
      <w:pPr>
        <w:pStyle w:val="38"/>
        <w:keepNext/>
      </w:pPr>
      <w:r>
        <w:drawing>
          <wp:inline distT="0" distB="0" distL="0" distR="0">
            <wp:extent cx="5334000" cy="2663190"/>
            <wp:effectExtent l="0" t="0" r="0" b="0"/>
            <wp:docPr id="7" name="Picture" descr="图 5-6　各优化方向在拟合半与 held-out 半上的 mIoU 增量对比（灰色虚线为无增益基线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" descr="图 5-6　各优化方向在拟合半与 held-out 半上的 mIoU 增量对比（灰色虚线为无增益基线）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6367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F15684">
      <w:pPr>
        <w:pStyle w:val="36"/>
        <w:spacing w:before="80" w:after="200" w:line="420" w:lineRule="auto"/>
        <w:jc w:val="center"/>
      </w:pPr>
      <w:r>
        <w:rPr>
          <w:rFonts w:ascii="Times New Roman" w:hAnsi="Times New Roman" w:eastAsia="宋体" w:cs="Times New Roman"/>
          <w:sz w:val="21"/>
        </w:rPr>
        <w:t>图 5-6　各优化方向在拟合半与 held-out 半上的 mIoU 增量对比（深灰竖线为无增益基线 Δ=0）</w:t>
      </w:r>
    </w:p>
    <w:p w14:paraId="7B90D633">
      <w:pPr>
        <w:pStyle w:val="3"/>
        <w:spacing w:before="0" w:after="80" w:line="384" w:lineRule="auto"/>
        <w:jc w:val="both"/>
      </w:pPr>
      <w:r>
        <w:rPr>
          <w:rFonts w:ascii="Times New Roman" w:hAnsi="Times New Roman" w:eastAsia="宋体" w:cs="Times New Roman"/>
          <w:b/>
          <w:bCs/>
        </w:rPr>
        <w:t>（1）异构零样本成员（表 5-17 第 1、2 行）</w:t>
      </w:r>
    </w:p>
    <w:p w14:paraId="7E7650F8">
      <w:pPr>
        <w:pStyle w:val="3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>缓存了 FCN-ResNet101、FCN-ResNet50、DeepLabV3-MobileNetV3-Large、LR-ASPP-MobileNetV3-Large 四种异构零样本架构的 TTA 概率图，先在 4 成员空间做 16 种一进一出替换，再做增补扫描。拟合半上最优替换（zs_r50 → FCN-R101）达 +0.54，held-out 半仅 +0.18，未达到既定的全精度复核门槛；增补扫描中，两种 ResNet 架构的增益为 0.00，两种 MobileNet 架构则为负（−0.72 / −0.75）。进一步地，以 FCN-R101 权重 0.75 加入 4 模型集成做全精度复核，mIoU 为 0.8204，相对当前提交（0.8195）仅 +0.09，且所有替换组合均为负。异构架构虽带来了新的错误模式，但其单模型性能明显低于 DeepLabV3 系列，在加权平均中被稀释，净增益不足以抵偿选择偏差的风险。</w:t>
      </w:r>
    </w:p>
    <w:p w14:paraId="1C0D3068">
      <w:pPr>
        <w:pStyle w:val="3"/>
        <w:spacing w:before="0" w:after="80" w:line="384" w:lineRule="auto"/>
        <w:jc w:val="both"/>
      </w:pPr>
      <w:r>
        <w:rPr>
          <w:rFonts w:ascii="Times New Roman" w:hAnsi="Times New Roman" w:eastAsia="宋体" w:cs="Times New Roman"/>
          <w:b/>
          <w:bCs/>
        </w:rPr>
        <w:t>（2）温度校准与聚合范数（第 3、4 行）</w:t>
      </w:r>
    </w:p>
    <w:p w14:paraId="4106D86D">
      <w:pPr>
        <w:pStyle w:val="3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 xml:space="preserve">对集成概率图做 </w:t>
      </w:r>
      <w:r>
        <w:rPr>
          <w:rStyle w:val="39"/>
          <w:rFonts w:ascii="Times New Roman" w:hAnsi="Times New Roman" w:eastAsia="宋体" w:cs="Times New Roman"/>
          <w:sz w:val="24"/>
        </w:rPr>
        <w:t>p^γ</w:t>
      </w:r>
      <w:r>
        <w:rPr>
          <w:rFonts w:ascii="Times New Roman" w:hAnsi="Times New Roman" w:eastAsia="宋体" w:cs="Times New Roman"/>
        </w:rPr>
        <w:t>（γ ∈ {0.75, 1.5}）的温度整形，拟合半上 8 个配置全部落在 ±0.04 以内（基准 0.8230），与采样噪声不可区分，故未再进入 held-out 复核。将加权算术平均替换为几何平均、二次平均、中位数、调和平均或最大值，拟合半上中位数最优（+0.13），held-out 半上仅 +0.0001；几何平均配合权重坐标上升在拟合半 +0.17，held-out 半反而 −0.21；最大值明显更差（−0.39）。原因在于 4 模型算术平均已完成噪声抑制，各成员概率分布的形态差异极小，更换聚合范数基本不改变 argmax 的主体结果。</w:t>
      </w:r>
    </w:p>
    <w:p w14:paraId="3EA9B4D9">
      <w:pPr>
        <w:pStyle w:val="3"/>
        <w:spacing w:before="0" w:after="80" w:line="384" w:lineRule="auto"/>
        <w:jc w:val="both"/>
      </w:pPr>
      <w:r>
        <w:rPr>
          <w:rFonts w:ascii="Times New Roman" w:hAnsi="Times New Roman" w:eastAsia="宋体" w:cs="Times New Roman"/>
          <w:b/>
          <w:bCs/>
        </w:rPr>
        <w:t>（3）引导滤波后处理（第 5 行）</w:t>
      </w:r>
    </w:p>
    <w:p w14:paraId="0F8BCE37">
      <w:pPr>
        <w:pStyle w:val="3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 xml:space="preserve">DenseCRF[2] 是语义分割文献中常见的后处理手段。本项目尝试以其廉价替代——引导滤波（He et al.[8], ECCV 2010）——细化集成概率图：以原始图像灰度图为引导，按 </w:t>
      </w:r>
      <w:r>
        <w:rPr>
          <w:rStyle w:val="39"/>
          <w:rFonts w:ascii="Times New Roman" w:hAnsi="Times New Roman" w:eastAsia="宋体" w:cs="Times New Roman"/>
          <w:sz w:val="24"/>
        </w:rPr>
        <w:t>a = cov(I,p)/​(var(I)+ε)</w:t>
      </w:r>
      <w:r>
        <w:rPr>
          <w:rFonts w:ascii="Times New Roman" w:hAnsi="Times New Roman" w:eastAsia="宋体" w:cs="Times New Roman"/>
        </w:rPr>
        <w:t>、</w:t>
      </w:r>
      <w:r>
        <w:rPr>
          <w:rStyle w:val="39"/>
          <w:rFonts w:ascii="Times New Roman" w:hAnsi="Times New Roman" w:eastAsia="宋体" w:cs="Times New Roman"/>
          <w:sz w:val="24"/>
        </w:rPr>
        <w:t>b = mean(p) − a·mean(I)</w:t>
      </w:r>
      <w:r>
        <w:rPr>
          <w:rFonts w:ascii="Times New Roman" w:hAnsi="Times New Roman" w:eastAsia="宋体" w:cs="Times New Roman"/>
        </w:rPr>
        <w:t>、</w:t>
      </w:r>
      <w:r>
        <w:rPr>
          <w:rStyle w:val="39"/>
          <w:rFonts w:ascii="Times New Roman" w:hAnsi="Times New Roman" w:eastAsia="宋体" w:cs="Times New Roman"/>
          <w:sz w:val="24"/>
        </w:rPr>
        <w:t>q = a·I + b</w:t>
      </w:r>
      <w:r>
        <w:rPr>
          <w:rFonts w:ascii="Times New Roman" w:hAnsi="Times New Roman" w:eastAsia="宋体" w:cs="Times New Roman"/>
        </w:rPr>
        <w:t xml:space="preserve"> 做局部线性回归，输出细化后的概率图。结果表明其随平滑强度单调退化：拟合半上 r=2 为 −0.11、r=4 为 −0.47、r=16 为 −7.63；held-out 半上 r=2 为 −0.07、r=4 为 −0.39。原因是本代模型的输出已足够锐利：DeepLabV3 的 ASPP 配合 16× 双线性上采样，不存在 FCN-8s 时代 8× 上采样导致的边界模糊；4 模型平均又已消除随机噪声。额外的空间平滑只会先摧毁 bicycle/​chair 等细长结构，而非抑制假阳性。文献中 CRF 常见的 +0.5~1.0 增益，实为 FCN-8s 时代 8× 上采样伪影的补偿。</w:t>
      </w:r>
    </w:p>
    <w:p w14:paraId="0172BE3F">
      <w:pPr>
        <w:pStyle w:val="3"/>
        <w:spacing w:before="0" w:after="80" w:line="384" w:lineRule="auto"/>
        <w:jc w:val="both"/>
      </w:pPr>
      <w:r>
        <w:rPr>
          <w:rFonts w:ascii="Times New Roman" w:hAnsi="Times New Roman" w:eastAsia="宋体" w:cs="Times New Roman"/>
          <w:b/>
          <w:bCs/>
        </w:rPr>
        <w:t>（4）逐类 logit 偏置（第 6 行）</w:t>
      </w:r>
    </w:p>
    <w:p w14:paraId="29F91516">
      <w:pPr>
        <w:pStyle w:val="3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 xml:space="preserve">若某些类别存在系统性低估，可在 argmax 前为各类加上一个可学习偏置。在奇数半 724 张上拟合 16 个前景类偏置，拟合半 mIoU 提升 +1.50，看似显著；但在全程未参与拟合的偶数半 725 张上测量为 </w:t>
      </w:r>
      <w:r>
        <w:rPr>
          <w:rFonts w:ascii="Times New Roman" w:hAnsi="Times New Roman" w:eastAsia="宋体" w:cs="Times New Roman"/>
          <w:b/>
          <w:bCs/>
        </w:rPr>
        <w:t>−2.13</w:t>
      </w:r>
      <w:r>
        <w:rPr>
          <w:rFonts w:ascii="Times New Roman" w:hAnsi="Times New Roman" w:eastAsia="宋体" w:cs="Times New Roman"/>
        </w:rPr>
        <w:t>，是全部负结果中危害最大的一项。该结果直接说明：在用于测量的同一批数据上拟合修正量，必然得到虚高的结论。</w:t>
      </w:r>
    </w:p>
    <w:p w14:paraId="53AAA830">
      <w:pPr>
        <w:pStyle w:val="3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  <w:b/>
          <w:bCs/>
        </w:rPr>
        <w:t>小结</w:t>
      </w:r>
      <w:r>
        <w:rPr>
          <w:rFonts w:ascii="Times New Roman" w:hAnsi="Times New Roman" w:eastAsia="宋体" w:cs="Times New Roman"/>
        </w:rPr>
        <w:t>：本节 6 个方向与 5.8–5.12 的 4 个方向共同构成 10 项负结果，其共同规律是——</w:t>
      </w:r>
      <w:r>
        <w:rPr>
          <w:rFonts w:ascii="Times New Roman" w:hAnsi="Times New Roman" w:eastAsia="宋体" w:cs="Times New Roman"/>
          <w:b/>
          <w:bCs/>
        </w:rPr>
        <w:t>任何在验证集上选取的超参数，其增益在独立数据上都会衰减 0.3~0.4 个点甚至反向</w:t>
      </w:r>
      <w:r>
        <w:rPr>
          <w:rFonts w:ascii="Times New Roman" w:hAnsi="Times New Roman" w:eastAsia="宋体" w:cs="Times New Roman"/>
        </w:rPr>
        <w:t>。因此最终配置 0.8195 不包含任何在 VOC val 上拟合得到的自由参数（成员权重 ×1.25 取保守值，且其增益已在独立的 SBD-val 上确认可迁移，见 5.11），可视为给定模型池下的一个稳定局部最优。</w:t>
      </w:r>
    </w:p>
    <w:bookmarkEnd w:id="26"/>
    <w:bookmarkEnd w:id="52"/>
    <w:p w14:paraId="55030B72">
      <w:pPr>
        <w:pStyle w:val="4"/>
        <w:keepNext/>
        <w:spacing w:before="320" w:after="160" w:line="312" w:lineRule="auto"/>
      </w:pPr>
      <w:bookmarkStart w:id="53" w:name="_Toc243935469"/>
      <w:bookmarkStart w:id="54" w:name="测试集预测与提交格式"/>
      <w:r>
        <w:rPr>
          <w:rFonts w:ascii="Times New Roman" w:hAnsi="Times New Roman" w:eastAsia="黑体" w:cs="Times New Roman"/>
        </w:rPr>
        <w:t>6. 测试集预测与提交格式</w:t>
      </w:r>
      <w:bookmarkEnd w:id="53"/>
    </w:p>
    <w:p w14:paraId="70DAFA04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（1）</w:t>
      </w:r>
      <w:r>
        <w:rPr>
          <w:rFonts w:ascii="Times New Roman" w:hAnsi="Times New Roman" w:eastAsia="宋体" w:cs="Times New Roman"/>
          <w:b/>
          <w:bCs/>
        </w:rPr>
        <w:t>推理流水线</w:t>
      </w:r>
      <w:r>
        <w:rPr>
          <w:rFonts w:ascii="Times New Roman" w:hAnsi="Times New Roman" w:eastAsia="宋体" w:cs="Times New Roman"/>
        </w:rPr>
        <w:t>：四个模型——</w:t>
      </w:r>
      <w:r>
        <w:rPr>
          <w:rFonts w:ascii="Times New Roman" w:hAnsi="Times New Roman" w:eastAsia="宋体" w:cs="Times New Roman"/>
          <w:b/>
          <w:bCs/>
        </w:rPr>
        <w:t>零样本</w:t>
      </w:r>
      <w:r>
        <w:rPr>
          <w:rFonts w:ascii="Times New Roman" w:hAnsi="Times New Roman" w:eastAsia="宋体" w:cs="Times New Roman"/>
        </w:rPr>
        <w:t xml:space="preserve"> DeepLabV3-ResNet50、</w:t>
      </w:r>
      <w:r>
        <w:rPr>
          <w:rFonts w:ascii="Times New Roman" w:hAnsi="Times New Roman" w:eastAsia="宋体" w:cs="Times New Roman"/>
          <w:b/>
          <w:bCs/>
        </w:rPr>
        <w:t>零样本</w:t>
      </w:r>
      <w:r>
        <w:rPr>
          <w:rFonts w:ascii="Times New Roman" w:hAnsi="Times New Roman" w:eastAsia="宋体" w:cs="Times New Roman"/>
        </w:rPr>
        <w:t xml:space="preserve"> DeepLabV3-ResNet101（均为 torchvision </w:t>
      </w:r>
      <w:r>
        <w:rPr>
          <w:rStyle w:val="39"/>
          <w:rFonts w:ascii="Times New Roman" w:hAnsi="Times New Roman" w:eastAsia="宋体" w:cs="Times New Roman"/>
          <w:sz w:val="24"/>
        </w:rPr>
        <w:t>COCO_WITH_VOC_LABELS_V1</w:t>
      </w:r>
      <w:r>
        <w:rPr>
          <w:rFonts w:ascii="Times New Roman" w:hAnsi="Times New Roman" w:eastAsia="宋体" w:cs="Times New Roman"/>
        </w:rPr>
        <w:t xml:space="preserve"> 公开权重，未经任何微调）、</w:t>
      </w:r>
      <w:r>
        <w:rPr>
          <w:rFonts w:ascii="Times New Roman" w:hAnsi="Times New Roman" w:eastAsia="宋体" w:cs="Times New Roman"/>
          <w:b/>
          <w:bCs/>
        </w:rPr>
        <w:t>自训练</w:t>
      </w:r>
      <w:r>
        <w:rPr>
          <w:rFonts w:ascii="Times New Roman" w:hAnsi="Times New Roman" w:eastAsia="宋体" w:cs="Times New Roman"/>
        </w:rPr>
        <w:t xml:space="preserve"> sbd_lfca（SBD 8284 张训练，R50）、</w:t>
      </w:r>
      <w:r>
        <w:rPr>
          <w:rFonts w:ascii="Times New Roman" w:hAnsi="Times New Roman" w:eastAsia="宋体" w:cs="Times New Roman"/>
          <w:b/>
          <w:bCs/>
        </w:rPr>
        <w:t>自训练</w:t>
      </w:r>
      <w:r>
        <w:rPr>
          <w:rFonts w:ascii="Times New Roman" w:hAnsi="Times New Roman" w:eastAsia="宋体" w:cs="Times New Roman"/>
        </w:rPr>
        <w:t xml:space="preserve"> r101_e13（train_aug 微调 13 epoch 后中止的 R101，见 5.3）——各自做 </w:t>
      </w:r>
      <w:r>
        <w:rPr>
          <w:rFonts w:ascii="Times New Roman" w:hAnsi="Times New Roman" w:eastAsia="宋体" w:cs="Times New Roman"/>
          <w:b/>
          <w:bCs/>
        </w:rPr>
        <w:t>5 尺度(0.5/​0.75/​1.0/​1.25/​1.5) + 水平翻转 TTA</w:t>
      </w:r>
      <w:r>
        <w:rPr>
          <w:rFonts w:ascii="Times New Roman" w:hAnsi="Times New Roman" w:eastAsia="宋体" w:cs="Times New Roman"/>
        </w:rPr>
        <w:t xml:space="preserve"> 得到 softmax 概率 → 按 </w:t>
      </w:r>
      <w:r>
        <w:rPr>
          <w:rFonts w:ascii="Times New Roman" w:hAnsi="Times New Roman" w:eastAsia="宋体" w:cs="Times New Roman"/>
          <w:b/>
          <w:bCs/>
        </w:rPr>
        <w:t>(1.0, 1.25, 1.0, 1.0) 加权平均</w:t>
      </w:r>
      <w:r>
        <w:rPr>
          <w:rFonts w:ascii="Times New Roman" w:hAnsi="Times New Roman" w:eastAsia="宋体" w:cs="Times New Roman"/>
        </w:rPr>
        <w:t xml:space="preserve"> → argmax → 上采样回</w:t>
      </w:r>
      <w:r>
        <w:rPr>
          <w:rFonts w:ascii="Times New Roman" w:hAnsi="Times New Roman" w:eastAsia="宋体" w:cs="Times New Roman"/>
          <w:b/>
          <w:bCs/>
        </w:rPr>
        <w:t>原图尺寸</w:t>
      </w:r>
      <w:r>
        <w:rPr>
          <w:rFonts w:ascii="Times New Roman" w:hAnsi="Times New Roman" w:eastAsia="宋体" w:cs="Times New Roman"/>
        </w:rPr>
        <w:t>。不叠加 YOLO 融合（见 5.8 的负结果分析）。成员构成与权重的系统搜索过程见 5.9。</w:t>
      </w:r>
    </w:p>
    <w:p w14:paraId="1BB650FC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（2）</w:t>
      </w:r>
      <w:r>
        <w:rPr>
          <w:rFonts w:ascii="Times New Roman" w:hAnsi="Times New Roman" w:eastAsia="宋体" w:cs="Times New Roman"/>
          <w:b/>
          <w:bCs/>
        </w:rPr>
        <w:t>输出</w:t>
      </w:r>
      <w:r>
        <w:rPr>
          <w:rFonts w:ascii="Times New Roman" w:hAnsi="Times New Roman" w:eastAsia="宋体" w:cs="Times New Roman"/>
        </w:rPr>
        <w:t>：</w:t>
      </w:r>
      <w:r>
        <w:rPr>
          <w:rStyle w:val="39"/>
          <w:rFonts w:ascii="Times New Roman" w:hAnsi="Times New Roman" w:eastAsia="宋体" w:cs="Times New Roman"/>
          <w:sz w:val="24"/>
        </w:rPr>
        <w:t>PIL mode='L'</w:t>
      </w:r>
      <w:r>
        <w:rPr>
          <w:rFonts w:ascii="Times New Roman" w:hAnsi="Times New Roman" w:eastAsia="宋体" w:cs="Times New Roman"/>
        </w:rPr>
        <w:t xml:space="preserve"> 的 </w:t>
      </w:r>
      <w:r>
        <w:rPr>
          <w:rFonts w:ascii="Times New Roman" w:hAnsi="Times New Roman" w:eastAsia="宋体" w:cs="Times New Roman"/>
          <w:b/>
          <w:bCs/>
        </w:rPr>
        <w:t>8-bit 单通道 PNG</w:t>
      </w:r>
      <w:r>
        <w:rPr>
          <w:rFonts w:ascii="Times New Roman" w:hAnsi="Times New Roman" w:eastAsia="宋体" w:cs="Times New Roman"/>
        </w:rPr>
        <w:t>，像素值 = 类别编号 0–20，文件名与原图同名。</w:t>
      </w:r>
    </w:p>
    <w:p w14:paraId="3C4D8BD2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（3）</w:t>
      </w:r>
      <w:r>
        <w:rPr>
          <w:rFonts w:ascii="Times New Roman" w:hAnsi="Times New Roman" w:eastAsia="宋体" w:cs="Times New Roman"/>
          <w:b/>
          <w:bCs/>
        </w:rPr>
        <w:t>六项自检</w:t>
      </w:r>
      <w:r>
        <w:rPr>
          <w:rFonts w:ascii="Times New Roman" w:hAnsi="Times New Roman" w:eastAsia="宋体" w:cs="Times New Roman"/>
        </w:rPr>
        <w:t>（</w:t>
      </w:r>
      <w:r>
        <w:rPr>
          <w:rStyle w:val="39"/>
          <w:rFonts w:ascii="Times New Roman" w:hAnsi="Times New Roman" w:eastAsia="宋体" w:cs="Times New Roman"/>
          <w:sz w:val="24"/>
        </w:rPr>
        <w:t>check_masks.py</w:t>
      </w:r>
      <w:r>
        <w:rPr>
          <w:rFonts w:ascii="Times New Roman" w:hAnsi="Times New Roman" w:eastAsia="宋体" w:cs="Times New Roman"/>
        </w:rPr>
        <w:t>）：数量 400 / 文件名一一对应 / mode=‘L’ / 尺寸等于原图 / 值域 ⊆[0,20] / 类别占比合理性。</w:t>
      </w:r>
    </w:p>
    <w:p w14:paraId="05F9BA94">
      <w:pPr>
        <w:pStyle w:val="5"/>
        <w:keepNext/>
        <w:spacing w:before="240" w:after="120" w:line="312" w:lineRule="auto"/>
      </w:pPr>
      <w:bookmarkStart w:id="55" w:name="_Toc243935470"/>
      <w:bookmarkStart w:id="56" w:name="测试集预测类别分布400-张4-模型加权集成-5-尺度-tta"/>
      <w:r>
        <w:rPr>
          <w:rFonts w:ascii="Times New Roman" w:hAnsi="Times New Roman" w:eastAsia="黑体" w:cs="Times New Roman"/>
        </w:rPr>
        <w:t>6.1 测试集预测类别分布（400 张，4 模型加权集成 + 5 尺度 TTA）</w:t>
      </w:r>
      <w:bookmarkEnd w:id="55"/>
    </w:p>
    <w:p w14:paraId="58777796">
      <w:pPr>
        <w:pStyle w:val="27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 xml:space="preserve">background </w:t>
      </w:r>
      <w:r>
        <w:rPr>
          <w:rFonts w:ascii="Times New Roman" w:hAnsi="Times New Roman" w:eastAsia="宋体" w:cs="Times New Roman"/>
          <w:b/>
          <w:bCs/>
        </w:rPr>
        <w:t>80.90%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  <w:b/>
          <w:bCs/>
        </w:rPr>
        <w:t>person 8.12%</w:t>
      </w:r>
      <w:r>
        <w:rPr>
          <w:rFonts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  <w:b/>
          <w:bCs/>
        </w:rPr>
        <w:t>diningtable 4.07%</w:t>
      </w:r>
      <w:r>
        <w:rPr>
          <w:rFonts w:ascii="Times New Roman" w:hAnsi="Times New Roman" w:eastAsia="宋体" w:cs="Times New Roman"/>
        </w:rPr>
        <w:t>、train 0.77%、cow 0.67%、bus 0.66%、chair 0.58%、cat 0.55%、car 0.54%、dog 0.46%、motorbike 0.44%、bottle 0.40%、tvmonitor 0.34%、pottedplant 0.28%、aeroplane 0.26%、horse 0.23%、sheep 0.21%、sofa 0.20%、bicycle 0.15%、bird 0.14%、boat 0.05%（21 类齐全）。</w:t>
      </w:r>
    </w:p>
    <w:p w14:paraId="7A339BB1">
      <w:pPr>
        <w:pStyle w:val="3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>相较此前的训练三模型集成版本（background 77.41%、person 8.53%、diningtable 5.38%），混合集成版的前景预测整体更为保守：背景占比上升 3.5 点，person/​diningtable 两类域偏移较重的类别分别下降 0.4 / 1.3 点。这与零样本权重（在 COCO 上预训练、见过更丰富的场景与目标密度）加入集成后的表现一致，亦与其在 val 上 mIoU 由 0.7951 提升至 0.8195 的方向吻合。六项自检（</w:t>
      </w:r>
      <w:r>
        <w:rPr>
          <w:rStyle w:val="39"/>
          <w:rFonts w:ascii="Times New Roman" w:hAnsi="Times New Roman" w:eastAsia="宋体" w:cs="Times New Roman"/>
          <w:sz w:val="24"/>
        </w:rPr>
        <w:t>check_masks.py</w:t>
      </w:r>
      <w:r>
        <w:rPr>
          <w:rFonts w:ascii="Times New Roman" w:hAnsi="Times New Roman" w:eastAsia="宋体" w:cs="Times New Roman"/>
        </w:rPr>
        <w:t>）全部通过（数量 400 / 文件名一一对应 / mode=‘L’ / 尺寸等于原图 / 值域 ⊆[0,20] / 类别占比合理）。</w:t>
      </w:r>
    </w:p>
    <w:p w14:paraId="28E8CC37">
      <w:pPr>
        <w:pStyle w:val="3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  <w:b/>
          <w:bCs/>
        </w:rPr>
        <w:t>一个值得说明的现象</w:t>
      </w:r>
      <w:r>
        <w:rPr>
          <w:rFonts w:ascii="Times New Roman" w:hAnsi="Times New Roman" w:eastAsia="宋体" w:cs="Times New Roman"/>
        </w:rPr>
        <w:t xml:space="preserve">：400 张测试图平均每张仅预测出 </w:t>
      </w:r>
      <w:r>
        <w:rPr>
          <w:rFonts w:ascii="Times New Roman" w:hAnsi="Times New Roman" w:eastAsia="宋体" w:cs="Times New Roman"/>
          <w:b/>
          <w:bCs/>
        </w:rPr>
        <w:t>2.19 个类别</w:t>
      </w:r>
      <w:r>
        <w:rPr>
          <w:rFonts w:ascii="Times New Roman" w:hAnsi="Times New Roman" w:eastAsia="宋体" w:cs="Times New Roman"/>
        </w:rPr>
        <w:t xml:space="preserve">（其中 69 张为纯背景，最多 5 类）。这并非模型退化，而是 </w:t>
      </w:r>
      <w:r>
        <w:rPr>
          <w:rFonts w:ascii="Times New Roman" w:hAnsi="Times New Roman" w:eastAsia="宋体" w:cs="Times New Roman"/>
          <w:b/>
          <w:bCs/>
        </w:rPr>
        <w:t>VOC 20 类标签空间的固有覆盖极限</w:t>
      </w:r>
      <w:r>
        <w:rPr>
          <w:rFonts w:ascii="Times New Roman" w:hAnsi="Times New Roman" w:eastAsia="宋体" w:cs="Times New Roman"/>
        </w:rPr>
        <w:t>——COCO 场景中的大量物体（食物、家具细节、动物中的多数物种等）本就不属于任何 VOC 前景类，只能归入 background；零样本权重因在 COCO 上预训练，对“哪些物体不在 20 类之内”的判断反而更为准确保守。若换用覆盖更全的标签体系（如 COCO 80 类），同一模型的前景占比将显著上升。</w:t>
      </w:r>
    </w:p>
    <w:p w14:paraId="05EF17A6">
      <w:pPr>
        <w:pStyle w:val="38"/>
        <w:keepNext/>
      </w:pPr>
      <w:r>
        <w:drawing>
          <wp:inline distT="0" distB="0" distL="0" distR="0">
            <wp:extent cx="5334000" cy="2655570"/>
            <wp:effectExtent l="0" t="0" r="0" b="0"/>
            <wp:docPr id="8" name="Picture" descr="图 6-1　测试集预测定性结果（每行左=原图，中=预测彩色 mask，右=叠加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图 6-1　测试集预测定性结果（每行左=原图，中=预测彩色 mask，右=叠加）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5611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6B0196">
      <w:pPr>
        <w:pStyle w:val="36"/>
        <w:spacing w:before="80" w:after="200" w:line="420" w:lineRule="auto"/>
        <w:jc w:val="center"/>
      </w:pPr>
      <w:r>
        <w:rPr>
          <w:rFonts w:ascii="Times New Roman" w:hAnsi="Times New Roman" w:eastAsia="宋体" w:cs="Times New Roman"/>
          <w:sz w:val="21"/>
        </w:rPr>
        <w:t>图 6-1　测试集预测定性结果（共 6 组，每组左=原图、中=预测 mask、右=叠加）</w:t>
      </w:r>
    </w:p>
    <w:bookmarkEnd w:id="54"/>
    <w:bookmarkEnd w:id="56"/>
    <w:p w14:paraId="6428BFDE">
      <w:pPr>
        <w:pStyle w:val="4"/>
        <w:keepNext/>
        <w:spacing w:before="320" w:after="160" w:line="312" w:lineRule="auto"/>
      </w:pPr>
      <w:bookmarkStart w:id="57" w:name="_Toc243935471"/>
      <w:bookmarkStart w:id="58" w:name="误差分析"/>
      <w:r>
        <w:rPr>
          <w:rFonts w:ascii="Times New Roman" w:hAnsi="Times New Roman" w:eastAsia="黑体" w:cs="Times New Roman"/>
        </w:rPr>
        <w:t>7. 误差分析</w:t>
      </w:r>
      <w:bookmarkEnd w:id="57"/>
    </w:p>
    <w:p w14:paraId="0A558277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（1）</w:t>
      </w:r>
      <w:r>
        <w:rPr>
          <w:rFonts w:ascii="Times New Roman" w:hAnsi="Times New Roman" w:eastAsia="宋体" w:cs="Times New Roman"/>
          <w:b/>
          <w:bCs/>
        </w:rPr>
        <w:t>域偏移</w:t>
      </w:r>
      <w:r>
        <w:rPr>
          <w:rFonts w:ascii="Times New Roman" w:hAnsi="Times New Roman" w:eastAsia="宋体" w:cs="Times New Roman"/>
        </w:rPr>
        <w:t>：训练域 VOC（单目标、构图规整），测试域 COCO（多目标、场景复杂）。可视化结果显示，人群易被合并为连通的 person 区域、桌面区域被大量判为 diningtable，属训练域缺失的典型症状。零样本权重因在 COCO 上预训练，对此有天然缓解（最终配置 person IoU 0.9051、diningtable IoU 0.6478）。</w:t>
      </w:r>
    </w:p>
    <w:p w14:paraId="0D7AC867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（2）</w:t>
      </w:r>
      <w:r>
        <w:rPr>
          <w:rFonts w:ascii="Times New Roman" w:hAnsi="Times New Roman" w:eastAsia="宋体" w:cs="Times New Roman"/>
          <w:b/>
          <w:bCs/>
        </w:rPr>
        <w:t>弱项类别</w:t>
      </w:r>
      <w:r>
        <w:rPr>
          <w:rFonts w:ascii="Times New Roman" w:hAnsi="Times New Roman" w:eastAsia="宋体" w:cs="Times New Roman"/>
        </w:rPr>
        <w:t>：bicycle / chair / diningtable / pottedplant / sofa 等细长结构与小目标 IoU 最低（0.4332 / 0.5157 / 0.6478 / 0.6753 / 0.6640），与 stride=8 特征图的分辨率损失直接相关——这也是 LFCA 解码器的设计靶点（其低层特征融合在一定程度上缓解了此类误差）。需注意 bicycle 的数字受 VOC 的 255 边界排除规则压低，在无忽略区的 SBD-val 上同一模型达 0.79（见 5.11）。</w:t>
      </w:r>
    </w:p>
    <w:p w14:paraId="3A66E199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（3）</w:t>
      </w:r>
      <w:r>
        <w:rPr>
          <w:rFonts w:ascii="Times New Roman" w:hAnsi="Times New Roman" w:eastAsia="宋体" w:cs="Times New Roman"/>
          <w:b/>
          <w:bCs/>
        </w:rPr>
        <w:t>方法优先级经验</w:t>
      </w:r>
      <w:r>
        <w:rPr>
          <w:rFonts w:ascii="Times New Roman" w:hAnsi="Times New Roman" w:eastAsia="宋体" w:cs="Times New Roman"/>
        </w:rPr>
        <w:t>：在本任务中，</w:t>
      </w:r>
      <w:r>
        <w:rPr>
          <w:rFonts w:ascii="Times New Roman" w:hAnsi="Times New Roman" w:eastAsia="宋体" w:cs="Times New Roman"/>
          <w:b/>
          <w:bCs/>
        </w:rPr>
        <w:t>预训练权重质量优于一切训练侧改动</w:t>
      </w:r>
      <w:r>
        <w:rPr>
          <w:rFonts w:ascii="Times New Roman" w:hAnsi="Times New Roman" w:eastAsia="宋体" w:cs="Times New Roman"/>
        </w:rPr>
        <w:t>——直接使用大规模预训练权重（零样本 0.7951）高于任何训练侧努力；以 8284 张数据、</w:t>
      </w:r>
      <w:r>
        <w:rPr>
          <w:rStyle w:val="39"/>
          <w:rFonts w:ascii="Times New Roman" w:hAnsi="Times New Roman" w:eastAsia="宋体" w:cs="Times New Roman"/>
          <w:sz w:val="24"/>
        </w:rPr>
        <w:t>lr=0.01</w:t>
      </w:r>
      <w:r>
        <w:rPr>
          <w:rFonts w:ascii="Times New Roman" w:hAnsi="Times New Roman" w:eastAsia="宋体" w:cs="Times New Roman"/>
        </w:rPr>
        <w:t xml:space="preserve"> 微调 30 轮反而为负收益（−1.98）。小数据场景下微调将破坏通用表征，正确的优先级次序为：</w:t>
      </w:r>
      <w:r>
        <w:rPr>
          <w:rFonts w:ascii="Times New Roman" w:hAnsi="Times New Roman" w:eastAsia="宋体" w:cs="Times New Roman"/>
          <w:b/>
          <w:bCs/>
        </w:rPr>
        <w:t>预训练权重质量 &gt; 数据扩充(SBD) &gt; 推理侧组合(TTA + 集成) &gt; 更换/​加深主干</w:t>
      </w:r>
      <w:r>
        <w:rPr>
          <w:rFonts w:ascii="Times New Roman" w:hAnsi="Times New Roman" w:eastAsia="宋体" w:cs="Times New Roman"/>
        </w:rPr>
        <w:t>。另需注意：微调模型虽单模型性能更差，在集成中却因错误模式互补而持续贡献增量（sbd_lfca +0.94、r101_e13 +0.41）——“单模型精度”与“集成价值”是两个不同的概念。</w:t>
      </w:r>
    </w:p>
    <w:bookmarkEnd w:id="58"/>
    <w:p w14:paraId="17E97DAE">
      <w:pPr>
        <w:pStyle w:val="4"/>
        <w:keepNext/>
        <w:spacing w:before="320" w:after="160" w:line="312" w:lineRule="auto"/>
      </w:pPr>
      <w:bookmarkStart w:id="59" w:name="_Toc243935472"/>
      <w:bookmarkStart w:id="60" w:name="复现说明与资源声明"/>
      <w:r>
        <w:rPr>
          <w:rFonts w:ascii="Times New Roman" w:hAnsi="Times New Roman" w:eastAsia="黑体" w:cs="Times New Roman"/>
        </w:rPr>
        <w:t>8. 复现说明与资源声明</w:t>
      </w:r>
      <w:bookmarkEnd w:id="59"/>
    </w:p>
    <w:p w14:paraId="7387408B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（1）环境：Python 3.11 / PyTorch 2.14.1+cu126[9] / torchvision 0.29.1+cu126 / RTX 4060 Laptop 8 GB</w:t>
      </w:r>
    </w:p>
    <w:p w14:paraId="26C40783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（2）随机种子固定 42；权重、</w:t>
      </w:r>
      <w:r>
        <w:rPr>
          <w:rStyle w:val="39"/>
          <w:rFonts w:ascii="Times New Roman" w:hAnsi="Times New Roman" w:eastAsia="宋体" w:cs="Times New Roman"/>
          <w:sz w:val="24"/>
        </w:rPr>
        <w:t>history.csv</w:t>
      </w:r>
      <w:r>
        <w:rPr>
          <w:rFonts w:ascii="Times New Roman" w:hAnsi="Times New Roman" w:eastAsia="宋体" w:cs="Times New Roman"/>
        </w:rPr>
        <w:t>、TensorBoard 事件文件全部保留</w:t>
      </w:r>
    </w:p>
    <w:p w14:paraId="4960FF89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（3）</w:t>
      </w:r>
      <w:r>
        <w:rPr>
          <w:rFonts w:ascii="Times New Roman" w:hAnsi="Times New Roman" w:eastAsia="宋体" w:cs="Times New Roman"/>
          <w:b/>
          <w:bCs/>
        </w:rPr>
        <w:t>复现路径</w:t>
      </w:r>
      <w:r>
        <w:rPr>
          <w:rFonts w:ascii="Times New Roman" w:hAnsi="Times New Roman" w:eastAsia="宋体" w:cs="Times New Roman"/>
        </w:rPr>
        <w:t>：</w:t>
      </w:r>
    </w:p>
    <w:p w14:paraId="29380788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（4）训练：</w:t>
      </w:r>
      <w:r>
        <w:rPr>
          <w:rStyle w:val="39"/>
          <w:rFonts w:ascii="Times New Roman" w:hAnsi="Times New Roman" w:eastAsia="宋体" w:cs="Times New Roman"/>
          <w:sz w:val="24"/>
        </w:rPr>
        <w:t>train.py</w:t>
      </w:r>
      <w:r>
        <w:rPr>
          <w:rFonts w:ascii="Times New Roman" w:hAnsi="Times New Roman" w:eastAsia="宋体" w:cs="Times New Roman"/>
        </w:rPr>
        <w:t>（</w:t>
      </w:r>
      <w:r>
        <w:rPr>
          <w:rStyle w:val="39"/>
          <w:rFonts w:ascii="Times New Roman" w:hAnsi="Times New Roman" w:eastAsia="宋体" w:cs="Times New Roman"/>
          <w:sz w:val="24"/>
        </w:rPr>
        <w:t>--model lfca --train_split train_aug --epochs 30</w:t>
      </w:r>
      <w:r>
        <w:rPr>
          <w:rFonts w:ascii="Times New Roman" w:hAnsi="Times New Roman" w:eastAsia="宋体" w:cs="Times New Roman"/>
        </w:rPr>
        <w:t xml:space="preserve">，各 run 见 </w:t>
      </w:r>
      <w:r>
        <w:rPr>
          <w:rStyle w:val="39"/>
          <w:rFonts w:ascii="Times New Roman" w:hAnsi="Times New Roman" w:eastAsia="宋体" w:cs="Times New Roman"/>
          <w:sz w:val="24"/>
        </w:rPr>
        <w:t>runs/</w:t>
      </w:r>
      <w:r>
        <w:rPr>
          <w:rFonts w:ascii="Times New Roman" w:hAnsi="Times New Roman" w:eastAsia="宋体" w:cs="Times New Roman"/>
        </w:rPr>
        <w:t>）</w:t>
      </w:r>
    </w:p>
    <w:p w14:paraId="6585C14C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（5）零样本：</w:t>
      </w:r>
      <w:r>
        <w:rPr>
          <w:rStyle w:val="39"/>
          <w:rFonts w:ascii="Times New Roman" w:hAnsi="Times New Roman" w:eastAsia="宋体" w:cs="Times New Roman"/>
          <w:sz w:val="24"/>
        </w:rPr>
        <w:t>export_pretrain.py</w:t>
      </w:r>
      <w:r>
        <w:rPr>
          <w:rFonts w:ascii="Times New Roman" w:hAnsi="Times New Roman" w:eastAsia="宋体" w:cs="Times New Roman"/>
        </w:rPr>
        <w:t xml:space="preserve"> 导出权重 ckpt → </w:t>
      </w:r>
      <w:r>
        <w:rPr>
          <w:rStyle w:val="39"/>
          <w:rFonts w:ascii="Times New Roman" w:hAnsi="Times New Roman" w:eastAsia="宋体" w:cs="Times New Roman"/>
          <w:sz w:val="24"/>
        </w:rPr>
        <w:t>eval_pretrain.py --backbone resnet50/​resnet101 --num 0</w:t>
      </w:r>
      <w:r>
        <w:rPr>
          <w:rFonts w:ascii="Times New Roman" w:hAnsi="Times New Roman" w:eastAsia="宋体" w:cs="Times New Roman"/>
        </w:rPr>
        <w:t xml:space="preserve"> 评估</w:t>
      </w:r>
    </w:p>
    <w:p w14:paraId="57557918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（6）集成成员搜索：</w:t>
      </w:r>
      <w:r>
        <w:rPr>
          <w:rStyle w:val="39"/>
          <w:rFonts w:ascii="Times New Roman" w:hAnsi="Times New Roman" w:eastAsia="宋体" w:cs="Times New Roman"/>
          <w:sz w:val="24"/>
        </w:rPr>
        <w:t>cache_val_probs.py</w:t>
      </w:r>
      <w:r>
        <w:rPr>
          <w:rFonts w:ascii="Times New Roman" w:hAnsi="Times New Roman" w:eastAsia="宋体" w:cs="Times New Roman"/>
        </w:rPr>
        <w:t xml:space="preserve">（缓存各成员 TTA 概率图）→ </w:t>
      </w:r>
      <w:r>
        <w:rPr>
          <w:rStyle w:val="39"/>
          <w:rFonts w:ascii="Times New Roman" w:hAnsi="Times New Roman" w:eastAsia="宋体" w:cs="Times New Roman"/>
          <w:sz w:val="24"/>
        </w:rPr>
        <w:t>sweep_val_cache.py</w:t>
      </w:r>
      <w:r>
        <w:rPr>
          <w:rFonts w:ascii="Times New Roman" w:hAnsi="Times New Roman" w:eastAsia="宋体" w:cs="Times New Roman"/>
        </w:rPr>
        <w:t>（全部 2ⁿ−1 个子集 + 权重坐标上升，</w:t>
      </w:r>
      <w:r>
        <w:rPr>
          <w:rStyle w:val="39"/>
          <w:rFonts w:ascii="Times New Roman" w:hAnsi="Times New Roman" w:eastAsia="宋体" w:cs="Times New Roman"/>
          <w:sz w:val="24"/>
        </w:rPr>
        <w:t>--members</w:t>
      </w:r>
      <w:r>
        <w:rPr>
          <w:rFonts w:ascii="Times New Roman" w:hAnsi="Times New Roman" w:eastAsia="宋体" w:cs="Times New Roman"/>
        </w:rPr>
        <w:t xml:space="preserve"> 可指定成员集合）；新增成员用 </w:t>
      </w:r>
      <w:r>
        <w:rPr>
          <w:rStyle w:val="39"/>
          <w:rFonts w:ascii="Times New Roman" w:hAnsi="Times New Roman" w:eastAsia="宋体" w:cs="Times New Roman"/>
          <w:sz w:val="24"/>
        </w:rPr>
        <w:t>cache_val_add.py</w:t>
      </w:r>
      <w:r>
        <w:rPr>
          <w:rFonts w:ascii="Times New Roman" w:hAnsi="Times New Roman" w:eastAsia="宋体" w:cs="Times New Roman"/>
        </w:rPr>
        <w:t xml:space="preserve"> 增量缓存（5.12）</w:t>
      </w:r>
    </w:p>
    <w:p w14:paraId="05136A8F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（7）独立评估集：</w:t>
      </w:r>
      <w:r>
        <w:rPr>
          <w:rStyle w:val="39"/>
          <w:rFonts w:ascii="Times New Roman" w:hAnsi="Times New Roman" w:eastAsia="宋体" w:cs="Times New Roman"/>
          <w:sz w:val="24"/>
        </w:rPr>
        <w:t>sbd_val_prepare.py</w:t>
      </w:r>
      <w:r>
        <w:rPr>
          <w:rFonts w:ascii="Times New Roman" w:hAnsi="Times New Roman" w:eastAsia="宋体" w:cs="Times New Roman"/>
        </w:rPr>
        <w:t xml:space="preserve">（SBD 官方 val 清洗 559 张重叠后 2298 张）→ </w:t>
      </w:r>
      <w:r>
        <w:rPr>
          <w:rStyle w:val="39"/>
          <w:rFonts w:ascii="Times New Roman" w:hAnsi="Times New Roman" w:eastAsia="宋体" w:cs="Times New Roman"/>
          <w:sz w:val="24"/>
        </w:rPr>
        <w:t>predict_ensemble.py --mode val --split sbdval</w:t>
      </w:r>
    </w:p>
    <w:p w14:paraId="54EBA572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（8）集成/​出图：</w:t>
      </w:r>
      <w:r>
        <w:rPr>
          <w:rStyle w:val="39"/>
          <w:rFonts w:ascii="Times New Roman" w:hAnsi="Times New Roman" w:eastAsia="宋体" w:cs="Times New Roman"/>
          <w:sz w:val="24"/>
        </w:rPr>
        <w:t>predict_ensemble.py --mode val/​test --scales 0.5 0.75 1.0 1.25 1.5 --ckpts &lt;四个 ckpt&gt; --weights 1.0 1.25 1.0 1.0</w:t>
      </w:r>
    </w:p>
    <w:p w14:paraId="6F36FAC6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（9）自检：</w:t>
      </w:r>
      <w:r>
        <w:rPr>
          <w:rStyle w:val="39"/>
          <w:rFonts w:ascii="Times New Roman" w:hAnsi="Times New Roman" w:eastAsia="宋体" w:cs="Times New Roman"/>
          <w:sz w:val="24"/>
        </w:rPr>
        <w:t>check_masks.py</w:t>
      </w:r>
      <w:r>
        <w:rPr>
          <w:rFonts w:ascii="Times New Roman" w:hAnsi="Times New Roman" w:eastAsia="宋体" w:cs="Times New Roman"/>
        </w:rPr>
        <w:t>；打包：</w:t>
      </w:r>
      <w:r>
        <w:rPr>
          <w:rStyle w:val="39"/>
          <w:rFonts w:ascii="Times New Roman" w:hAnsi="Times New Roman" w:eastAsia="宋体" w:cs="Times New Roman"/>
          <w:sz w:val="24"/>
        </w:rPr>
        <w:t>package_submission.py</w:t>
      </w:r>
    </w:p>
    <w:p w14:paraId="2B3F8181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（10）</w:t>
      </w:r>
      <w:r>
        <w:rPr>
          <w:rFonts w:ascii="Times New Roman" w:hAnsi="Times New Roman" w:eastAsia="宋体" w:cs="Times New Roman"/>
          <w:b/>
          <w:bCs/>
        </w:rPr>
        <w:t>外部资源声明</w:t>
      </w:r>
      <w:r>
        <w:rPr>
          <w:rFonts w:ascii="Times New Roman" w:hAnsi="Times New Roman" w:eastAsia="宋体" w:cs="Times New Roman"/>
        </w:rPr>
        <w:t>：</w:t>
      </w:r>
    </w:p>
    <w:p w14:paraId="3E580A34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 xml:space="preserve">（11）预训练权重：torchvision 官方 </w:t>
      </w:r>
      <w:r>
        <w:rPr>
          <w:rStyle w:val="39"/>
          <w:rFonts w:ascii="Times New Roman" w:hAnsi="Times New Roman" w:eastAsia="宋体" w:cs="Times New Roman"/>
          <w:sz w:val="24"/>
        </w:rPr>
        <w:t>COCO_WITH_VOC_LABELS_V1</w:t>
      </w:r>
      <w:r>
        <w:rPr>
          <w:rFonts w:ascii="Times New Roman" w:hAnsi="Times New Roman" w:eastAsia="宋体" w:cs="Times New Roman"/>
        </w:rPr>
        <w:t>（公开权重，最终提交中两个模型直接使用该权重未做微调）</w:t>
      </w:r>
    </w:p>
    <w:p w14:paraId="528C4CA6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（12）训练数据：Pascal VOC2012 官方 train/​val/​trainval + SBD(Berkeley) 增强集（其与 VOC val 重叠的 545 张已严格剔除）</w:t>
      </w:r>
    </w:p>
    <w:p w14:paraId="6B655B63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（13）未使用任何他人预测结果，全部 mask 均由本人模型（含公开预训练权重）推理得到</w:t>
      </w:r>
    </w:p>
    <w:p w14:paraId="2A6FD210">
      <w:pPr>
        <w:pStyle w:val="28"/>
        <w:spacing w:before="0" w:after="80" w:line="384" w:lineRule="auto"/>
        <w:jc w:val="both"/>
      </w:pPr>
      <w:r>
        <w:rPr>
          <w:rFonts w:ascii="Times New Roman" w:hAnsi="Times New Roman" w:eastAsia="宋体" w:cs="Times New Roman"/>
        </w:rPr>
        <w:t>（14）全部代码、训练日志、验证曲线均可复现</w:t>
      </w:r>
    </w:p>
    <w:bookmarkEnd w:id="60"/>
    <w:p w14:paraId="1EDA7546">
      <w:pPr>
        <w:pStyle w:val="4"/>
        <w:keepNext/>
        <w:spacing w:before="320" w:after="160" w:line="312" w:lineRule="auto"/>
      </w:pPr>
      <w:bookmarkStart w:id="61" w:name="_Toc243935473"/>
      <w:bookmarkStart w:id="62" w:name="参考文献"/>
      <w:r>
        <w:rPr>
          <w:rFonts w:ascii="Times New Roman" w:hAnsi="Times New Roman" w:eastAsia="黑体" w:cs="Times New Roman"/>
        </w:rPr>
        <w:t>参考文献</w:t>
      </w:r>
      <w:bookmarkEnd w:id="61"/>
    </w:p>
    <w:p w14:paraId="3DD1C084">
      <w:pPr>
        <w:pStyle w:val="27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>[1] HE K, ZHANG X, REN S, et al. Deep Residual Learning for Image Recognition[C]/​/​Proceedings of the IEEE Conference on Computer Vision and Pattern Recognition. Piscataway: IEEE, 2016: 770-778.</w:t>
      </w:r>
    </w:p>
    <w:p w14:paraId="32D369BC">
      <w:pPr>
        <w:pStyle w:val="3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>[2] CHEN L C, PAPANDREOU G, KOKKINOS I, et al. DeepLab: Semantic Image Segmentation with Deep Convolutional Nets, Atrous Convolution, and Fully Connected CRFs[J]. IEEE Transactions on Pattern Analysis and Machine Intelligence, 2018, 40(4): 834-848.</w:t>
      </w:r>
    </w:p>
    <w:p w14:paraId="738C2CB5">
      <w:pPr>
        <w:pStyle w:val="3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>[3] CHEN L C, ZHU Y, PAPANDREOU G, et al. Encoder-Decoder with Atrous Separable Convolution for Semantic Image Segmentation[C]/​/​Proceedings of the European Conference on Computer Vision. Cham: Springer, 2018: 801-818.</w:t>
      </w:r>
    </w:p>
    <w:p w14:paraId="639C0CAB">
      <w:pPr>
        <w:pStyle w:val="3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>[4] LIN T Y, MAIRE M, BELONGIE S, et al. Microsoft COCO: Common Objects in Context[C]/​/​Proceedings of the European Conference on Computer Vision. Cham: Springer, 2014: 740-755.</w:t>
      </w:r>
    </w:p>
    <w:p w14:paraId="749EF221">
      <w:pPr>
        <w:pStyle w:val="3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>[5] HU J, SHEN L, SUN G. Squeeze-and-Excitation Networks[C]/​/​Proceedings of the IEEE Conference on Computer Vision and Pattern Recognition. Piscataway: IEEE, 2018: 7132-7141.</w:t>
      </w:r>
    </w:p>
    <w:p w14:paraId="10BBDF6A">
      <w:pPr>
        <w:pStyle w:val="3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>[6] EVERINGHAM M, ESLAMI S M A, VAN GOOL L, et al. The Pascal Visual Object Classes Challenge: A Retrospective[J]. International Journal of Computer Vision, 2015, 111(1): 98-136.</w:t>
      </w:r>
    </w:p>
    <w:p w14:paraId="1276B011">
      <w:pPr>
        <w:pStyle w:val="3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>[7] HARIHARAN B, ARBELÁEZ P, BOURDEV L, et al. Semantic Contours from Inverse Detectors[C]/​/​Proceedings of the 2011 International Conference on Computer Vision. Piscataway: IEEE, 2011: 991-998.</w:t>
      </w:r>
    </w:p>
    <w:p w14:paraId="6E4D2562">
      <w:pPr>
        <w:pStyle w:val="3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>[8] HE K, SUN J, TANG X. Guided Image Filtering[C]/​/​Proceedings of the European Conference on Computer Vision. Berlin: Springer, 2010: 1-14.</w:t>
      </w:r>
    </w:p>
    <w:p w14:paraId="20A01D0F">
      <w:pPr>
        <w:pStyle w:val="3"/>
        <w:spacing w:before="0" w:after="80" w:line="384" w:lineRule="auto"/>
        <w:ind w:firstLine="480"/>
        <w:jc w:val="both"/>
      </w:pPr>
      <w:r>
        <w:rPr>
          <w:rFonts w:ascii="Times New Roman" w:hAnsi="Times New Roman" w:eastAsia="宋体" w:cs="Times New Roman"/>
        </w:rPr>
        <w:t>[9] PASZKE A, GROSS S, MASSA F, et al. PyTorch: An Imperative Style, High-Performance Deep Learning Library[C]/​/​Advances in Neural Information Processing Systems 32. Red Hook: Curran Associates, 2019: 8024-8035.</w:t>
      </w:r>
    </w:p>
    <w:bookmarkEnd w:id="0"/>
    <w:bookmarkEnd w:id="62"/>
    <w:sectPr>
      <w:footerReference r:id="rId4" w:type="default"/>
      <w:pgSz w:w="12240" w:h="15840"/>
      <w:pgMar w:top="1440" w:right="1800" w:bottom="1440" w:left="1800" w:header="720" w:footer="720" w:gutter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1007B3">
    <w:pPr>
      <w:jc w:val="center"/>
    </w:pPr>
    <w:r>
      <w:rPr>
        <w:rFonts w:ascii="Times New Roman" w:hAnsi="Times New Roman" w:eastAsia="宋体" w:cs="Times New Roman"/>
        <w:sz w:val="18"/>
      </w:rPr>
      <w:t xml:space="preserve">— </w:t>
    </w:r>
    <w:r>
      <w:rPr>
        <w:rFonts w:ascii="Times New Roman" w:hAnsi="Times New Roman" w:eastAsia="宋体" w:cs="Times New Roman"/>
        <w:sz w:val="18"/>
      </w:rPr>
      <w:fldChar w:fldCharType="begin"/>
    </w:r>
    <w:r>
      <w:rPr>
        <w:rFonts w:ascii="Times New Roman" w:hAnsi="Times New Roman" w:eastAsia="宋体" w:cs="Times New Roman"/>
        <w:sz w:val="18"/>
      </w:rPr>
      <w:instrText xml:space="preserve"> PAGE </w:instrText>
    </w:r>
    <w:r>
      <w:rPr>
        <w:rFonts w:ascii="Times New Roman" w:hAnsi="Times New Roman" w:eastAsia="宋体" w:cs="Times New Roman"/>
        <w:sz w:val="18"/>
      </w:rPr>
      <w:fldChar w:fldCharType="separate"/>
    </w:r>
    <w:r>
      <w:rPr>
        <w:rFonts w:ascii="Times New Roman" w:hAnsi="Times New Roman" w:eastAsia="宋体" w:cs="Times New Roman"/>
        <w:sz w:val="18"/>
      </w:rPr>
      <w:t>1</w:t>
    </w:r>
    <w:r>
      <w:rPr>
        <w:rFonts w:ascii="Times New Roman" w:hAnsi="Times New Roman" w:eastAsia="宋体" w:cs="Times New Roman"/>
        <w:sz w:val="18"/>
      </w:rPr>
      <w:fldChar w:fldCharType="end"/>
    </w:r>
    <w:r>
      <w:rPr>
        <w:rFonts w:ascii="Times New Roman" w:hAnsi="Times New Roman" w:eastAsia="宋体" w:cs="Times New Roman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2"/>
  </w:compat>
  <w:rsids>
    <w:rsidRoot w:val="00590D07"/>
    <w:rsid w:val="00011C8B"/>
    <w:rsid w:val="0012432A"/>
    <w:rsid w:val="001654C7"/>
    <w:rsid w:val="00226420"/>
    <w:rsid w:val="002727E0"/>
    <w:rsid w:val="0034210D"/>
    <w:rsid w:val="003D1AC6"/>
    <w:rsid w:val="00413722"/>
    <w:rsid w:val="004756FD"/>
    <w:rsid w:val="004E29B3"/>
    <w:rsid w:val="00575C3C"/>
    <w:rsid w:val="00590D07"/>
    <w:rsid w:val="00784D58"/>
    <w:rsid w:val="008B2299"/>
    <w:rsid w:val="008D6863"/>
    <w:rsid w:val="00985058"/>
    <w:rsid w:val="00AA2C51"/>
    <w:rsid w:val="00B21AE1"/>
    <w:rsid w:val="00B85035"/>
    <w:rsid w:val="00B86B75"/>
    <w:rsid w:val="00BC48D5"/>
    <w:rsid w:val="00C36279"/>
    <w:rsid w:val="00CA4C96"/>
    <w:rsid w:val="00D97946"/>
    <w:rsid w:val="00E315A3"/>
    <w:rsid w:val="00E84C7D"/>
    <w:rsid w:val="00ED1354"/>
    <w:rsid w:val="04C651D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99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3"/>
    <w:unhideWhenUsed/>
    <w:qFormat/>
    <w:uiPriority w:val="9"/>
    <w:pPr>
      <w:spacing w:before="200" w:after="0"/>
      <w:outlineLvl w:val="3"/>
    </w:pPr>
    <w:rPr>
      <w:rFonts w:asciiTheme="majorHAnsi" w:hAnsiTheme="majorHAnsi" w:eastAsiaTheme="majorEastAsia" w:cstheme="majorBidi"/>
      <w:bCs/>
      <w:i/>
      <w:color w:val="000000"/>
    </w:rPr>
  </w:style>
  <w:style w:type="paragraph" w:styleId="7">
    <w:name w:val="heading 5"/>
    <w:basedOn w:val="1"/>
    <w:next w:val="3"/>
    <w:unhideWhenUsed/>
    <w:qFormat/>
    <w:uiPriority w:val="9"/>
    <w:pPr>
      <w:spacing w:before="200" w:after="0"/>
      <w:outlineLvl w:val="4"/>
    </w:pPr>
    <w:rPr>
      <w:rFonts w:asciiTheme="majorHAnsi" w:hAnsiTheme="majorHAnsi" w:eastAsiaTheme="majorEastAsia" w:cstheme="majorBidi"/>
      <w:iCs/>
      <w:color w:val="000000"/>
    </w:rPr>
  </w:style>
  <w:style w:type="paragraph" w:styleId="8">
    <w:name w:val="heading 6"/>
    <w:basedOn w:val="1"/>
    <w:next w:val="3"/>
    <w:unhideWhenUsed/>
    <w:qFormat/>
    <w:uiPriority w:val="9"/>
    <w:pPr>
      <w:spacing w:before="200" w:after="0"/>
      <w:outlineLvl w:val="5"/>
    </w:pPr>
    <w:rPr>
      <w:rFonts w:asciiTheme="majorHAnsi" w:hAnsiTheme="majorHAnsi" w:eastAsiaTheme="majorEastAsia" w:cstheme="majorBidi"/>
      <w:color w:val="000000"/>
    </w:rPr>
  </w:style>
  <w:style w:type="paragraph" w:styleId="9">
    <w:name w:val="heading 7"/>
    <w:basedOn w:val="1"/>
    <w:next w:val="3"/>
    <w:unhideWhenUsed/>
    <w:qFormat/>
    <w:uiPriority w:val="9"/>
    <w:pPr>
      <w:spacing w:before="200" w:after="0"/>
      <w:outlineLvl w:val="6"/>
    </w:pPr>
    <w:rPr>
      <w:rFonts w:asciiTheme="majorHAnsi" w:hAnsiTheme="majorHAnsi" w:eastAsiaTheme="majorEastAsia" w:cstheme="majorBidi"/>
      <w:color w:val="000000"/>
    </w:rPr>
  </w:style>
  <w:style w:type="paragraph" w:styleId="10">
    <w:name w:val="heading 8"/>
    <w:basedOn w:val="1"/>
    <w:next w:val="3"/>
    <w:unhideWhenUsed/>
    <w:qFormat/>
    <w:uiPriority w:val="9"/>
    <w:pPr>
      <w:spacing w:before="200" w:after="0"/>
      <w:outlineLvl w:val="7"/>
    </w:pPr>
    <w:rPr>
      <w:rFonts w:asciiTheme="majorHAnsi" w:hAnsiTheme="majorHAnsi" w:eastAsiaTheme="majorEastAsia" w:cstheme="majorBidi"/>
      <w:color w:val="000000"/>
    </w:rPr>
  </w:style>
  <w:style w:type="paragraph" w:styleId="11">
    <w:name w:val="heading 9"/>
    <w:basedOn w:val="1"/>
    <w:next w:val="3"/>
    <w:unhideWhenUsed/>
    <w:qFormat/>
    <w:uiPriority w:val="9"/>
    <w:pPr>
      <w:spacing w:before="200" w:after="0"/>
      <w:outlineLvl w:val="8"/>
    </w:pPr>
    <w:rPr>
      <w:rFonts w:asciiTheme="majorHAnsi" w:hAnsiTheme="majorHAnsi" w:eastAsiaTheme="majorEastAsia" w:cstheme="majorBidi"/>
      <w:color w:val="000000"/>
    </w:rPr>
  </w:style>
  <w:style w:type="character" w:default="1" w:styleId="23">
    <w:name w:val="Default Paragraph Font"/>
    <w:semiHidden/>
    <w:unhideWhenUsed/>
    <w:uiPriority w:val="1"/>
  </w:style>
  <w:style w:type="table" w:default="1" w:styleId="2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5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toc 3"/>
    <w:basedOn w:val="1"/>
    <w:next w:val="1"/>
    <w:autoRedefine/>
    <w:uiPriority w:val="39"/>
    <w:pPr>
      <w:ind w:left="840" w:leftChars="400"/>
    </w:pPr>
  </w:style>
  <w:style w:type="paragraph" w:styleId="15">
    <w:name w:val="Date"/>
    <w:next w:val="3"/>
    <w:qFormat/>
    <w:uiPriority w:val="0"/>
    <w:pPr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75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74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spacing w:before="480" w:after="240"/>
      <w:jc w:val="center"/>
    </w:pPr>
    <w:rPr>
      <w:rFonts w:asciiTheme="majorHAnsi" w:hAnsiTheme="majorHAnsi" w:eastAsiaTheme="majorEastAsia" w:cstheme="majorBidi"/>
      <w:b/>
      <w:bCs/>
      <w:color w:val="000000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paragraph" w:styleId="21">
    <w:name w:val="toc 2"/>
    <w:basedOn w:val="1"/>
    <w:next w:val="1"/>
    <w:autoRedefine/>
    <w:uiPriority w:val="39"/>
    <w:pPr>
      <w:ind w:left="420" w:leftChars="200"/>
    </w:pPr>
  </w:style>
  <w:style w:type="character" w:styleId="24">
    <w:name w:val="Hyperlink"/>
    <w:basedOn w:val="25"/>
    <w:uiPriority w:val="99"/>
    <w:rPr>
      <w:color w:val="4F81BD" w:themeColor="accent1"/>
    </w:rPr>
  </w:style>
  <w:style w:type="character" w:customStyle="1" w:styleId="25">
    <w:name w:val="题注 字符"/>
    <w:basedOn w:val="23"/>
    <w:link w:val="12"/>
    <w:uiPriority w:val="0"/>
  </w:style>
  <w:style w:type="character" w:styleId="26">
    <w:name w:val="footnote reference"/>
    <w:basedOn w:val="25"/>
    <w:uiPriority w:val="0"/>
    <w:rPr>
      <w:vertAlign w:val="superscript"/>
    </w:rPr>
  </w:style>
  <w:style w:type="paragraph" w:customStyle="1" w:styleId="27">
    <w:name w:val="First Paragraph"/>
    <w:basedOn w:val="3"/>
    <w:next w:val="3"/>
    <w:qFormat/>
    <w:uiPriority w:val="0"/>
  </w:style>
  <w:style w:type="paragraph" w:customStyle="1" w:styleId="28">
    <w:name w:val="Compact"/>
    <w:basedOn w:val="3"/>
    <w:qFormat/>
    <w:uiPriority w:val="0"/>
    <w:pPr>
      <w:spacing w:before="36" w:after="36"/>
    </w:pPr>
  </w:style>
  <w:style w:type="paragraph" w:customStyle="1" w:styleId="29">
    <w:name w:val="Author"/>
    <w:next w:val="3"/>
    <w:qFormat/>
    <w:uiPriority w:val="0"/>
    <w:pPr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30">
    <w:name w:val="Abstract"/>
    <w:basedOn w:val="1"/>
    <w:next w:val="3"/>
    <w:qFormat/>
    <w:uiPriority w:val="0"/>
    <w:pPr>
      <w:spacing w:before="3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table" w:customStyle="1" w:styleId="3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3">
    <w:name w:val="Definition Term"/>
    <w:basedOn w:val="1"/>
    <w:next w:val="34"/>
    <w:uiPriority w:val="0"/>
    <w:pPr>
      <w:spacing w:after="0"/>
    </w:pPr>
    <w:rPr>
      <w:b/>
    </w:rPr>
  </w:style>
  <w:style w:type="paragraph" w:customStyle="1" w:styleId="34">
    <w:name w:val="Definition"/>
    <w:basedOn w:val="1"/>
    <w:uiPriority w:val="0"/>
  </w:style>
  <w:style w:type="paragraph" w:customStyle="1" w:styleId="35">
    <w:name w:val="Table Caption"/>
    <w:basedOn w:val="12"/>
    <w:uiPriority w:val="0"/>
  </w:style>
  <w:style w:type="paragraph" w:customStyle="1" w:styleId="36">
    <w:name w:val="Image Caption"/>
    <w:basedOn w:val="12"/>
    <w:uiPriority w:val="0"/>
  </w:style>
  <w:style w:type="paragraph" w:customStyle="1" w:styleId="37">
    <w:name w:val="Figure"/>
    <w:basedOn w:val="1"/>
    <w:uiPriority w:val="0"/>
  </w:style>
  <w:style w:type="paragraph" w:customStyle="1" w:styleId="38">
    <w:name w:val="Captioned Figure"/>
    <w:basedOn w:val="37"/>
    <w:uiPriority w:val="0"/>
  </w:style>
  <w:style w:type="character" w:customStyle="1" w:styleId="39">
    <w:name w:val="Verbatim Char"/>
    <w:basedOn w:val="25"/>
    <w:link w:val="40"/>
    <w:uiPriority w:val="0"/>
    <w:rPr>
      <w:rFonts w:ascii="Consolas" w:hAnsi="Consolas"/>
      <w:sz w:val="22"/>
    </w:rPr>
  </w:style>
  <w:style w:type="paragraph" w:customStyle="1" w:styleId="40">
    <w:name w:val="Source Code"/>
    <w:basedOn w:val="1"/>
    <w:link w:val="39"/>
    <w:uiPriority w:val="0"/>
    <w:pPr>
      <w:wordWrap w:val="0"/>
    </w:pPr>
  </w:style>
  <w:style w:type="character" w:customStyle="1" w:styleId="41">
    <w:name w:val="Section Number"/>
    <w:basedOn w:val="25"/>
    <w:uiPriority w:val="0"/>
  </w:style>
  <w:style w:type="paragraph" w:customStyle="1" w:styleId="4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66091" w:themeColor="accent1" w:themeShade="BF"/>
    </w:rPr>
  </w:style>
  <w:style w:type="character" w:customStyle="1" w:styleId="43">
    <w:name w:val="KeywordTok"/>
    <w:basedOn w:val="39"/>
    <w:uiPriority w:val="0"/>
    <w:rPr>
      <w:rFonts w:ascii="Consolas" w:hAnsi="Consolas"/>
      <w:b/>
      <w:color w:val="007020"/>
      <w:sz w:val="22"/>
    </w:rPr>
  </w:style>
  <w:style w:type="character" w:customStyle="1" w:styleId="44">
    <w:name w:val="DataTypeTok"/>
    <w:basedOn w:val="39"/>
    <w:uiPriority w:val="0"/>
    <w:rPr>
      <w:rFonts w:ascii="Consolas" w:hAnsi="Consolas"/>
      <w:color w:val="902000"/>
      <w:sz w:val="22"/>
    </w:rPr>
  </w:style>
  <w:style w:type="character" w:customStyle="1" w:styleId="45">
    <w:name w:val="DecValTok"/>
    <w:basedOn w:val="39"/>
    <w:uiPriority w:val="0"/>
    <w:rPr>
      <w:rFonts w:ascii="Consolas" w:hAnsi="Consolas"/>
      <w:color w:val="40A070"/>
      <w:sz w:val="22"/>
    </w:rPr>
  </w:style>
  <w:style w:type="character" w:customStyle="1" w:styleId="46">
    <w:name w:val="BaseNTok"/>
    <w:basedOn w:val="39"/>
    <w:uiPriority w:val="0"/>
    <w:rPr>
      <w:rFonts w:ascii="Consolas" w:hAnsi="Consolas"/>
      <w:color w:val="40A070"/>
      <w:sz w:val="22"/>
    </w:rPr>
  </w:style>
  <w:style w:type="character" w:customStyle="1" w:styleId="47">
    <w:name w:val="FloatTok"/>
    <w:basedOn w:val="39"/>
    <w:uiPriority w:val="0"/>
    <w:rPr>
      <w:rFonts w:ascii="Consolas" w:hAnsi="Consolas"/>
      <w:color w:val="40A070"/>
      <w:sz w:val="22"/>
    </w:rPr>
  </w:style>
  <w:style w:type="character" w:customStyle="1" w:styleId="48">
    <w:name w:val="ConstantTok"/>
    <w:basedOn w:val="39"/>
    <w:uiPriority w:val="0"/>
    <w:rPr>
      <w:rFonts w:ascii="Consolas" w:hAnsi="Consolas"/>
      <w:color w:val="880000"/>
      <w:sz w:val="22"/>
    </w:rPr>
  </w:style>
  <w:style w:type="character" w:customStyle="1" w:styleId="49">
    <w:name w:val="CharTok"/>
    <w:basedOn w:val="39"/>
    <w:uiPriority w:val="0"/>
    <w:rPr>
      <w:rFonts w:ascii="Consolas" w:hAnsi="Consolas"/>
      <w:color w:val="4070A0"/>
      <w:sz w:val="22"/>
    </w:rPr>
  </w:style>
  <w:style w:type="character" w:customStyle="1" w:styleId="50">
    <w:name w:val="SpecialCharTok"/>
    <w:basedOn w:val="39"/>
    <w:uiPriority w:val="0"/>
    <w:rPr>
      <w:rFonts w:ascii="Consolas" w:hAnsi="Consolas"/>
      <w:color w:val="4070A0"/>
      <w:sz w:val="22"/>
    </w:rPr>
  </w:style>
  <w:style w:type="character" w:customStyle="1" w:styleId="51">
    <w:name w:val="StringTok"/>
    <w:basedOn w:val="39"/>
    <w:uiPriority w:val="0"/>
    <w:rPr>
      <w:rFonts w:ascii="Consolas" w:hAnsi="Consolas"/>
      <w:color w:val="4070A0"/>
      <w:sz w:val="22"/>
    </w:rPr>
  </w:style>
  <w:style w:type="character" w:customStyle="1" w:styleId="52">
    <w:name w:val="VerbatimStringTok"/>
    <w:basedOn w:val="39"/>
    <w:uiPriority w:val="0"/>
    <w:rPr>
      <w:rFonts w:ascii="Consolas" w:hAnsi="Consolas"/>
      <w:color w:val="4070A0"/>
      <w:sz w:val="22"/>
    </w:rPr>
  </w:style>
  <w:style w:type="character" w:customStyle="1" w:styleId="53">
    <w:name w:val="SpecialStringTok"/>
    <w:basedOn w:val="39"/>
    <w:uiPriority w:val="0"/>
    <w:rPr>
      <w:rFonts w:ascii="Consolas" w:hAnsi="Consolas"/>
      <w:color w:val="BB6688"/>
      <w:sz w:val="22"/>
    </w:rPr>
  </w:style>
  <w:style w:type="character" w:customStyle="1" w:styleId="54">
    <w:name w:val="ImportTok"/>
    <w:basedOn w:val="39"/>
    <w:uiPriority w:val="0"/>
    <w:rPr>
      <w:rFonts w:ascii="Consolas" w:hAnsi="Consolas"/>
      <w:sz w:val="22"/>
    </w:rPr>
  </w:style>
  <w:style w:type="character" w:customStyle="1" w:styleId="55">
    <w:name w:val="CommentTok"/>
    <w:basedOn w:val="39"/>
    <w:uiPriority w:val="0"/>
    <w:rPr>
      <w:rFonts w:ascii="Consolas" w:hAnsi="Consolas"/>
      <w:i/>
      <w:color w:val="60A0B0"/>
      <w:sz w:val="22"/>
    </w:rPr>
  </w:style>
  <w:style w:type="character" w:customStyle="1" w:styleId="56">
    <w:name w:val="DocumentationTok"/>
    <w:basedOn w:val="39"/>
    <w:uiPriority w:val="0"/>
    <w:rPr>
      <w:rFonts w:ascii="Consolas" w:hAnsi="Consolas"/>
      <w:i/>
      <w:color w:val="BA2121"/>
      <w:sz w:val="22"/>
    </w:rPr>
  </w:style>
  <w:style w:type="character" w:customStyle="1" w:styleId="57">
    <w:name w:val="AnnotationTok"/>
    <w:basedOn w:val="39"/>
    <w:uiPriority w:val="0"/>
    <w:rPr>
      <w:rFonts w:ascii="Consolas" w:hAnsi="Consolas"/>
      <w:b/>
      <w:i/>
      <w:color w:val="60A0B0"/>
      <w:sz w:val="22"/>
    </w:rPr>
  </w:style>
  <w:style w:type="character" w:customStyle="1" w:styleId="58">
    <w:name w:val="CommentVarTok"/>
    <w:basedOn w:val="39"/>
    <w:uiPriority w:val="0"/>
    <w:rPr>
      <w:rFonts w:ascii="Consolas" w:hAnsi="Consolas"/>
      <w:b/>
      <w:i/>
      <w:color w:val="60A0B0"/>
      <w:sz w:val="22"/>
    </w:rPr>
  </w:style>
  <w:style w:type="character" w:customStyle="1" w:styleId="59">
    <w:name w:val="OtherTok"/>
    <w:basedOn w:val="39"/>
    <w:uiPriority w:val="0"/>
    <w:rPr>
      <w:rFonts w:ascii="Consolas" w:hAnsi="Consolas"/>
      <w:color w:val="007020"/>
      <w:sz w:val="22"/>
    </w:rPr>
  </w:style>
  <w:style w:type="character" w:customStyle="1" w:styleId="60">
    <w:name w:val="FunctionTok"/>
    <w:basedOn w:val="39"/>
    <w:uiPriority w:val="0"/>
    <w:rPr>
      <w:rFonts w:ascii="Consolas" w:hAnsi="Consolas"/>
      <w:color w:val="06287E"/>
      <w:sz w:val="22"/>
    </w:rPr>
  </w:style>
  <w:style w:type="character" w:customStyle="1" w:styleId="61">
    <w:name w:val="VariableTok"/>
    <w:basedOn w:val="39"/>
    <w:uiPriority w:val="0"/>
    <w:rPr>
      <w:rFonts w:ascii="Consolas" w:hAnsi="Consolas"/>
      <w:color w:val="19177C"/>
      <w:sz w:val="22"/>
    </w:rPr>
  </w:style>
  <w:style w:type="character" w:customStyle="1" w:styleId="62">
    <w:name w:val="ControlFlowTok"/>
    <w:basedOn w:val="39"/>
    <w:uiPriority w:val="0"/>
    <w:rPr>
      <w:rFonts w:ascii="Consolas" w:hAnsi="Consolas"/>
      <w:b/>
      <w:color w:val="007020"/>
      <w:sz w:val="22"/>
    </w:rPr>
  </w:style>
  <w:style w:type="character" w:customStyle="1" w:styleId="63">
    <w:name w:val="OperatorTok"/>
    <w:basedOn w:val="39"/>
    <w:uiPriority w:val="0"/>
    <w:rPr>
      <w:rFonts w:ascii="Consolas" w:hAnsi="Consolas"/>
      <w:color w:val="666666"/>
      <w:sz w:val="22"/>
    </w:rPr>
  </w:style>
  <w:style w:type="character" w:customStyle="1" w:styleId="64">
    <w:name w:val="BuiltInTok"/>
    <w:basedOn w:val="39"/>
    <w:uiPriority w:val="0"/>
    <w:rPr>
      <w:rFonts w:ascii="Consolas" w:hAnsi="Consolas"/>
      <w:sz w:val="22"/>
    </w:rPr>
  </w:style>
  <w:style w:type="character" w:customStyle="1" w:styleId="65">
    <w:name w:val="ExtensionTok"/>
    <w:basedOn w:val="39"/>
    <w:uiPriority w:val="0"/>
    <w:rPr>
      <w:rFonts w:ascii="Consolas" w:hAnsi="Consolas"/>
      <w:sz w:val="22"/>
    </w:rPr>
  </w:style>
  <w:style w:type="character" w:customStyle="1" w:styleId="66">
    <w:name w:val="PreprocessorTok"/>
    <w:basedOn w:val="39"/>
    <w:uiPriority w:val="0"/>
    <w:rPr>
      <w:rFonts w:ascii="Consolas" w:hAnsi="Consolas"/>
      <w:color w:val="BC7A00"/>
      <w:sz w:val="22"/>
    </w:rPr>
  </w:style>
  <w:style w:type="character" w:customStyle="1" w:styleId="67">
    <w:name w:val="AttributeTok"/>
    <w:basedOn w:val="39"/>
    <w:uiPriority w:val="0"/>
    <w:rPr>
      <w:rFonts w:ascii="Consolas" w:hAnsi="Consolas"/>
      <w:color w:val="7D9029"/>
      <w:sz w:val="22"/>
    </w:rPr>
  </w:style>
  <w:style w:type="character" w:customStyle="1" w:styleId="68">
    <w:name w:val="RegionMarkerTok"/>
    <w:basedOn w:val="39"/>
    <w:uiPriority w:val="0"/>
    <w:rPr>
      <w:rFonts w:ascii="Consolas" w:hAnsi="Consolas"/>
      <w:sz w:val="22"/>
    </w:rPr>
  </w:style>
  <w:style w:type="character" w:customStyle="1" w:styleId="69">
    <w:name w:val="InformationTok"/>
    <w:basedOn w:val="39"/>
    <w:uiPriority w:val="0"/>
    <w:rPr>
      <w:rFonts w:ascii="Consolas" w:hAnsi="Consolas"/>
      <w:b/>
      <w:i/>
      <w:color w:val="60A0B0"/>
      <w:sz w:val="22"/>
    </w:rPr>
  </w:style>
  <w:style w:type="character" w:customStyle="1" w:styleId="70">
    <w:name w:val="WarningTok"/>
    <w:basedOn w:val="39"/>
    <w:uiPriority w:val="0"/>
    <w:rPr>
      <w:rFonts w:ascii="Consolas" w:hAnsi="Consolas"/>
      <w:b/>
      <w:i/>
      <w:color w:val="60A0B0"/>
      <w:sz w:val="22"/>
    </w:rPr>
  </w:style>
  <w:style w:type="character" w:customStyle="1" w:styleId="71">
    <w:name w:val="AlertTok"/>
    <w:basedOn w:val="39"/>
    <w:uiPriority w:val="0"/>
    <w:rPr>
      <w:rFonts w:ascii="Consolas" w:hAnsi="Consolas"/>
      <w:b/>
      <w:color w:val="FF0000"/>
      <w:sz w:val="22"/>
    </w:rPr>
  </w:style>
  <w:style w:type="character" w:customStyle="1" w:styleId="72">
    <w:name w:val="ErrorTok"/>
    <w:basedOn w:val="39"/>
    <w:uiPriority w:val="0"/>
    <w:rPr>
      <w:rFonts w:ascii="Consolas" w:hAnsi="Consolas"/>
      <w:b/>
      <w:color w:val="FF0000"/>
      <w:sz w:val="22"/>
    </w:rPr>
  </w:style>
  <w:style w:type="character" w:customStyle="1" w:styleId="73">
    <w:name w:val="NormalTok"/>
    <w:basedOn w:val="39"/>
    <w:uiPriority w:val="0"/>
    <w:rPr>
      <w:rFonts w:ascii="Consolas" w:hAnsi="Consolas"/>
      <w:sz w:val="22"/>
    </w:rPr>
  </w:style>
  <w:style w:type="character" w:customStyle="1" w:styleId="74">
    <w:name w:val="页眉 字符"/>
    <w:basedOn w:val="23"/>
    <w:link w:val="17"/>
    <w:uiPriority w:val="0"/>
    <w:rPr>
      <w:sz w:val="18"/>
      <w:szCs w:val="18"/>
    </w:rPr>
  </w:style>
  <w:style w:type="character" w:customStyle="1" w:styleId="75">
    <w:name w:val="页脚 字符"/>
    <w:basedOn w:val="23"/>
    <w:link w:val="16"/>
    <w:uiPriority w:val="0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538</Words>
  <Characters>705</Characters>
  <Lines>1113</Lines>
  <Paragraphs>745</Paragraphs>
  <TotalTime>7</TotalTime>
  <ScaleCrop>false</ScaleCrop>
  <LinksUpToDate>false</LinksUpToDate>
  <CharactersWithSpaces>768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2026-10-26T11:02:00Z</dcterms:created>
  <dc:creator>孙秋实</dc:creator>
  <cp:lastModifiedBy>孙秋实</cp:lastModifiedBy>
  <dcterms:modified xsi:type="dcterms:W3CDTF">2026-10-26T13:03:58Z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eyJoZGlkIjoiNTJmODlmNmYwMWI5NzRlNjkxYTNiYzI0YzE3OTEyODUiLCJ1c2VySWQiOiIxMzQ1NTk1MDczIn0=</vt:lpwstr>
  </property>
  <property fmtid="{D5CDD505-2E9C-101B-9397-08002B2CF9AE}" pid="3" name="KSOProductBuildVer">
    <vt:lpwstr>2052-12.1.0.29161</vt:lpwstr>
  </property>
  <property fmtid="{D5CDD505-2E9C-101B-9397-08002B2CF9AE}" pid="4" name="ICV">
    <vt:lpwstr>0A89AFE4A2AB4627ADC278BB3A7193AE_12</vt:lpwstr>
  </property>
</Properties>
</file>