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AI Copilot &amp; Agent Skills 導入評估報告</w:t>
      </w:r>
    </w:p>
    <w:p>
      <w:pPr>
        <w:pStyle w:val="Heading2"/>
        <w:jc w:val="center"/>
      </w:pPr>
      <w:r>
        <w:t xml:space="preserve">針對半導體/高科技製造場域 (Semiconductor Fab/OSAT)</w:t>
      </w:r>
    </w:p>
    <w:p/>
    <w:p>
      <w:pPr>
        <w:pStyle w:val="Quote"/>
      </w:pPr>
      <w:r>
        <w:rPr>
          <w:b/>
          <w:bCs/>
        </w:rPr>
        <w:t xml:space="preserve">摘要：</w:t>
      </w:r>
      <w:r>
        <w:t xml:space="preserve">本報告旨在評估於高資安管制的半導體產線環境中，導入 AI 輔助開發工具 (AI Copilot/Antigravity) 及自動化技能模組 (Agent Skills) 之可行性、資安風險與預期效益。</w:t>
      </w:r>
    </w:p>
    <w:p/>
    <w:p>
      <w:pPr>
        <w:pStyle w:val="Heading1"/>
      </w:pPr>
      <w:r>
        <w:t xml:space="preserve">1. 執行架構建議 (Architecture Proposal)</w:t>
      </w:r>
    </w:p>
    <w:p>
      <w:r>
        <w:t xml:space="preserve">考量半導體產業對 IP 與產線穩定性的極高要求，建議採用分級網段管理策略。</w:t>
      </w:r>
    </w:p>
    <w:p/>
    <w:p>
      <w:pPr>
        <w:pStyle w:val="Quote"/>
      </w:pPr>
      <w:r>
        <w:t xml:space="preserve">[架構圖說明：建議採用分級網段管理。OA/RD網段透過 Proxy 連接雲端 AI；Fab產線網段實體隔離，僅連接地端 Local LLM。]</w:t>
      </w:r>
    </w:p>
    <w:p/>
    <w:p>
      <w:r>
        <w:t xml:space="preserve">架構說明：</w:t>
      </w:r>
    </w:p>
    <w:p>
      <w:pPr>
        <w:pStyle w:val="ListParagraph"/>
        <w:numPr>
          <w:ilvl w:val="0"/>
          <w:numId w:val="2"/>
        </w:numPr>
      </w:pPr>
      <w:r>
        <w:t xml:space="preserve">OA/RD 網段 (綠區)：允許有限度連網。透過 Secure Proxy 連接雲端 AI 服務 (如 Antigravity 企業版)。Agent Skills 在此區域發揮最大效益。</w:t>
      </w:r>
    </w:p>
    <w:p>
      <w:pPr>
        <w:pStyle w:val="ListParagraph"/>
        <w:numPr>
          <w:ilvl w:val="0"/>
          <w:numId w:val="2"/>
        </w:numPr>
      </w:pPr>
      <w:r>
        <w:t xml:space="preserve">Fab/產線網段 (紅區)：實體隔離 (Air-gapped)。嚴禁直接連接雲端 AI。若有 AI 需求，需架設 Local LLM (地端模型)，資料完全不出內網。</w:t>
      </w:r>
    </w:p>
    <w:p/>
    <w:p>
      <w:pPr>
        <w:pStyle w:val="Heading1"/>
      </w:pPr>
      <w:r>
        <w:t xml:space="preserve">2. 資安風險評估與緩解 (Security Risk Assessment)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3000"/>
        <w:gridCol w:w="3500"/>
      </w:tblGrid>
      <w:tr>
        <w:trPr>
          <w:tblHeader/>
        </w:trP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風險項目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風險等級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說明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緩解措施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r>
              <w:t xml:space="preserve">代碼洩漏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r>
              <w:t xml:space="preserve">🔴 高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r>
              <w:t xml:space="preserve">核心製程代碼上傳至雲端模型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r>
              <w:t xml:space="preserve">1. 簽署 No-Training Policy 企業合約。</w:t>
            </w:r>
          </w:p>
          <w:p>
            <w:r>
              <w:t xml:space="preserve">2. 設定 .gitignore 與敏感字詞過濾。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r>
              <w:t xml:space="preserve">機台誤操作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r>
              <w:t xml:space="preserve">🔴 高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r>
              <w:t xml:space="preserve">AI 生成錯誤指令導致產線停機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r>
              <w:t xml:space="preserve">1. 產線環境僅限唯讀查詢。</w:t>
            </w:r>
          </w:p>
          <w:p>
            <w:r>
              <w:t xml:space="preserve">2. 實施 Human-in-the-loop 確認機制。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r>
              <w:t xml:space="preserve">IP 侵權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r>
              <w:t xml:space="preserve">🟡 中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r>
              <w:t xml:space="preserve">AI 生成的代碼侵犯他人專利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r>
              <w:t xml:space="preserve">1. 採用提供 IP Indemnity 的供應商。</w:t>
            </w:r>
          </w:p>
          <w:p>
            <w:r>
              <w:t xml:space="preserve">2. 規範僅使用內部核可 Library。</w:t>
            </w:r>
          </w:p>
        </w:tc>
      </w:tr>
    </w:tbl>
    <w:p/>
    <w:p>
      <w:pPr>
        <w:pStyle w:val="Heading1"/>
      </w:pPr>
      <w:r>
        <w:t xml:space="preserve">3. Agent Skill 的核心價值 (Value Proposition)</w:t>
      </w:r>
    </w:p>
    <w:p>
      <w:r>
        <w:t xml:space="preserve">Agent Skill 並非單純的 AI 聊天，而是將公司內部的 SOP (標準作業程序) 封裝成 AI 可執行的工具包。</w:t>
      </w:r>
    </w:p>
    <w:p/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5500"/>
      </w:tblGrid>
      <w:tr>
        <w:trPr>
          <w:tblHeader/>
        </w:trPr>
        <w:tc>
          <w:tcPr>
            <w:tcW w:type="dxa" w:w="333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效益層面</w:t>
            </w:r>
          </w:p>
        </w:tc>
        <w:tc>
          <w:tcPr>
            <w:tcW w:type="dxa" w:w="333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關鍵字</w:t>
            </w:r>
          </w:p>
        </w:tc>
        <w:tc>
          <w:tcPr>
            <w:tcW w:type="dxa" w:w="333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說明</w:t>
            </w:r>
          </w:p>
        </w:tc>
      </w:tr>
      <w:tr>
        <w:tc>
          <w:tcPr>
            <w:tcW w:type="dxa" w:w="333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成本</w:t>
            </w:r>
          </w:p>
        </w:tc>
        <w:tc>
          <w:tcPr>
            <w:tcW w:type="dxa" w:w="333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Token Savings</w:t>
            </w:r>
          </w:p>
        </w:tc>
        <w:tc>
          <w:tcPr>
            <w:tcW w:type="dxa" w:w="333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減少重複輸入背景資料，省錢又省頻寬。</w:t>
            </w:r>
          </w:p>
        </w:tc>
      </w:tr>
      <w:tr>
        <w:tc>
          <w:tcPr>
            <w:tcW w:type="dxa" w:w="333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品質</w:t>
            </w:r>
          </w:p>
        </w:tc>
        <w:tc>
          <w:tcPr>
            <w:tcW w:type="dxa" w:w="333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Consistency</w:t>
            </w:r>
          </w:p>
        </w:tc>
        <w:tc>
          <w:tcPr>
            <w:tcW w:type="dxa" w:w="333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確保全公司輸出的代碼/文件風格統一，不因人而異。</w:t>
            </w:r>
          </w:p>
        </w:tc>
      </w:tr>
      <w:tr>
        <w:tc>
          <w:tcPr>
            <w:tcW w:type="dxa" w:w="333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人力</w:t>
            </w:r>
          </w:p>
        </w:tc>
        <w:tc>
          <w:tcPr>
            <w:tcW w:type="dxa" w:w="333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Empowerment</w:t>
            </w:r>
          </w:p>
        </w:tc>
        <w:tc>
          <w:tcPr>
            <w:tcW w:type="dxa" w:w="333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讓資淺員工也能透過 Skill，瞬間擁有資深專家的 AI 操控力。</w:t>
            </w:r>
          </w:p>
        </w:tc>
      </w:tr>
      <w:tr>
        <w:tc>
          <w:tcPr>
            <w:tcW w:type="dxa" w:w="333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風險</w:t>
            </w:r>
          </w:p>
        </w:tc>
        <w:tc>
          <w:tcPr>
            <w:tcW w:type="dxa" w:w="333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Compliance</w:t>
            </w:r>
          </w:p>
        </w:tc>
        <w:tc>
          <w:tcPr>
            <w:tcW w:type="dxa" w:w="333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透過 Skill 預設的限制，防止 AI 產生不合規或有風險的內容。</w:t>
            </w:r>
          </w:p>
        </w:tc>
      </w:tr>
    </w:tbl>
    <w:p/>
    <w:p>
      <w:r>
        <w:t xml:space="preserve">效益分析：</w:t>
      </w:r>
    </w:p>
    <w:p>
      <w:pPr>
        <w:pStyle w:val="ListParagraph"/>
        <w:numPr>
          <w:ilvl w:val="0"/>
          <w:numId w:val="2"/>
        </w:numPr>
      </w:pPr>
      <w:r>
        <w:t xml:space="preserve">知識傳承 (Knowledge Management)：將維修手冊與歷史 Log 製作成 Skill。新人只需問：「Error 503 排解」，AI 自動撈出標準流程。</w:t>
      </w:r>
    </w:p>
    <w:p>
      <w:pPr>
        <w:pStyle w:val="ListParagraph"/>
        <w:numPr>
          <w:ilvl w:val="0"/>
          <w:numId w:val="2"/>
        </w:numPr>
      </w:pPr>
      <w:r>
        <w:t xml:space="preserve">標準化與合規 (Standardization)：透過 Agent Skill 生成代碼，強制套用公司的 Coding Style 與資安規範。</w:t>
      </w:r>
    </w:p>
    <w:p>
      <w:pPr>
        <w:pStyle w:val="ListParagraph"/>
        <w:numPr>
          <w:ilvl w:val="0"/>
          <w:numId w:val="2"/>
        </w:numPr>
      </w:pPr>
      <w:r>
        <w:t xml:space="preserve">提升效率 (Efficiency)：自動化指令 (如 @docx 生成報告)，減少 30%-50% 的文書時間。</w:t>
      </w:r>
    </w:p>
    <w:p/>
    <w:p>
      <w:pPr>
        <w:pStyle w:val="Heading1"/>
      </w:pPr>
      <w:r>
        <w:t xml:space="preserve">4. 導入時程建議 (Roadmap)</w:t>
      </w:r>
    </w:p>
    <w:p>
      <w:r>
        <w:t xml:space="preserve">Phase 1: PoC (概念驗證) - [1-2 個月]</w:t>
      </w:r>
    </w:p>
    <w:p>
      <w:pPr>
        <w:ind w:left="720"/>
      </w:pPr>
      <w:r>
        <w:t xml:space="preserve">範圍：RD 部門，選定 10 位種子用戶。目標：導入 Antigravity/Copilot，測試 Agent Skill 對於非機密專案的效率提升。</w:t>
      </w:r>
    </w:p>
    <w:p>
      <w:r>
        <w:t xml:space="preserve">Phase 2: Pilot (試行) - [3-6 個月]</w:t>
      </w:r>
    </w:p>
    <w:p>
      <w:pPr>
        <w:ind w:left="720"/>
      </w:pPr>
      <w:r>
        <w:t xml:space="preserve">範圍：擴大至 OA 網段，設定 Proxy 白名單。重點：建立資安審計 Log，確認資料流向安全。</w:t>
      </w:r>
    </w:p>
    <w:p>
      <w:r>
        <w:t xml:space="preserve">Phase 3: Production (正式上線) - [6個月+]</w:t>
      </w:r>
    </w:p>
    <w:p>
      <w:pPr>
        <w:ind w:left="720"/>
      </w:pPr>
      <w:r>
        <w:t xml:space="preserve">範圍：全公司 (不含產線機台)。產線特別方案：評估導入地端模型，將驗證過的 Agent Skills 遷移至地端環境。</w:t>
      </w:r>
    </w:p>
    <w:p/>
    <w:p>
      <w:pPr>
        <w:pStyle w:val="Quote"/>
      </w:pPr>
      <w:r>
        <w:rPr>
          <w:b/>
          <w:bCs/>
        </w:rPr>
        <w:t xml:space="preserve">結論：</w:t>
      </w:r>
      <w:r>
        <w:t xml:space="preserve">在適當的資安架構 (Proxy/Local LLM) 與政策管控下，導入 AI Copilot 與 Agent Skills 能顯著提升半導體產業的軟體工程效率與知識管理能力，是邁向智慧製造 (Smart Manufacturing) 的關鍵一步。</w:t>
      </w:r>
    </w:p>
    <w:p/>
    <w:p>
      <w:pPr>
        <w:jc w:val="right"/>
      </w:pPr>
      <w:r>
        <w:t xml:space="preserve">報告人：Wayne Chou / Antigravity Assistant</w:t>
      </w:r>
    </w:p>
    <w:p>
      <w:pPr>
        <w:jc w:val="right"/>
      </w:pPr>
      <w:r>
        <w:t xml:space="preserve">日期：2026/02/06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line="360" w:before="120" w:after="120"/>
    </w:pPr>
    <w:rPr>
      <w:rFonts w:ascii="Arial" w:cs="Arial" w:eastAsia="Arial" w:hAnsi="Arial"/>
      <w:color w:val="000000"/>
      <w:sz w:val="24"/>
      <w:szCs w:val="24"/>
    </w:rPr>
  </w:style>
  <w:style w:type="paragraph" w:styleId="Heading1">
    <w:name w:val="Heading 1"/>
    <w:pPr>
      <w:keepNext/>
      <w:spacing w:before="480" w:after="240"/>
    </w:pPr>
    <w:rPr>
      <w:rFonts w:ascii="Arial" w:cs="Arial" w:eastAsia="Arial" w:hAnsi="Arial"/>
      <w:b/>
      <w:bCs/>
      <w:color w:val="2E74B5"/>
      <w:sz w:val="36"/>
      <w:szCs w:val="36"/>
    </w:rPr>
  </w:style>
  <w:style w:type="paragraph" w:styleId="Heading2">
    <w:name w:val="Heading 2"/>
    <w:pPr>
      <w:keepNext/>
      <w:spacing w:before="360" w:after="180"/>
    </w:pPr>
    <w:rPr>
      <w:rFonts w:ascii="Arial" w:cs="Arial" w:eastAsia="Arial" w:hAnsi="Arial"/>
      <w:b/>
      <w:bCs/>
      <w:color w:val="2E74B5"/>
      <w:sz w:val="28"/>
      <w:szCs w:val="28"/>
    </w:rPr>
  </w:style>
  <w:style w:type="paragraph" w:styleId="Quote">
    <w:name w:val="Quote"/>
    <w:pPr>
      <w:pBdr>
        <w:left w:val="single" w:color="CCCCCC" w:sz="12" w:space="240"/>
      </w:pBdr>
      <w:spacing w:before="240" w:after="240"/>
      <w:ind w:left="720"/>
    </w:pPr>
    <w:rPr>
      <w:rFonts w:ascii="Arial" w:cs="Arial" w:eastAsia="Arial" w:hAnsi="Arial"/>
      <w:i/>
      <w:i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2026-02-06T09:01:22.525Z</dcterms:created>
  <dcterms:modified xsi:type="dcterms:W3CDTF">2026-02-06T09:01:22.527Z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