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0516" w14:textId="77777777" w:rsidR="005437C4" w:rsidRPr="005437C4" w:rsidRDefault="005437C4" w:rsidP="005437C4">
      <w:pPr>
        <w:pStyle w:val="Heading2"/>
        <w:rPr>
          <w:sz w:val="40"/>
          <w:szCs w:val="40"/>
        </w:rPr>
      </w:pPr>
      <w:r w:rsidRPr="005437C4">
        <w:rPr>
          <w:sz w:val="40"/>
          <w:szCs w:val="40"/>
        </w:rPr>
        <w:t>Sets</w:t>
      </w:r>
    </w:p>
    <w:p w14:paraId="07970585" w14:textId="43A00063" w:rsidR="005437C4" w:rsidRPr="007E3078" w:rsidRDefault="005437C4" w:rsidP="005437C4">
      <w:pPr>
        <w:ind w:firstLine="720"/>
      </w:pPr>
      <w:r w:rsidRPr="007E3078">
        <w:t xml:space="preserve">Except where otherwise indicated, all sets considered in this book will be </w:t>
      </w:r>
      <w:r w:rsidRPr="007E3078">
        <w:rPr>
          <w:i/>
          <w:iCs/>
        </w:rPr>
        <w:t>finite</w:t>
      </w:r>
      <w:r w:rsidRPr="007E3078">
        <w:t xml:space="preserve">. For a set </w:t>
      </w:r>
      <m:oMath>
        <m:r>
          <w:rPr>
            <w:rFonts w:ascii="Cambria Math" w:hAnsi="Cambria Math"/>
          </w:rPr>
          <m:t>E</m:t>
        </m:r>
      </m:oMath>
      <w:r w:rsidRPr="007E3078">
        <w:rPr>
          <w:rFonts w:ascii="Tahoma" w:hAnsi="Tahoma"/>
        </w:rPr>
        <w:t>,</w:t>
      </w:r>
      <w:r w:rsidRPr="007E3078">
        <w:t xml:space="preserve"> its collection of subsets and its cardinality will be denoted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  <w:vertAlign w:val="superscript"/>
              </w:rPr>
              <m:t>E</m:t>
            </m:r>
          </m:sup>
        </m:sSup>
      </m:oMath>
      <w:r w:rsidRPr="007E3078">
        <w:rPr>
          <w:i/>
          <w:iCs/>
        </w:rPr>
        <w:t xml:space="preserve"> </w:t>
      </w:r>
      <w:r w:rsidRPr="007E3078">
        <w:t xml:space="preserve">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7E3078">
        <w:rPr>
          <w:i/>
          <w:iCs/>
        </w:rPr>
        <w:t xml:space="preserve"> </w:t>
      </w:r>
      <w:r w:rsidRPr="007E3078">
        <w:t>, respectively. Frequently, when given a set</w:t>
      </w:r>
      <w:r>
        <w:t xml:space="preserve"> </w:t>
      </w:r>
      <w:r w:rsidRPr="007E3078">
        <w:t xml:space="preserve">of subsets of </w:t>
      </w:r>
      <m:oMath>
        <m:r>
          <w:rPr>
            <w:rFonts w:ascii="Cambria Math" w:hAnsi="Cambria Math"/>
          </w:rPr>
          <m:t>E</m:t>
        </m:r>
      </m:oMath>
      <w:r w:rsidRPr="007E3078">
        <w:t xml:space="preserve">, we shall be interested in the </w:t>
      </w:r>
      <w:proofErr w:type="gramStart"/>
      <w:r w:rsidRPr="007E3078">
        <w:rPr>
          <w:i/>
          <w:iCs/>
        </w:rPr>
        <w:t>maximal</w:t>
      </w:r>
      <w:proofErr w:type="gramEnd"/>
      <w:r w:rsidRPr="007E3078">
        <w:rPr>
          <w:i/>
          <w:iCs/>
        </w:rPr>
        <w:t xml:space="preserve"> </w:t>
      </w:r>
      <w:r w:rsidRPr="007E3078">
        <w:t xml:space="preserve">or </w:t>
      </w:r>
      <w:r w:rsidRPr="007E3078">
        <w:rPr>
          <w:i/>
          <w:iCs/>
        </w:rPr>
        <w:t xml:space="preserve">minimal members </w:t>
      </w:r>
      <w:r>
        <w:t xml:space="preserve">of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. </w:t>
      </w:r>
      <w:r w:rsidRPr="007E3078">
        <w:t xml:space="preserve">The former are those </w:t>
      </w:r>
      <w:proofErr w:type="gramStart"/>
      <w:r w:rsidRPr="007E3078">
        <w:t>members of</w:t>
      </w:r>
      <w:proofErr w:type="gramEnd"/>
      <w:r>
        <w:t xml:space="preserve"> </w:t>
      </w:r>
      <w:r w:rsidRPr="007E3078">
        <w:t>that are not properly contained in any member of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 w:rsidRPr="007E3078">
        <w:t>; the latter are the members of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 xml:space="preserve"> </w:t>
      </w:r>
      <w:r w:rsidRPr="007E3078">
        <w:t>that do not properly contain any member of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A</m:t>
        </m:r>
      </m:oMath>
      <w:r>
        <w:t>.</w:t>
      </w:r>
      <w:r w:rsidRPr="007E3078">
        <w:t xml:space="preserve"> </w:t>
      </w:r>
      <w:r>
        <w:t>T</w:t>
      </w:r>
      <w:r w:rsidRPr="007E3078">
        <w:t xml:space="preserve">he sets of positive integers, integers, rational numbers, real numbers, and complex numbers will be denoted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7E3078">
        <w:t xml:space="preserve">, </w:t>
      </w:r>
      <m:oMath>
        <m:r>
          <m:rPr>
            <m:scr m:val="double-struck"/>
          </m:rPr>
          <w:rPr>
            <w:rFonts w:ascii="Cambria Math" w:hAnsi="Cambria Math"/>
          </w:rPr>
          <m:t>Z</m:t>
        </m:r>
      </m:oMath>
      <w:r w:rsidRPr="007E3078">
        <w:t xml:space="preserve">,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 w:rsidRPr="007E3078">
        <w:t xml:space="preserve">,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Pr="007E3078">
        <w:t xml:space="preserve">, and </w:t>
      </w:r>
      <m:oMath>
        <m:r>
          <m:rPr>
            <m:scr m:val="double-struck"/>
          </m:rPr>
          <w:rPr>
            <w:rFonts w:ascii="Cambria Math" w:hAnsi="Cambria Math"/>
          </w:rPr>
          <m:t>C</m:t>
        </m:r>
      </m:oMath>
      <w:r w:rsidRPr="007E3078">
        <w:t xml:space="preserve">, respectively. If </w:t>
      </w:r>
      <w:r w:rsidRPr="007E3078">
        <w:rPr>
          <w:i/>
          <w:iCs/>
        </w:rPr>
        <w:t xml:space="preserve">X </w:t>
      </w:r>
      <w:r w:rsidRPr="007E3078">
        <w:t xml:space="preserve">and </w:t>
      </w:r>
      <w:r w:rsidRPr="007E3078">
        <w:rPr>
          <w:i/>
          <w:iCs/>
        </w:rPr>
        <w:t xml:space="preserve">Y </w:t>
      </w:r>
      <w:r w:rsidRPr="007E3078">
        <w:t xml:space="preserve">are sets, then </w:t>
      </w:r>
      <m:oMath>
        <m:r>
          <w:rPr>
            <w:rFonts w:ascii="Cambria Math" w:hAnsi="Cambria Math"/>
          </w:rPr>
          <m:t>X - Y</m:t>
        </m:r>
      </m:oMath>
      <w:r w:rsidRPr="007E3078">
        <w:rPr>
          <w:i/>
          <w:iCs/>
        </w:rPr>
        <w:t xml:space="preserve"> </w:t>
      </w:r>
      <w:r w:rsidRPr="007E3078">
        <w:t xml:space="preserve">denotes the set </w:t>
      </w:r>
      <m:oMath>
        <m:r>
          <w:rPr>
            <w:rFonts w:ascii="Cambria Math" w:hAnsi="Cambria Math"/>
          </w:rPr>
          <m:t>{x∈X : x∉ Y }</m:t>
        </m:r>
      </m:oMath>
      <w:r w:rsidRPr="007E3078">
        <w:t xml:space="preserve">, while </w:t>
      </w:r>
      <m:oMath>
        <m:r>
          <w:rPr>
            <w:rFonts w:ascii="Cambria Math" w:hAnsi="Cambria Math"/>
          </w:rPr>
          <m:t xml:space="preserve">X </m:t>
        </m:r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 xml:space="preserve"> Y</m:t>
        </m:r>
      </m:oMath>
      <w:r w:rsidRPr="007E3078">
        <w:rPr>
          <w:i/>
          <w:iCs/>
        </w:rPr>
        <w:t xml:space="preserve"> </w:t>
      </w:r>
      <w:r w:rsidRPr="007E3078">
        <w:t xml:space="preserve">denotes </w:t>
      </w:r>
      <m:oMath>
        <m:r>
          <w:rPr>
            <w:rFonts w:ascii="Cambria Math" w:hAnsi="Cambria Math"/>
          </w:rPr>
          <m:t>(X -Y )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>(Y -X)</m:t>
        </m:r>
      </m:oMath>
      <w:r w:rsidRPr="007E3078">
        <w:t xml:space="preserve">, the </w:t>
      </w:r>
      <w:r w:rsidRPr="007E3078">
        <w:rPr>
          <w:i/>
          <w:iCs/>
        </w:rPr>
        <w:t xml:space="preserve">symmetric difference </w:t>
      </w:r>
      <w:r w:rsidRPr="007E3078">
        <w:t xml:space="preserve">of </w:t>
      </w:r>
      <m:oMath>
        <m:r>
          <w:rPr>
            <w:rFonts w:ascii="Cambria Math" w:hAnsi="Cambria Math"/>
          </w:rPr>
          <m:t xml:space="preserve">X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Y </m:t>
        </m:r>
      </m:oMath>
      <w:r w:rsidRPr="007E3078">
        <w:t xml:space="preserve">. For sets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 xml:space="preserve">, . . . 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  <m:r>
          <w:rPr>
            <w:rFonts w:ascii="Cambria Math" w:hAnsi="Cambria Math"/>
          </w:rPr>
          <m:t>,</m:t>
        </m:r>
      </m:oMath>
      <w:r w:rsidRPr="007E3078">
        <w:t xml:space="preserve"> the notation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∪</m:t>
            </m:r>
          </m:e>
        </m:acc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 ∪</m:t>
            </m:r>
          </m:e>
        </m:acc>
        <m:r>
          <w:rPr>
            <w:rFonts w:ascii="Cambria Math" w:hAnsi="Cambria Math"/>
          </w:rPr>
          <m:t xml:space="preserve">…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∪</m:t>
            </m:r>
          </m:e>
        </m:acc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E3078">
        <w:rPr>
          <w:i/>
          <w:iCs/>
        </w:rPr>
        <w:t xml:space="preserve"> </w:t>
      </w:r>
      <w:r w:rsidRPr="007E3078">
        <w:t xml:space="preserve">will refer to the set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 w:cs="Cambria Math"/>
          </w:rPr>
          <m:t>∪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cs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… </m:t>
        </m:r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</m:oMath>
      <w:r w:rsidRPr="007E3078">
        <w:rPr>
          <w:i/>
          <w:iCs/>
        </w:rPr>
        <w:t xml:space="preserve"> </w:t>
      </w:r>
      <w:r w:rsidRPr="007E3078">
        <w:t xml:space="preserve">and will also imply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2</m:t>
            </m:r>
          </m:sub>
        </m:sSub>
        <m:r>
          <w:rPr>
            <w:rFonts w:ascii="Cambria Math" w:hAnsi="Cambria Math"/>
          </w:rPr>
          <m:t xml:space="preserve">, … 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vertAlign w:val="subscript"/>
              </w:rPr>
              <m:t>n</m:t>
            </m:r>
          </m:sub>
        </m:sSub>
      </m:oMath>
      <w:r w:rsidRPr="007E3078">
        <w:rPr>
          <w:i/>
          <w:iCs/>
        </w:rPr>
        <w:t xml:space="preserve"> </w:t>
      </w:r>
      <w:r w:rsidRPr="007E3078">
        <w:t xml:space="preserve">are pairwise disjoint. Often, we shall want to add a single element </w:t>
      </w:r>
      <m:oMath>
        <m:r>
          <w:rPr>
            <w:rFonts w:ascii="Cambria Math" w:hAnsi="Cambria Math"/>
          </w:rPr>
          <m:t>e</m:t>
        </m:r>
      </m:oMath>
      <w:r w:rsidRPr="007E3078">
        <w:rPr>
          <w:i/>
          <w:iCs/>
        </w:rPr>
        <w:t xml:space="preserve"> </w:t>
      </w:r>
      <w:r w:rsidRPr="007E3078">
        <w:t xml:space="preserve">to a set </w:t>
      </w:r>
      <m:oMath>
        <m:r>
          <w:rPr>
            <w:rFonts w:ascii="Cambria Math" w:hAnsi="Cambria Math"/>
          </w:rPr>
          <m:t>X</m:t>
        </m:r>
      </m:oMath>
      <w:r w:rsidRPr="007E3078">
        <w:rPr>
          <w:i/>
          <w:iCs/>
        </w:rPr>
        <w:t xml:space="preserve"> </w:t>
      </w:r>
      <w:r w:rsidRPr="007E3078">
        <w:t xml:space="preserve">or to remove </w:t>
      </w:r>
      <m:oMath>
        <m:r>
          <w:rPr>
            <w:rFonts w:ascii="Cambria Math" w:hAnsi="Cambria Math"/>
          </w:rPr>
          <m:t>e</m:t>
        </m:r>
      </m:oMath>
      <w:r w:rsidRPr="007E3078">
        <w:rPr>
          <w:i/>
          <w:iCs/>
        </w:rPr>
        <w:t xml:space="preserve"> </w:t>
      </w:r>
      <w:r w:rsidRPr="007E3078">
        <w:t xml:space="preserve">from </w:t>
      </w:r>
      <m:oMath>
        <m:r>
          <w:rPr>
            <w:rFonts w:ascii="Cambria Math" w:hAnsi="Cambria Math"/>
          </w:rPr>
          <m:t>X</m:t>
        </m:r>
      </m:oMath>
      <w:r w:rsidRPr="007E3078">
        <w:t xml:space="preserve">. </w:t>
      </w:r>
    </w:p>
    <w:p w14:paraId="22CC96B4" w14:textId="77777777" w:rsidR="003628F3" w:rsidRDefault="003628F3"/>
    <w:sectPr w:rsidR="00362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C4"/>
    <w:rsid w:val="002101D7"/>
    <w:rsid w:val="002214D7"/>
    <w:rsid w:val="003628F3"/>
    <w:rsid w:val="003E27AE"/>
    <w:rsid w:val="00434054"/>
    <w:rsid w:val="004728D3"/>
    <w:rsid w:val="005024A3"/>
    <w:rsid w:val="00514F34"/>
    <w:rsid w:val="005437C4"/>
    <w:rsid w:val="006741BB"/>
    <w:rsid w:val="00722551"/>
    <w:rsid w:val="007300EA"/>
    <w:rsid w:val="00754386"/>
    <w:rsid w:val="00903517"/>
    <w:rsid w:val="00921E28"/>
    <w:rsid w:val="009B60D0"/>
    <w:rsid w:val="00A939F7"/>
    <w:rsid w:val="00AB57BF"/>
    <w:rsid w:val="00B33F84"/>
    <w:rsid w:val="00BB4BE8"/>
    <w:rsid w:val="00CB67E6"/>
    <w:rsid w:val="00CE5345"/>
    <w:rsid w:val="00D650FA"/>
    <w:rsid w:val="00E062C5"/>
    <w:rsid w:val="00F17C0C"/>
    <w:rsid w:val="00F9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149B"/>
  <w15:chartTrackingRefBased/>
  <w15:docId w15:val="{434A56E2-3932-4662-9A04-0ADF5226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7C4"/>
    <w:pPr>
      <w:spacing w:after="0" w:line="312" w:lineRule="auto"/>
      <w:ind w:firstLine="576"/>
    </w:pPr>
    <w:rPr>
      <w:rFonts w:ascii="Cambria" w:eastAsia="Times New Roman" w:hAnsi="Cambria" w:cs="Times New Roman"/>
      <w:kern w:val="0"/>
      <w:sz w:val="4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7C4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7C4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28D3"/>
    <w:pPr>
      <w:keepNext/>
      <w:keepLines/>
      <w:spacing w:before="20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595959" w:themeColor="text1" w:themeTint="A6"/>
      <w:kern w:val="2"/>
      <w:sz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517"/>
    <w:pPr>
      <w:keepNext/>
      <w:keepLines/>
      <w:spacing w:before="200" w:line="276" w:lineRule="auto"/>
      <w:ind w:firstLine="0"/>
      <w:outlineLvl w:val="3"/>
    </w:pPr>
    <w:rPr>
      <w:rFonts w:asciiTheme="majorHAnsi" w:eastAsiaTheme="majorEastAsia" w:hAnsiTheme="majorHAnsi" w:cstheme="majorBidi"/>
      <w:bCs/>
      <w:iCs/>
      <w:color w:val="404040" w:themeColor="text1" w:themeTint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C4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C4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C4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C4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C4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9B60D0"/>
    <w:rPr>
      <w:b/>
      <w:bCs/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728D3"/>
    <w:rPr>
      <w:rFonts w:asciiTheme="majorHAnsi" w:eastAsiaTheme="majorEastAsia" w:hAnsiTheme="majorHAnsi" w:cstheme="majorBidi"/>
      <w:b/>
      <w:bCs/>
      <w:color w:val="595959" w:themeColor="text1" w:themeTint="A6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3517"/>
    <w:rPr>
      <w:rFonts w:asciiTheme="majorHAnsi" w:eastAsiaTheme="majorEastAsia" w:hAnsiTheme="majorHAnsi" w:cstheme="majorBidi"/>
      <w:bCs/>
      <w:iCs/>
      <w:color w:val="404040" w:themeColor="text1" w:themeTint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3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C4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C4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C4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1</cp:revision>
  <dcterms:created xsi:type="dcterms:W3CDTF">2025-08-12T22:18:00Z</dcterms:created>
  <dcterms:modified xsi:type="dcterms:W3CDTF">2025-08-12T22:22:00Z</dcterms:modified>
</cp:coreProperties>
</file>