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pPr>
      <w:r>
        <w:rPr>
          <w:rFonts w:ascii="Calibri" w:hAnsi="Calibri" w:eastAsia="等线"/>
          <w:b/>
          <w:color w:val="2E74B5"/>
          <w:sz w:val="20"/>
        </w:rPr>
        <w:t>ARCHITECTURE REVIEW SPECIFICATION</w:t>
      </w:r>
    </w:p>
    <w:p>
      <w:pPr>
        <w:spacing w:before="160" w:after="80"/>
      </w:pPr>
      <w:r>
        <w:rPr>
          <w:rFonts w:ascii="Calibri" w:hAnsi="Calibri" w:eastAsia="等线"/>
          <w:b/>
          <w:color w:val="1F1F1F"/>
          <w:sz w:val="50"/>
        </w:rPr>
        <w:t>多核SoC总线模型方案与架构设计文档</w:t>
      </w:r>
    </w:p>
    <w:p>
      <w:pPr>
        <w:spacing w:after="320"/>
      </w:pPr>
      <w:r>
        <w:rPr>
          <w:rFonts w:ascii="Calibri" w:hAnsi="Calibri" w:eastAsia="等线"/>
          <w:color w:val="666666"/>
          <w:sz w:val="28"/>
        </w:rPr>
        <w:t>设计编码前架构评审稿</w:t>
      </w:r>
    </w:p>
    <w:p>
      <w:pPr>
        <w:spacing w:after="280"/>
        <w:pBdr>
          <w:bottom w:val="single" w:sz="18" w:space="3" w:color="2E74B5"/>
        </w:pBdr>
      </w:pP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vAlign w:val="center"/>
            <w:shd w:fill="F2F4F7"/>
          </w:tcPr>
          <w:p>
            <w:pPr>
              <w:spacing w:after="0"/>
              <w:jc w:val="left"/>
            </w:pPr>
            <w:r>
              <w:rPr>
                <w:rFonts w:ascii="Calibri" w:hAnsi="Calibri" w:eastAsia="等线"/>
                <w:b/>
                <w:color w:val="1F4E79"/>
                <w:sz w:val="19"/>
              </w:rPr>
              <w:t>元数据</w:t>
            </w:r>
          </w:p>
        </w:tc>
        <w:tc>
          <w:tcPr>
            <w:tcW w:type="dxa" w:w="7560"/>
            <w:tcMar>
              <w:top w:w="80" w:type="dxa"/>
              <w:start w:w="120" w:type="dxa"/>
              <w:bottom w:w="80" w:type="dxa"/>
              <w:end w:w="120" w:type="dxa"/>
            </w:tcMar>
            <w:vAlign w:val="center"/>
            <w:shd w:fill="F2F4F7"/>
          </w:tcPr>
          <w:p>
            <w:pPr>
              <w:spacing w:after="0"/>
              <w:jc w:val="left"/>
            </w:pPr>
            <w:r>
              <w:rPr>
                <w:rFonts w:ascii="Calibri" w:hAnsi="Calibri" w:eastAsia="等线"/>
                <w:b/>
                <w:color w:val="1F4E79"/>
                <w:sz w:val="19"/>
              </w:rPr>
              <w:t>内容</w:t>
            </w:r>
          </w:p>
        </w:tc>
      </w:tr>
      <w:tr>
        <w:tc>
          <w:tcPr>
            <w:tcW w:type="dxa" w:w="1800"/>
          </w:tcPr>
          <w:p>
            <w:pPr>
              <w:spacing w:after="0" w:line="240" w:lineRule="auto"/>
            </w:pPr>
            <w:r>
              <w:rPr>
                <w:rFonts w:ascii="Calibri" w:hAnsi="Calibri" w:eastAsia="等线"/>
                <w:b/>
                <w:color w:val="1F1F1F"/>
                <w:sz w:val="19"/>
              </w:rPr>
              <w:t>文档编号</w:t>
            </w:r>
          </w:p>
        </w:tc>
        <w:tc>
          <w:tcPr>
            <w:tcW w:type="dxa" w:w="7560"/>
          </w:tcPr>
          <w:p>
            <w:pPr>
              <w:spacing w:after="0" w:line="240" w:lineRule="auto"/>
            </w:pPr>
            <w:r>
              <w:rPr>
                <w:rFonts w:ascii="Calibri" w:hAnsi="Calibri" w:eastAsia="等线"/>
                <w:b w:val="0"/>
                <w:color w:val="1F1F1F"/>
                <w:sz w:val="19"/>
              </w:rPr>
              <w:t>BUS-MDL-ARCH-001</w:t>
            </w:r>
          </w:p>
        </w:tc>
      </w:tr>
      <w:tr>
        <w:tc>
          <w:tcPr>
            <w:tcW w:type="dxa" w:w="1800"/>
          </w:tcPr>
          <w:p>
            <w:pPr>
              <w:spacing w:after="0" w:line="240" w:lineRule="auto"/>
            </w:pPr>
            <w:r>
              <w:rPr>
                <w:rFonts w:ascii="Calibri" w:hAnsi="Calibri" w:eastAsia="等线"/>
                <w:b/>
                <w:color w:val="1F1F1F"/>
                <w:sz w:val="19"/>
              </w:rPr>
              <w:t>版本 / 状态</w:t>
            </w:r>
          </w:p>
        </w:tc>
        <w:tc>
          <w:tcPr>
            <w:tcW w:type="dxa" w:w="7560"/>
          </w:tcPr>
          <w:p>
            <w:pPr>
              <w:spacing w:after="0" w:line="240" w:lineRule="auto"/>
            </w:pPr>
            <w:r>
              <w:rPr>
                <w:rFonts w:ascii="Calibri" w:hAnsi="Calibri" w:eastAsia="等线"/>
                <w:b w:val="0"/>
                <w:color w:val="1F1F1F"/>
                <w:sz w:val="19"/>
              </w:rPr>
              <w:t>V0.9 / 专家评审输入</w:t>
            </w:r>
          </w:p>
        </w:tc>
      </w:tr>
      <w:tr>
        <w:tc>
          <w:tcPr>
            <w:tcW w:type="dxa" w:w="1800"/>
          </w:tcPr>
          <w:p>
            <w:pPr>
              <w:spacing w:after="0" w:line="240" w:lineRule="auto"/>
            </w:pPr>
            <w:r>
              <w:rPr>
                <w:rFonts w:ascii="Calibri" w:hAnsi="Calibri" w:eastAsia="等线"/>
                <w:b/>
                <w:color w:val="1F1F1F"/>
                <w:sz w:val="19"/>
              </w:rPr>
              <w:t>评审对象</w:t>
            </w:r>
          </w:p>
        </w:tc>
        <w:tc>
          <w:tcPr>
            <w:tcW w:type="dxa" w:w="7560"/>
          </w:tcPr>
          <w:p>
            <w:pPr>
              <w:spacing w:after="0" w:line="240" w:lineRule="auto"/>
            </w:pPr>
            <w:r>
              <w:rPr>
                <w:rFonts w:ascii="Calibri" w:hAnsi="Calibri" w:eastAsia="等线"/>
                <w:b w:val="0"/>
                <w:color w:val="1F1F1F"/>
                <w:sz w:val="19"/>
              </w:rPr>
              <w:t>SoC架构、片上互连、存储子系统及ESL性能建模专家</w:t>
            </w:r>
          </w:p>
        </w:tc>
      </w:tr>
      <w:tr>
        <w:tc>
          <w:tcPr>
            <w:tcW w:type="dxa" w:w="1800"/>
          </w:tcPr>
          <w:p>
            <w:pPr>
              <w:spacing w:after="0" w:line="240" w:lineRule="auto"/>
            </w:pPr>
            <w:r>
              <w:rPr>
                <w:rFonts w:ascii="Calibri" w:hAnsi="Calibri" w:eastAsia="等线"/>
                <w:b/>
                <w:color w:val="1F1F1F"/>
                <w:sz w:val="19"/>
              </w:rPr>
              <w:t>设计阶段</w:t>
            </w:r>
          </w:p>
        </w:tc>
        <w:tc>
          <w:tcPr>
            <w:tcW w:type="dxa" w:w="7560"/>
          </w:tcPr>
          <w:p>
            <w:pPr>
              <w:spacing w:after="0" w:line="240" w:lineRule="auto"/>
            </w:pPr>
            <w:r>
              <w:rPr>
                <w:rFonts w:ascii="Calibri" w:hAnsi="Calibri" w:eastAsia="等线"/>
                <w:b w:val="0"/>
                <w:color w:val="1F1F1F"/>
                <w:sz w:val="19"/>
              </w:rPr>
              <w:t>模型方案与总体架构；详细设计和编码前</w:t>
            </w:r>
          </w:p>
        </w:tc>
      </w:tr>
      <w:tr>
        <w:tc>
          <w:tcPr>
            <w:tcW w:type="dxa" w:w="1800"/>
          </w:tcPr>
          <w:p>
            <w:pPr>
              <w:spacing w:after="0" w:line="240" w:lineRule="auto"/>
            </w:pPr>
            <w:r>
              <w:rPr>
                <w:rFonts w:ascii="Calibri" w:hAnsi="Calibri" w:eastAsia="等线"/>
                <w:b/>
                <w:color w:val="1F1F1F"/>
                <w:sz w:val="19"/>
              </w:rPr>
              <w:t>基线日期</w:t>
            </w:r>
          </w:p>
        </w:tc>
        <w:tc>
          <w:tcPr>
            <w:tcW w:type="dxa" w:w="7560"/>
          </w:tcPr>
          <w:p>
            <w:pPr>
              <w:spacing w:after="0" w:line="240" w:lineRule="auto"/>
            </w:pPr>
            <w:r>
              <w:rPr>
                <w:rFonts w:ascii="Calibri" w:hAnsi="Calibri" w:eastAsia="等线"/>
                <w:b w:val="0"/>
                <w:color w:val="1F1F1F"/>
                <w:sz w:val="19"/>
              </w:rPr>
              <w:t>2026-07-20</w:t>
            </w:r>
          </w:p>
        </w:tc>
      </w:tr>
      <w:tr>
        <w:tc>
          <w:tcPr>
            <w:tcW w:type="dxa" w:w="1800"/>
          </w:tcPr>
          <w:p>
            <w:pPr>
              <w:spacing w:after="0" w:line="240" w:lineRule="auto"/>
            </w:pPr>
            <w:r>
              <w:rPr>
                <w:rFonts w:ascii="Calibri" w:hAnsi="Calibri" w:eastAsia="等线"/>
                <w:b/>
                <w:color w:val="1F1F1F"/>
                <w:sz w:val="19"/>
              </w:rPr>
              <w:t>保密属性</w:t>
            </w:r>
          </w:p>
        </w:tc>
        <w:tc>
          <w:tcPr>
            <w:tcW w:type="dxa" w:w="7560"/>
          </w:tcPr>
          <w:p>
            <w:pPr>
              <w:spacing w:after="0" w:line="240" w:lineRule="auto"/>
            </w:pPr>
            <w:r>
              <w:rPr>
                <w:rFonts w:ascii="Calibri" w:hAnsi="Calibri" w:eastAsia="等线"/>
                <w:b w:val="0"/>
                <w:color w:val="1F1F1F"/>
                <w:sz w:val="19"/>
              </w:rPr>
              <w:t>内部技术资料</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EF4FA"/>
          </w:tcPr>
          <w:p>
            <w:pPr>
              <w:spacing w:after="40"/>
            </w:pPr>
            <w:r>
              <w:rPr>
                <w:rFonts w:ascii="Calibri" w:hAnsi="Calibri" w:eastAsia="等线"/>
                <w:b/>
                <w:color w:val="2E74B5"/>
                <w:sz w:val="21"/>
              </w:rPr>
              <w:t>文档结论</w:t>
              <w:br/>
            </w:r>
            <w:r>
              <w:rPr>
                <w:rFonts w:ascii="Calibri" w:hAnsi="Calibri" w:eastAsia="等线"/>
                <w:color w:val="1F1F1F"/>
                <w:sz w:val="20"/>
              </w:rPr>
              <w:t>本稿建议采用可配置的事务级双向Ring作为首版性能模型基线，并保持端点接口、Target服务模型和拓扑实现解耦。当前结论为“有条件进入详细设计”：物理通道共享关系、顺序语义、写数据协议、Credit释放点和80%精度基准集必须在架构评审中形成书面决议，Critical事项关闭后方可全面编码。</w:t>
            </w:r>
          </w:p>
        </w:tc>
      </w:tr>
    </w:tbl>
    <w:p>
      <w:pPr>
        <w:spacing w:after="0"/>
      </w:pPr>
    </w:p>
    <w:p>
      <w:pPr>
        <w:pStyle w:val="Heading2"/>
      </w:pPr>
      <w:r>
        <w:t>版本记录</w:t>
      </w:r>
    </w:p>
    <w:tbl>
      <w:tblPr>
        <w:tblStyle w:val="TableGrid"/>
        <w:tblW w:type="dxa" w:w="9360"/>
        <w:jc w:val="left"/>
        <w:tblLayout w:type="fixed"/>
        <w:tblLook w:firstColumn="1" w:firstRow="1" w:lastColumn="0" w:lastRow="0" w:noHBand="0" w:noVBand="1" w:val="04A0"/>
        <w:tblInd w:w="120" w:type="dxa"/>
      </w:tblPr>
      <w:tblGrid>
        <w:gridCol w:w="1100"/>
        <w:gridCol w:w="1500"/>
        <w:gridCol w:w="1800"/>
        <w:gridCol w:w="4960"/>
      </w:tblGrid>
      <w:tr>
        <w:trPr>
          <w:cantSplit/>
          <w:tblHeader w:val="true"/>
        </w:trPr>
        <w:tc>
          <w:tcPr>
            <w:tcW w:type="dxa" w:w="110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版本</w:t>
            </w:r>
          </w:p>
        </w:tc>
        <w:tc>
          <w:tcPr>
            <w:tcW w:type="dxa" w:w="150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日期</w:t>
            </w:r>
          </w:p>
        </w:tc>
        <w:tc>
          <w:tcPr>
            <w:tcW w:type="dxa" w:w="180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状态</w:t>
            </w:r>
          </w:p>
        </w:tc>
        <w:tc>
          <w:tcPr>
            <w:tcW w:type="dxa" w:w="496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说明</w:t>
            </w:r>
          </w:p>
        </w:tc>
      </w:tr>
      <w:tr>
        <w:tc>
          <w:tcPr>
            <w:tcW w:type="dxa" w:w="1100"/>
          </w:tcPr>
          <w:p>
            <w:pPr>
              <w:spacing w:after="0" w:line="240" w:lineRule="auto"/>
            </w:pPr>
            <w:r>
              <w:rPr>
                <w:rFonts w:ascii="Calibri" w:hAnsi="Calibri" w:eastAsia="等线"/>
                <w:b w:val="0"/>
                <w:color w:val="1F1F1F"/>
                <w:sz w:val="17"/>
              </w:rPr>
              <w:t>V0.9</w:t>
            </w:r>
          </w:p>
        </w:tc>
        <w:tc>
          <w:tcPr>
            <w:tcW w:type="dxa" w:w="1500"/>
          </w:tcPr>
          <w:p>
            <w:pPr>
              <w:spacing w:after="0" w:line="240" w:lineRule="auto"/>
            </w:pPr>
            <w:r>
              <w:rPr>
                <w:rFonts w:ascii="Calibri" w:hAnsi="Calibri" w:eastAsia="等线"/>
                <w:b w:val="0"/>
                <w:color w:val="1F1F1F"/>
                <w:sz w:val="17"/>
              </w:rPr>
              <w:t>2026-07-20</w:t>
            </w:r>
          </w:p>
        </w:tc>
        <w:tc>
          <w:tcPr>
            <w:tcW w:type="dxa" w:w="1800"/>
          </w:tcPr>
          <w:p>
            <w:pPr>
              <w:spacing w:after="0" w:line="240" w:lineRule="auto"/>
            </w:pPr>
            <w:r>
              <w:rPr>
                <w:rFonts w:ascii="Calibri" w:hAnsi="Calibri" w:eastAsia="等线"/>
                <w:b w:val="0"/>
                <w:color w:val="1F1F1F"/>
                <w:sz w:val="17"/>
              </w:rPr>
              <w:t>专家评审输入</w:t>
            </w:r>
          </w:p>
        </w:tc>
        <w:tc>
          <w:tcPr>
            <w:tcW w:type="dxa" w:w="4960"/>
          </w:tcPr>
          <w:p>
            <w:pPr>
              <w:spacing w:after="0" w:line="240" w:lineRule="auto"/>
            </w:pPr>
            <w:r>
              <w:rPr>
                <w:rFonts w:ascii="Calibri" w:hAnsi="Calibri" w:eastAsia="等线"/>
                <w:b w:val="0"/>
                <w:color w:val="1F1F1F"/>
                <w:sz w:val="17"/>
              </w:rPr>
              <w:t>完成模型方案、机制规格、参数/统计、精度校准、六张架构图和独立反对者审查。</w:t>
            </w:r>
          </w:p>
        </w:tc>
      </w:tr>
    </w:tbl>
    <w:p>
      <w:pPr>
        <w:spacing w:after="0"/>
      </w:pPr>
    </w:p>
    <w:p>
      <w:r>
        <w:br w:type="page"/>
      </w:r>
    </w:p>
    <w:p>
      <w:pPr>
        <w:spacing w:after="160"/>
        <w:pBdr>
          <w:bottom w:val="single" w:sz="12" w:space="3" w:color="2E74B5"/>
        </w:pBdr>
      </w:pPr>
      <w:r>
        <w:rPr>
          <w:rFonts w:ascii="Calibri" w:hAnsi="Calibri" w:eastAsia="等线"/>
          <w:b/>
          <w:color w:val="2E74B5"/>
          <w:sz w:val="36"/>
        </w:rPr>
        <w:t>一页专家评审摘要</w:t>
      </w:r>
    </w:p>
    <w:p>
      <w:pPr>
        <w:keepLines w:val="0"/>
        <w:widowControl/>
        <w:spacing w:after="120"/>
      </w:pPr>
      <w:r>
        <w:rPr>
          <w:rFonts w:ascii="Calibri" w:hAnsi="Calibri" w:eastAsia="等线"/>
          <w:color w:val="1F1F1F"/>
        </w:rPr>
        <w:t>结论：本方案以可独立运行的多Master、多Target事务级双向Ring为基线，保留决定系统性能的一阶结构——逐跳拓扑、输出端竞争、有限FIFO、链路序列化、Master OSD、Target Credit、Target服务能力以及端到端反压；不在首版引入flit级VC分配、RTL逐拍信号或一致性协议。该抽象能够用于瓶颈归因、配置敏感度和拓扑比较，但其绝对数值必须经RTL或硅数据校准后才可签核。</w:t>
      </w:r>
    </w:p>
    <w:p>
      <w:pPr>
        <w:keepLines w:val="0"/>
        <w:widowControl/>
        <w:spacing w:after="120"/>
      </w:pPr>
      <w:r>
        <w:rPr>
          <w:rFonts w:ascii="Calibri" w:hAnsi="Calibri" w:eastAsia="等线"/>
          <w:color w:val="1F1F1F"/>
        </w:rPr>
        <w:t>架构主张：请求、写数据和响应采用可区分的逻辑流量类，事务使用全局唯一TxnKey闭环；所有端点数据必须经过Ring共享资源，不设置绕过路径。FIFO或接口保持vld时，若下游满则包留在原位，空间恢复所产生的状态事件重新触发仲裁与发送，无需独立retry协议。Master OSD、Target Credit、FIFO容量和链路带宽各自承担不同约束，释放点不得合并或推断。</w:t>
      </w:r>
    </w:p>
    <w:tbl>
      <w:tblPr>
        <w:tblStyle w:val="TableGrid"/>
        <w:tblW w:type="dxa" w:w="9360"/>
        <w:jc w:val="left"/>
        <w:tblLayout w:type="fixed"/>
        <w:tblLook w:firstColumn="1" w:firstRow="1" w:lastColumn="0" w:lastRow="0" w:noHBand="0" w:noVBand="1" w:val="04A0"/>
        <w:tblInd w:w="120" w:type="dxa"/>
      </w:tblPr>
      <w:tblGrid>
        <w:gridCol w:w="1300"/>
        <w:gridCol w:w="3900"/>
        <w:gridCol w:w="4160"/>
      </w:tblGrid>
      <w:tr>
        <w:trPr>
          <w:cantSplit/>
          <w:tblHeader w:val="true"/>
        </w:trPr>
        <w:tc>
          <w:tcPr>
            <w:tcW w:type="dxa" w:w="13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评审维度</w:t>
            </w:r>
          </w:p>
        </w:tc>
        <w:tc>
          <w:tcPr>
            <w:tcW w:type="dxa" w:w="39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当前建议</w:t>
            </w:r>
          </w:p>
        </w:tc>
        <w:tc>
          <w:tcPr>
            <w:tcW w:type="dxa" w:w="416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签核门槛</w:t>
            </w:r>
          </w:p>
        </w:tc>
      </w:tr>
      <w:tr>
        <w:tc>
          <w:tcPr>
            <w:tcW w:type="dxa" w:w="1300"/>
          </w:tcPr>
          <w:p>
            <w:pPr>
              <w:spacing w:after="0" w:line="240" w:lineRule="auto"/>
            </w:pPr>
            <w:r>
              <w:rPr>
                <w:rFonts w:ascii="Calibri" w:hAnsi="Calibri" w:eastAsia="等线"/>
                <w:b/>
                <w:color w:val="1F1F1F"/>
                <w:sz w:val="16"/>
              </w:rPr>
              <w:t>拓扑</w:t>
            </w:r>
          </w:p>
        </w:tc>
        <w:tc>
          <w:tcPr>
            <w:tcW w:type="dxa" w:w="3900"/>
          </w:tcPr>
          <w:p>
            <w:pPr>
              <w:spacing w:after="0" w:line="240" w:lineRule="auto"/>
            </w:pPr>
            <w:r>
              <w:rPr>
                <w:rFonts w:ascii="Calibri" w:hAnsi="Calibri" w:eastAsia="等线"/>
                <w:b w:val="0"/>
                <w:color w:val="1F1F1F"/>
                <w:sz w:val="16"/>
              </w:rPr>
              <w:t>双向Ring作为首版基线；端点接口保持拓扑无关</w:t>
            </w:r>
          </w:p>
        </w:tc>
        <w:tc>
          <w:tcPr>
            <w:tcW w:type="dxa" w:w="4160"/>
          </w:tcPr>
          <w:p>
            <w:pPr>
              <w:spacing w:after="0" w:line="240" w:lineRule="auto"/>
            </w:pPr>
            <w:r>
              <w:rPr>
                <w:rFonts w:ascii="Calibri" w:hAnsi="Calibri" w:eastAsia="等线"/>
                <w:b w:val="0"/>
                <w:color w:val="1F1F1F"/>
                <w:sz w:val="16"/>
              </w:rPr>
              <w:t>确认端点规模、布点、最短路及等距规则</w:t>
            </w:r>
          </w:p>
        </w:tc>
      </w:tr>
      <w:tr>
        <w:tc>
          <w:tcPr>
            <w:tcW w:type="dxa" w:w="1300"/>
          </w:tcPr>
          <w:p>
            <w:pPr>
              <w:spacing w:after="0" w:line="240" w:lineRule="auto"/>
            </w:pPr>
            <w:r>
              <w:rPr>
                <w:rFonts w:ascii="Calibri" w:hAnsi="Calibri" w:eastAsia="等线"/>
                <w:b/>
                <w:color w:val="1F1F1F"/>
                <w:sz w:val="16"/>
              </w:rPr>
              <w:t>资源</w:t>
            </w:r>
          </w:p>
        </w:tc>
        <w:tc>
          <w:tcPr>
            <w:tcW w:type="dxa" w:w="3900"/>
          </w:tcPr>
          <w:p>
            <w:pPr>
              <w:spacing w:after="0" w:line="240" w:lineRule="auto"/>
            </w:pPr>
            <w:r>
              <w:rPr>
                <w:rFonts w:ascii="Calibri" w:hAnsi="Calibri" w:eastAsia="等线"/>
                <w:b w:val="0"/>
                <w:color w:val="1F1F1F"/>
                <w:sz w:val="16"/>
              </w:rPr>
              <w:t>三类逻辑流量分队列；链路共享关系参数化</w:t>
            </w:r>
          </w:p>
        </w:tc>
        <w:tc>
          <w:tcPr>
            <w:tcW w:type="dxa" w:w="4160"/>
          </w:tcPr>
          <w:p>
            <w:pPr>
              <w:spacing w:after="0" w:line="240" w:lineRule="auto"/>
            </w:pPr>
            <w:r>
              <w:rPr>
                <w:rFonts w:ascii="Calibri" w:hAnsi="Calibri" w:eastAsia="等线"/>
                <w:b w:val="0"/>
                <w:color w:val="1F1F1F"/>
                <w:sz w:val="16"/>
              </w:rPr>
              <w:t>确认物理等效是共享链路还是独立子网</w:t>
            </w:r>
          </w:p>
        </w:tc>
      </w:tr>
      <w:tr>
        <w:tc>
          <w:tcPr>
            <w:tcW w:type="dxa" w:w="1300"/>
          </w:tcPr>
          <w:p>
            <w:pPr>
              <w:spacing w:after="0" w:line="240" w:lineRule="auto"/>
            </w:pPr>
            <w:r>
              <w:rPr>
                <w:rFonts w:ascii="Calibri" w:hAnsi="Calibri" w:eastAsia="等线"/>
                <w:b/>
                <w:color w:val="1F1F1F"/>
                <w:sz w:val="16"/>
              </w:rPr>
              <w:t>事务</w:t>
            </w:r>
          </w:p>
        </w:tc>
        <w:tc>
          <w:tcPr>
            <w:tcW w:type="dxa" w:w="3900"/>
          </w:tcPr>
          <w:p>
            <w:pPr>
              <w:spacing w:after="0" w:line="240" w:lineRule="auto"/>
            </w:pPr>
            <w:r>
              <w:rPr>
                <w:rFonts w:ascii="Calibri" w:hAnsi="Calibri" w:eastAsia="等线"/>
                <w:b w:val="0"/>
                <w:color w:val="1F1F1F"/>
                <w:sz w:val="16"/>
              </w:rPr>
              <w:t>TxnKey+Seq/Last关联读写各阶段</w:t>
            </w:r>
          </w:p>
        </w:tc>
        <w:tc>
          <w:tcPr>
            <w:tcW w:type="dxa" w:w="4160"/>
          </w:tcPr>
          <w:p>
            <w:pPr>
              <w:spacing w:after="0" w:line="240" w:lineRule="auto"/>
            </w:pPr>
            <w:r>
              <w:rPr>
                <w:rFonts w:ascii="Calibri" w:hAnsi="Calibri" w:eastAsia="等线"/>
                <w:b w:val="0"/>
                <w:color w:val="1F1F1F"/>
                <w:sz w:val="16"/>
              </w:rPr>
              <w:t>确认写请求/数据先后、顺序域和异常终结</w:t>
            </w:r>
          </w:p>
        </w:tc>
      </w:tr>
      <w:tr>
        <w:tc>
          <w:tcPr>
            <w:tcW w:type="dxa" w:w="1300"/>
          </w:tcPr>
          <w:p>
            <w:pPr>
              <w:spacing w:after="0" w:line="240" w:lineRule="auto"/>
            </w:pPr>
            <w:r>
              <w:rPr>
                <w:rFonts w:ascii="Calibri" w:hAnsi="Calibri" w:eastAsia="等线"/>
                <w:b/>
                <w:color w:val="1F1F1F"/>
                <w:sz w:val="16"/>
              </w:rPr>
              <w:t>流控</w:t>
            </w:r>
          </w:p>
        </w:tc>
        <w:tc>
          <w:tcPr>
            <w:tcW w:type="dxa" w:w="3900"/>
          </w:tcPr>
          <w:p>
            <w:pPr>
              <w:spacing w:after="0" w:line="240" w:lineRule="auto"/>
            </w:pPr>
            <w:r>
              <w:rPr>
                <w:rFonts w:ascii="Calibri" w:hAnsi="Calibri" w:eastAsia="等线"/>
                <w:b w:val="0"/>
                <w:color w:val="1F1F1F"/>
                <w:sz w:val="16"/>
              </w:rPr>
              <w:t>OSD、Credit、FIFO、序列化状态分层记账</w:t>
            </w:r>
          </w:p>
        </w:tc>
        <w:tc>
          <w:tcPr>
            <w:tcW w:type="dxa" w:w="4160"/>
          </w:tcPr>
          <w:p>
            <w:pPr>
              <w:spacing w:after="0" w:line="240" w:lineRule="auto"/>
            </w:pPr>
            <w:r>
              <w:rPr>
                <w:rFonts w:ascii="Calibri" w:hAnsi="Calibri" w:eastAsia="等线"/>
                <w:b w:val="0"/>
                <w:color w:val="1F1F1F"/>
                <w:sz w:val="16"/>
              </w:rPr>
              <w:t>确认Target Credit真实释放点</w:t>
            </w:r>
          </w:p>
        </w:tc>
      </w:tr>
      <w:tr>
        <w:tc>
          <w:tcPr>
            <w:tcW w:type="dxa" w:w="1300"/>
          </w:tcPr>
          <w:p>
            <w:pPr>
              <w:spacing w:after="0" w:line="240" w:lineRule="auto"/>
            </w:pPr>
            <w:r>
              <w:rPr>
                <w:rFonts w:ascii="Calibri" w:hAnsi="Calibri" w:eastAsia="等线"/>
                <w:b/>
                <w:color w:val="1F1F1F"/>
                <w:sz w:val="16"/>
              </w:rPr>
              <w:t>精度</w:t>
            </w:r>
          </w:p>
        </w:tc>
        <w:tc>
          <w:tcPr>
            <w:tcW w:type="dxa" w:w="3900"/>
          </w:tcPr>
          <w:p>
            <w:pPr>
              <w:spacing w:after="0" w:line="240" w:lineRule="auto"/>
            </w:pPr>
            <w:r>
              <w:rPr>
                <w:rFonts w:ascii="Calibri" w:hAnsi="Calibri" w:eastAsia="等线"/>
                <w:b w:val="0"/>
                <w:color w:val="1F1F1F"/>
                <w:sz w:val="16"/>
              </w:rPr>
              <w:t>80%为多KPI加权目标，不宣称已达到</w:t>
            </w:r>
          </w:p>
        </w:tc>
        <w:tc>
          <w:tcPr>
            <w:tcW w:type="dxa" w:w="4160"/>
          </w:tcPr>
          <w:p>
            <w:pPr>
              <w:spacing w:after="0" w:line="240" w:lineRule="auto"/>
            </w:pPr>
            <w:r>
              <w:rPr>
                <w:rFonts w:ascii="Calibri" w:hAnsi="Calibri" w:eastAsia="等线"/>
                <w:b w:val="0"/>
                <w:color w:val="1F1F1F"/>
                <w:sz w:val="16"/>
              </w:rPr>
              <w:t>确定参考平台、校准集、留出集与硬门限</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ED"/>
          </w:tcPr>
          <w:p>
            <w:pPr>
              <w:spacing w:after="40"/>
            </w:pPr>
            <w:r>
              <w:rPr>
                <w:rFonts w:ascii="Calibri" w:hAnsi="Calibri" w:eastAsia="等线"/>
                <w:b/>
                <w:color w:val="B45F06"/>
                <w:sz w:val="21"/>
              </w:rPr>
              <w:t>建议评审结论：有条件通过</w:t>
              <w:br/>
            </w:r>
            <w:r>
              <w:rPr>
                <w:rFonts w:ascii="Calibri" w:hAnsi="Calibri" w:eastAsia="等线"/>
                <w:color w:val="1F1F1F"/>
                <w:sz w:val="20"/>
              </w:rPr>
              <w:t>允许在评审决议写回后进入详细设计；在Critical事项关闭前，不建议冻结数据通道微架构或开展以性能结果为依据的全面编码。可先行开展配置Schema、统计框架、事务不变量和模块接口的非争议部分。</w:t>
            </w:r>
          </w:p>
        </w:tc>
      </w:tr>
    </w:tbl>
    <w:p>
      <w:pPr>
        <w:spacing w:after="0"/>
      </w:pPr>
    </w:p>
    <w:p>
      <w:pPr>
        <w:keepLines/>
        <w:widowControl/>
        <w:spacing w:after="0"/>
      </w:pPr>
      <w:r>
        <w:rPr>
          <w:rFonts w:ascii="Calibri" w:hAnsi="Calibri" w:eastAsia="等线"/>
          <w:color w:val="1F1F1F"/>
        </w:rPr>
        <w:t>需专家拍板的P0事项：①请求/写数据/响应的物理带宽共享模型；②顺序域、原子/屏障及错误终结范围；③写请求与写数据的许可关系；④多响应事务的Target Credit与Master OSD释放点；⑤仲裁公平性和QoS最低要求；⑥80%精度的参考平台、场景权重与验收硬门限。</w:t>
      </w:r>
    </w:p>
    <w:p>
      <w:r>
        <w:br w:type="page"/>
      </w:r>
    </w:p>
    <w:p>
      <w:pPr>
        <w:spacing w:after="240"/>
        <w:pBdr>
          <w:bottom w:val="single" w:sz="10" w:space="3" w:color="2E74B5"/>
        </w:pBdr>
      </w:pPr>
      <w:r>
        <w:rPr>
          <w:rFonts w:ascii="Calibri" w:hAnsi="Calibri" w:eastAsia="等线"/>
          <w:b/>
          <w:color w:val="2E74B5"/>
          <w:sz w:val="36"/>
        </w:rPr>
        <w:t>目录</w:t>
      </w:r>
    </w:p>
    <w:tbl>
      <w:tblPr>
        <w:tblStyle w:val="TableGrid"/>
        <w:tblW w:type="dxa" w:w="9360"/>
        <w:jc w:val="left"/>
        <w:tblLayout w:type="fixed"/>
        <w:tblLook w:firstColumn="1" w:firstRow="1" w:lastColumn="0" w:lastRow="0" w:noHBand="0" w:noVBand="1" w:val="04A0"/>
        <w:tblInd w:w="120" w:type="dxa"/>
      </w:tblPr>
      <w:tblGrid>
        <w:gridCol w:w="1300"/>
        <w:gridCol w:w="8060"/>
      </w:tblGrid>
      <w:tr>
        <w:trPr>
          <w:cantSplit/>
          <w:tblHeader w:val="true"/>
        </w:trPr>
        <w:tc>
          <w:tcPr>
            <w:tcW w:type="dxa" w:w="1300"/>
            <w:tcMar>
              <w:top w:w="80" w:type="dxa"/>
              <w:start w:w="120" w:type="dxa"/>
              <w:bottom w:w="80" w:type="dxa"/>
              <w:end w:w="120" w:type="dxa"/>
            </w:tcMar>
            <w:vAlign w:val="center"/>
            <w:shd w:fill="F2F4F7"/>
          </w:tcPr>
          <w:p>
            <w:pPr>
              <w:spacing w:after="0"/>
              <w:jc w:val="left"/>
            </w:pPr>
            <w:r>
              <w:rPr>
                <w:rFonts w:ascii="Calibri" w:hAnsi="Calibri" w:eastAsia="等线"/>
                <w:b/>
                <w:color w:val="1F4E79"/>
                <w:sz w:val="18"/>
              </w:rPr>
              <w:t>章节</w:t>
            </w:r>
          </w:p>
        </w:tc>
        <w:tc>
          <w:tcPr>
            <w:tcW w:type="dxa" w:w="8060"/>
            <w:tcMar>
              <w:top w:w="80" w:type="dxa"/>
              <w:start w:w="120" w:type="dxa"/>
              <w:bottom w:w="80" w:type="dxa"/>
              <w:end w:w="120" w:type="dxa"/>
            </w:tcMar>
            <w:vAlign w:val="center"/>
            <w:shd w:fill="F2F4F7"/>
          </w:tcPr>
          <w:p>
            <w:pPr>
              <w:spacing w:after="0"/>
              <w:jc w:val="left"/>
            </w:pPr>
            <w:r>
              <w:rPr>
                <w:rFonts w:ascii="Calibri" w:hAnsi="Calibri" w:eastAsia="等线"/>
                <w:b/>
                <w:color w:val="1F4E79"/>
                <w:sz w:val="18"/>
              </w:rPr>
              <w:t>内容</w:t>
            </w:r>
          </w:p>
        </w:tc>
      </w:tr>
      <w:tr>
        <w:tc>
          <w:tcPr>
            <w:tcW w:type="dxa" w:w="1300"/>
          </w:tcPr>
          <w:p>
            <w:pPr>
              <w:spacing w:after="0" w:line="240" w:lineRule="auto"/>
            </w:pPr>
            <w:r>
              <w:rPr>
                <w:rFonts w:ascii="Calibri" w:hAnsi="Calibri" w:eastAsia="等线"/>
                <w:b/>
                <w:color w:val="1F1F1F"/>
                <w:sz w:val="18"/>
              </w:rPr>
              <w:t>1</w:t>
            </w:r>
          </w:p>
        </w:tc>
        <w:tc>
          <w:tcPr>
            <w:tcW w:type="dxa" w:w="8060"/>
          </w:tcPr>
          <w:p>
            <w:pPr>
              <w:spacing w:after="0" w:line="240" w:lineRule="auto"/>
            </w:pPr>
            <w:r>
              <w:rPr>
                <w:rFonts w:ascii="Calibri" w:hAnsi="Calibri" w:eastAsia="等线"/>
                <w:b w:val="0"/>
                <w:color w:val="1F1F1F"/>
                <w:sz w:val="18"/>
              </w:rPr>
              <w:t>文档概述</w:t>
            </w:r>
          </w:p>
        </w:tc>
      </w:tr>
      <w:tr>
        <w:tc>
          <w:tcPr>
            <w:tcW w:type="dxa" w:w="1300"/>
          </w:tcPr>
          <w:p>
            <w:pPr>
              <w:spacing w:after="0" w:line="240" w:lineRule="auto"/>
            </w:pPr>
            <w:r>
              <w:rPr>
                <w:rFonts w:ascii="Calibri" w:hAnsi="Calibri" w:eastAsia="等线"/>
                <w:b/>
                <w:color w:val="1F1F1F"/>
                <w:sz w:val="18"/>
              </w:rPr>
              <w:t>2</w:t>
            </w:r>
          </w:p>
        </w:tc>
        <w:tc>
          <w:tcPr>
            <w:tcW w:type="dxa" w:w="8060"/>
          </w:tcPr>
          <w:p>
            <w:pPr>
              <w:spacing w:after="0" w:line="240" w:lineRule="auto"/>
            </w:pPr>
            <w:r>
              <w:rPr>
                <w:rFonts w:ascii="Calibri" w:hAnsi="Calibri" w:eastAsia="等线"/>
                <w:b w:val="0"/>
                <w:color w:val="1F1F1F"/>
                <w:sz w:val="18"/>
              </w:rPr>
              <w:t>建设背景与目标</w:t>
            </w:r>
          </w:p>
        </w:tc>
      </w:tr>
      <w:tr>
        <w:tc>
          <w:tcPr>
            <w:tcW w:type="dxa" w:w="1300"/>
          </w:tcPr>
          <w:p>
            <w:pPr>
              <w:spacing w:after="0" w:line="240" w:lineRule="auto"/>
            </w:pPr>
            <w:r>
              <w:rPr>
                <w:rFonts w:ascii="Calibri" w:hAnsi="Calibri" w:eastAsia="等线"/>
                <w:b/>
                <w:color w:val="1F1F1F"/>
                <w:sz w:val="18"/>
              </w:rPr>
              <w:t>3</w:t>
            </w:r>
          </w:p>
        </w:tc>
        <w:tc>
          <w:tcPr>
            <w:tcW w:type="dxa" w:w="8060"/>
          </w:tcPr>
          <w:p>
            <w:pPr>
              <w:spacing w:after="0" w:line="240" w:lineRule="auto"/>
            </w:pPr>
            <w:r>
              <w:rPr>
                <w:rFonts w:ascii="Calibri" w:hAnsi="Calibri" w:eastAsia="等线"/>
                <w:b w:val="0"/>
                <w:color w:val="1F1F1F"/>
                <w:sz w:val="18"/>
              </w:rPr>
              <w:t>设计范围、非目标与约束</w:t>
            </w:r>
          </w:p>
        </w:tc>
      </w:tr>
      <w:tr>
        <w:tc>
          <w:tcPr>
            <w:tcW w:type="dxa" w:w="1300"/>
          </w:tcPr>
          <w:p>
            <w:pPr>
              <w:spacing w:after="0" w:line="240" w:lineRule="auto"/>
            </w:pPr>
            <w:r>
              <w:rPr>
                <w:rFonts w:ascii="Calibri" w:hAnsi="Calibri" w:eastAsia="等线"/>
                <w:b/>
                <w:color w:val="1F1F1F"/>
                <w:sz w:val="18"/>
              </w:rPr>
              <w:t>4</w:t>
            </w:r>
          </w:p>
        </w:tc>
        <w:tc>
          <w:tcPr>
            <w:tcW w:type="dxa" w:w="8060"/>
          </w:tcPr>
          <w:p>
            <w:pPr>
              <w:spacing w:after="0" w:line="240" w:lineRule="auto"/>
            </w:pPr>
            <w:r>
              <w:rPr>
                <w:rFonts w:ascii="Calibri" w:hAnsi="Calibri" w:eastAsia="等线"/>
                <w:b w:val="0"/>
                <w:color w:val="1F1F1F"/>
                <w:sz w:val="18"/>
              </w:rPr>
              <w:t>需求工程化分析</w:t>
            </w:r>
          </w:p>
        </w:tc>
      </w:tr>
      <w:tr>
        <w:tc>
          <w:tcPr>
            <w:tcW w:type="dxa" w:w="1300"/>
          </w:tcPr>
          <w:p>
            <w:pPr>
              <w:spacing w:after="0" w:line="240" w:lineRule="auto"/>
            </w:pPr>
            <w:r>
              <w:rPr>
                <w:rFonts w:ascii="Calibri" w:hAnsi="Calibri" w:eastAsia="等线"/>
                <w:b/>
                <w:color w:val="1F1F1F"/>
                <w:sz w:val="18"/>
              </w:rPr>
              <w:t>5</w:t>
            </w:r>
          </w:p>
        </w:tc>
        <w:tc>
          <w:tcPr>
            <w:tcW w:type="dxa" w:w="8060"/>
          </w:tcPr>
          <w:p>
            <w:pPr>
              <w:spacing w:after="0" w:line="240" w:lineRule="auto"/>
            </w:pPr>
            <w:r>
              <w:rPr>
                <w:rFonts w:ascii="Calibri" w:hAnsi="Calibri" w:eastAsia="等线"/>
                <w:b w:val="0"/>
                <w:color w:val="1F1F1F"/>
                <w:sz w:val="18"/>
              </w:rPr>
              <w:t>模型边界与总体架构</w:t>
            </w:r>
          </w:p>
        </w:tc>
      </w:tr>
      <w:tr>
        <w:tc>
          <w:tcPr>
            <w:tcW w:type="dxa" w:w="1300"/>
          </w:tcPr>
          <w:p>
            <w:pPr>
              <w:spacing w:after="0" w:line="240" w:lineRule="auto"/>
            </w:pPr>
            <w:r>
              <w:rPr>
                <w:rFonts w:ascii="Calibri" w:hAnsi="Calibri" w:eastAsia="等线"/>
                <w:b/>
                <w:color w:val="1F1F1F"/>
                <w:sz w:val="18"/>
              </w:rPr>
              <w:t>6</w:t>
            </w:r>
          </w:p>
        </w:tc>
        <w:tc>
          <w:tcPr>
            <w:tcW w:type="dxa" w:w="8060"/>
          </w:tcPr>
          <w:p>
            <w:pPr>
              <w:spacing w:after="0" w:line="240" w:lineRule="auto"/>
            </w:pPr>
            <w:r>
              <w:rPr>
                <w:rFonts w:ascii="Calibri" w:hAnsi="Calibri" w:eastAsia="等线"/>
                <w:b w:val="0"/>
                <w:color w:val="1F1F1F"/>
                <w:sz w:val="18"/>
              </w:rPr>
              <w:t>模块职责与接口</w:t>
            </w:r>
          </w:p>
        </w:tc>
      </w:tr>
      <w:tr>
        <w:tc>
          <w:tcPr>
            <w:tcW w:type="dxa" w:w="1300"/>
          </w:tcPr>
          <w:p>
            <w:pPr>
              <w:spacing w:after="0" w:line="240" w:lineRule="auto"/>
            </w:pPr>
            <w:r>
              <w:rPr>
                <w:rFonts w:ascii="Calibri" w:hAnsi="Calibri" w:eastAsia="等线"/>
                <w:b/>
                <w:color w:val="1F1F1F"/>
                <w:sz w:val="18"/>
              </w:rPr>
              <w:t>7</w:t>
            </w:r>
          </w:p>
        </w:tc>
        <w:tc>
          <w:tcPr>
            <w:tcW w:type="dxa" w:w="8060"/>
          </w:tcPr>
          <w:p>
            <w:pPr>
              <w:spacing w:after="0" w:line="240" w:lineRule="auto"/>
            </w:pPr>
            <w:r>
              <w:rPr>
                <w:rFonts w:ascii="Calibri" w:hAnsi="Calibri" w:eastAsia="等线"/>
                <w:b w:val="0"/>
                <w:color w:val="1F1F1F"/>
                <w:sz w:val="18"/>
              </w:rPr>
              <w:t>读写事务和数据流</w:t>
            </w:r>
          </w:p>
        </w:tc>
      </w:tr>
      <w:tr>
        <w:tc>
          <w:tcPr>
            <w:tcW w:type="dxa" w:w="1300"/>
          </w:tcPr>
          <w:p>
            <w:pPr>
              <w:spacing w:after="0" w:line="240" w:lineRule="auto"/>
            </w:pPr>
            <w:r>
              <w:rPr>
                <w:rFonts w:ascii="Calibri" w:hAnsi="Calibri" w:eastAsia="等线"/>
                <w:b/>
                <w:color w:val="1F1F1F"/>
                <w:sz w:val="18"/>
              </w:rPr>
              <w:t>8</w:t>
            </w:r>
          </w:p>
        </w:tc>
        <w:tc>
          <w:tcPr>
            <w:tcW w:type="dxa" w:w="8060"/>
          </w:tcPr>
          <w:p>
            <w:pPr>
              <w:spacing w:after="0" w:line="240" w:lineRule="auto"/>
            </w:pPr>
            <w:r>
              <w:rPr>
                <w:rFonts w:ascii="Calibri" w:hAnsi="Calibri" w:eastAsia="等线"/>
                <w:b w:val="0"/>
                <w:color w:val="1F1F1F"/>
                <w:sz w:val="18"/>
              </w:rPr>
              <w:t>多核竞争、仲裁与交织</w:t>
            </w:r>
          </w:p>
        </w:tc>
      </w:tr>
      <w:tr>
        <w:tc>
          <w:tcPr>
            <w:tcW w:type="dxa" w:w="1300"/>
          </w:tcPr>
          <w:p>
            <w:pPr>
              <w:spacing w:after="0" w:line="240" w:lineRule="auto"/>
            </w:pPr>
            <w:r>
              <w:rPr>
                <w:rFonts w:ascii="Calibri" w:hAnsi="Calibri" w:eastAsia="等线"/>
                <w:b/>
                <w:color w:val="1F1F1F"/>
                <w:sz w:val="18"/>
              </w:rPr>
              <w:t>9</w:t>
            </w:r>
          </w:p>
        </w:tc>
        <w:tc>
          <w:tcPr>
            <w:tcW w:type="dxa" w:w="8060"/>
          </w:tcPr>
          <w:p>
            <w:pPr>
              <w:spacing w:after="0" w:line="240" w:lineRule="auto"/>
            </w:pPr>
            <w:r>
              <w:rPr>
                <w:rFonts w:ascii="Calibri" w:hAnsi="Calibri" w:eastAsia="等线"/>
                <w:b w:val="0"/>
                <w:color w:val="1F1F1F"/>
                <w:sz w:val="18"/>
              </w:rPr>
              <w:t>OSD、Credit、FIFO和反压</w:t>
            </w:r>
          </w:p>
        </w:tc>
      </w:tr>
      <w:tr>
        <w:tc>
          <w:tcPr>
            <w:tcW w:type="dxa" w:w="1300"/>
          </w:tcPr>
          <w:p>
            <w:pPr>
              <w:spacing w:after="0" w:line="240" w:lineRule="auto"/>
            </w:pPr>
            <w:r>
              <w:rPr>
                <w:rFonts w:ascii="Calibri" w:hAnsi="Calibri" w:eastAsia="等线"/>
                <w:b/>
                <w:color w:val="1F1F1F"/>
                <w:sz w:val="18"/>
              </w:rPr>
              <w:t>10</w:t>
            </w:r>
          </w:p>
        </w:tc>
        <w:tc>
          <w:tcPr>
            <w:tcW w:type="dxa" w:w="8060"/>
          </w:tcPr>
          <w:p>
            <w:pPr>
              <w:spacing w:after="0" w:line="240" w:lineRule="auto"/>
            </w:pPr>
            <w:r>
              <w:rPr>
                <w:rFonts w:ascii="Calibri" w:hAnsi="Calibri" w:eastAsia="等线"/>
                <w:b w:val="0"/>
                <w:color w:val="1F1F1F"/>
                <w:sz w:val="18"/>
              </w:rPr>
              <w:t>延迟、带宽、排队及瓶颈模型</w:t>
            </w:r>
          </w:p>
        </w:tc>
      </w:tr>
      <w:tr>
        <w:tc>
          <w:tcPr>
            <w:tcW w:type="dxa" w:w="1300"/>
          </w:tcPr>
          <w:p>
            <w:pPr>
              <w:spacing w:after="0" w:line="240" w:lineRule="auto"/>
            </w:pPr>
            <w:r>
              <w:rPr>
                <w:rFonts w:ascii="Calibri" w:hAnsi="Calibri" w:eastAsia="等线"/>
                <w:b/>
                <w:color w:val="1F1F1F"/>
                <w:sz w:val="18"/>
              </w:rPr>
              <w:t>11</w:t>
            </w:r>
          </w:p>
        </w:tc>
        <w:tc>
          <w:tcPr>
            <w:tcW w:type="dxa" w:w="8060"/>
          </w:tcPr>
          <w:p>
            <w:pPr>
              <w:spacing w:after="0" w:line="240" w:lineRule="auto"/>
            </w:pPr>
            <w:r>
              <w:rPr>
                <w:rFonts w:ascii="Calibri" w:hAnsi="Calibri" w:eastAsia="等线"/>
                <w:b w:val="0"/>
                <w:color w:val="1F1F1F"/>
                <w:sz w:val="18"/>
              </w:rPr>
              <w:t>配置和统计设计</w:t>
            </w:r>
          </w:p>
        </w:tc>
      </w:tr>
      <w:tr>
        <w:tc>
          <w:tcPr>
            <w:tcW w:type="dxa" w:w="1300"/>
          </w:tcPr>
          <w:p>
            <w:pPr>
              <w:spacing w:after="0" w:line="240" w:lineRule="auto"/>
            </w:pPr>
            <w:r>
              <w:rPr>
                <w:rFonts w:ascii="Calibri" w:hAnsi="Calibri" w:eastAsia="等线"/>
                <w:b/>
                <w:color w:val="1F1F1F"/>
                <w:sz w:val="18"/>
              </w:rPr>
              <w:t>12</w:t>
            </w:r>
          </w:p>
        </w:tc>
        <w:tc>
          <w:tcPr>
            <w:tcW w:type="dxa" w:w="8060"/>
          </w:tcPr>
          <w:p>
            <w:pPr>
              <w:spacing w:after="0" w:line="240" w:lineRule="auto"/>
            </w:pPr>
            <w:r>
              <w:rPr>
                <w:rFonts w:ascii="Calibri" w:hAnsi="Calibri" w:eastAsia="等线"/>
                <w:b w:val="0"/>
                <w:color w:val="1F1F1F"/>
                <w:sz w:val="18"/>
              </w:rPr>
              <w:t>精度定义、校准和验证方案</w:t>
            </w:r>
          </w:p>
        </w:tc>
      </w:tr>
      <w:tr>
        <w:tc>
          <w:tcPr>
            <w:tcW w:type="dxa" w:w="1300"/>
          </w:tcPr>
          <w:p>
            <w:pPr>
              <w:spacing w:after="0" w:line="240" w:lineRule="auto"/>
            </w:pPr>
            <w:r>
              <w:rPr>
                <w:rFonts w:ascii="Calibri" w:hAnsi="Calibri" w:eastAsia="等线"/>
                <w:b/>
                <w:color w:val="1F1F1F"/>
                <w:sz w:val="18"/>
              </w:rPr>
              <w:t>13</w:t>
            </w:r>
          </w:p>
        </w:tc>
        <w:tc>
          <w:tcPr>
            <w:tcW w:type="dxa" w:w="8060"/>
          </w:tcPr>
          <w:p>
            <w:pPr>
              <w:spacing w:after="0" w:line="240" w:lineRule="auto"/>
            </w:pPr>
            <w:r>
              <w:rPr>
                <w:rFonts w:ascii="Calibri" w:hAnsi="Calibri" w:eastAsia="等线"/>
                <w:b w:val="0"/>
                <w:color w:val="1F1F1F"/>
                <w:sz w:val="18"/>
              </w:rPr>
              <w:t>替代方案与设计权衡</w:t>
            </w:r>
          </w:p>
        </w:tc>
      </w:tr>
      <w:tr>
        <w:tc>
          <w:tcPr>
            <w:tcW w:type="dxa" w:w="1300"/>
          </w:tcPr>
          <w:p>
            <w:pPr>
              <w:spacing w:after="0" w:line="240" w:lineRule="auto"/>
            </w:pPr>
            <w:r>
              <w:rPr>
                <w:rFonts w:ascii="Calibri" w:hAnsi="Calibri" w:eastAsia="等线"/>
                <w:b/>
                <w:color w:val="1F1F1F"/>
                <w:sz w:val="18"/>
              </w:rPr>
              <w:t>14</w:t>
            </w:r>
          </w:p>
        </w:tc>
        <w:tc>
          <w:tcPr>
            <w:tcW w:type="dxa" w:w="8060"/>
          </w:tcPr>
          <w:p>
            <w:pPr>
              <w:spacing w:after="0" w:line="240" w:lineRule="auto"/>
            </w:pPr>
            <w:r>
              <w:rPr>
                <w:rFonts w:ascii="Calibri" w:hAnsi="Calibri" w:eastAsia="等线"/>
                <w:b w:val="0"/>
                <w:color w:val="1F1F1F"/>
                <w:sz w:val="18"/>
              </w:rPr>
              <w:t>风险、假设和待确认事项</w:t>
            </w:r>
          </w:p>
        </w:tc>
      </w:tr>
      <w:tr>
        <w:tc>
          <w:tcPr>
            <w:tcW w:type="dxa" w:w="1300"/>
          </w:tcPr>
          <w:p>
            <w:pPr>
              <w:spacing w:after="0" w:line="240" w:lineRule="auto"/>
            </w:pPr>
            <w:r>
              <w:rPr>
                <w:rFonts w:ascii="Calibri" w:hAnsi="Calibri" w:eastAsia="等线"/>
                <w:b/>
                <w:color w:val="1F1F1F"/>
                <w:sz w:val="18"/>
              </w:rPr>
              <w:t>15</w:t>
            </w:r>
          </w:p>
        </w:tc>
        <w:tc>
          <w:tcPr>
            <w:tcW w:type="dxa" w:w="8060"/>
          </w:tcPr>
          <w:p>
            <w:pPr>
              <w:spacing w:after="0" w:line="240" w:lineRule="auto"/>
            </w:pPr>
            <w:r>
              <w:rPr>
                <w:rFonts w:ascii="Calibri" w:hAnsi="Calibri" w:eastAsia="等线"/>
                <w:b w:val="0"/>
                <w:color w:val="1F1F1F"/>
                <w:sz w:val="18"/>
              </w:rPr>
              <w:t>专家评审议题与阶段结论</w:t>
            </w:r>
          </w:p>
        </w:tc>
      </w:tr>
      <w:tr>
        <w:tc>
          <w:tcPr>
            <w:tcW w:type="dxa" w:w="1300"/>
          </w:tcPr>
          <w:p>
            <w:pPr>
              <w:spacing w:after="0" w:line="240" w:lineRule="auto"/>
            </w:pPr>
            <w:r>
              <w:rPr>
                <w:rFonts w:ascii="Calibri" w:hAnsi="Calibri" w:eastAsia="等线"/>
                <w:b/>
                <w:color w:val="1F1F1F"/>
                <w:sz w:val="18"/>
              </w:rPr>
              <w:t>附录A</w:t>
            </w:r>
          </w:p>
        </w:tc>
        <w:tc>
          <w:tcPr>
            <w:tcW w:type="dxa" w:w="8060"/>
          </w:tcPr>
          <w:p>
            <w:pPr>
              <w:spacing w:after="0" w:line="240" w:lineRule="auto"/>
            </w:pPr>
            <w:r>
              <w:rPr>
                <w:rFonts w:ascii="Calibri" w:hAnsi="Calibri" w:eastAsia="等线"/>
                <w:b w:val="0"/>
                <w:color w:val="1F1F1F"/>
                <w:sz w:val="18"/>
              </w:rPr>
              <w:t>交付物索引</w:t>
            </w:r>
          </w:p>
        </w:tc>
      </w:tr>
    </w:tbl>
    <w:p>
      <w:pPr>
        <w:spacing w:after="0"/>
      </w:pPr>
    </w:p>
    <w:p>
      <w:r>
        <w:br w:type="page"/>
      </w:r>
    </w:p>
    <w:p>
      <w:pPr>
        <w:pStyle w:val="Heading1"/>
      </w:pPr>
      <w:r>
        <w:t>1 文档概述</w:t>
      </w:r>
    </w:p>
    <w:p>
      <w:pPr>
        <w:pStyle w:val="Heading2"/>
      </w:pPr>
      <w:r>
        <w:t>1.1 文档目的与评审定位</w:t>
      </w:r>
    </w:p>
    <w:p>
      <w:pPr>
        <w:keepLines w:val="0"/>
        <w:widowControl/>
        <w:spacing w:after="120"/>
      </w:pPr>
      <w:r>
        <w:rPr>
          <w:rFonts w:ascii="Calibri" w:hAnsi="Calibri" w:eastAsia="等线"/>
          <w:color w:val="1F1F1F"/>
        </w:rPr>
        <w:t>本文定义一个可独立运行的多核SoC总线性能模型的方案边界、总体架构、事务语义、共享资源模型、配置与统计接口，以及精度校准和验收方法。文档的输出用于架构评审和后续详细设计输入，不用于描述某个现有软件实现，也不以临时类、函数、数据结构或演示用例作为正式规格。</w:t>
      </w:r>
    </w:p>
    <w:p>
      <w:pPr>
        <w:keepLines w:val="0"/>
        <w:widowControl/>
        <w:spacing w:after="120"/>
      </w:pPr>
      <w:r>
        <w:rPr>
          <w:rFonts w:ascii="Calibri" w:hAnsi="Calibri" w:eastAsia="等线"/>
          <w:color w:val="1F1F1F"/>
        </w:rPr>
        <w:t>评审重点不是模型是否具备基本收发功能，而是模型能否真实形成多Master竞争、热点Target拥塞、逐级反压和可解释的性能拐点；能否在不重复计算延迟和带宽的前提下保持事务闭环；以及是否建立了可被对标数据证伪的精度定义。任何尚未由硬件规格、RTL或硅数据支撑的数值，在本文中均标识为建议初值、合理假设或待确认事项。</w:t>
      </w:r>
    </w:p>
    <w:p>
      <w:pPr>
        <w:pStyle w:val="Heading2"/>
      </w:pPr>
      <w:r>
        <w:t>1.2 方案基线与适用结论</w:t>
      </w:r>
    </w:p>
    <w:p>
      <w:pPr>
        <w:keepLines w:val="0"/>
        <w:widowControl/>
        <w:spacing w:after="120"/>
      </w:pPr>
      <w:r>
        <w:rPr>
          <w:rFonts w:ascii="Calibri" w:hAnsi="Calibri" w:eastAsia="等线"/>
          <w:color w:val="1F1F1F"/>
        </w:rPr>
        <w:t>本稿建议采用事务级双向Ring作为首版互连传输平面。选择依据是：Ring能够以有限的模块复杂度保留端点位置、多跳路径、方向选择和链路最小割等结构性因素，同时比共享总线更能表达空间并行，比全连接Crossbar更接近中等规模多端点互连的布局约束，又比flit/VC级Mesh具有更低的建模和校准成本。该结论仅针对首版性能模型基线，不等价于宣称最终SoC物理互连必须采用Ring。</w:t>
      </w:r>
    </w:p>
    <w:p>
      <w:pPr>
        <w:keepLines w:val="0"/>
        <w:widowControl/>
        <w:spacing w:after="120"/>
      </w:pPr>
      <w:r>
        <w:rPr>
          <w:rFonts w:ascii="Calibri" w:hAnsi="Calibri" w:eastAsia="等线"/>
          <w:color w:val="1F1F1F"/>
        </w:rPr>
        <w:t>模型的端点接入层、Target服务模型、地址映射和统计接口保持拓扑无关。若评审确认端点规模、流量矩阵或物理实现约束使Ring不适用，可以替换互连传输平面而不改变上游事务语义和下游服务接口。首版模型以结构和瓶颈相关性为优先，明确不承诺RTL逐周期一致。</w:t>
      </w:r>
    </w:p>
    <w:p>
      <w:pPr>
        <w:pStyle w:val="Heading2"/>
      </w:pPr>
      <w:r>
        <w:t>1.3 规范性术语</w:t>
      </w:r>
    </w:p>
    <w:tbl>
      <w:tblPr>
        <w:tblStyle w:val="TableGrid"/>
        <w:tblW w:type="dxa" w:w="9360"/>
        <w:jc w:val="left"/>
        <w:tblLayout w:type="fixed"/>
        <w:tblLook w:firstColumn="1" w:firstRow="1" w:lastColumn="0" w:lastRow="0" w:noHBand="0" w:noVBand="1" w:val="04A0"/>
        <w:tblInd w:w="120" w:type="dxa"/>
      </w:tblPr>
      <w:tblGrid>
        <w:gridCol w:w="1600"/>
        <w:gridCol w:w="7760"/>
      </w:tblGrid>
      <w:tr>
        <w:trPr>
          <w:cantSplit/>
          <w:tblHeader w:val="true"/>
        </w:trPr>
        <w:tc>
          <w:tcPr>
            <w:tcW w:type="dxa" w:w="1600"/>
            <w:tcMar>
              <w:top w:w="80" w:type="dxa"/>
              <w:start w:w="120" w:type="dxa"/>
              <w:bottom w:w="80" w:type="dxa"/>
              <w:end w:w="120" w:type="dxa"/>
            </w:tcMar>
            <w:vAlign w:val="center"/>
            <w:shd w:fill="F2F4F7"/>
          </w:tcPr>
          <w:p>
            <w:pPr>
              <w:spacing w:after="0"/>
              <w:jc w:val="left"/>
            </w:pPr>
            <w:r>
              <w:rPr>
                <w:rFonts w:ascii="Calibri" w:hAnsi="Calibri" w:eastAsia="等线"/>
                <w:b/>
                <w:color w:val="1F4E79"/>
                <w:sz w:val="18"/>
              </w:rPr>
              <w:t>术语</w:t>
            </w:r>
          </w:p>
        </w:tc>
        <w:tc>
          <w:tcPr>
            <w:tcW w:type="dxa" w:w="7760"/>
            <w:tcMar>
              <w:top w:w="80" w:type="dxa"/>
              <w:start w:w="120" w:type="dxa"/>
              <w:bottom w:w="80" w:type="dxa"/>
              <w:end w:w="120" w:type="dxa"/>
            </w:tcMar>
            <w:vAlign w:val="center"/>
            <w:shd w:fill="F2F4F7"/>
          </w:tcPr>
          <w:p>
            <w:pPr>
              <w:spacing w:after="0"/>
              <w:jc w:val="left"/>
            </w:pPr>
            <w:r>
              <w:rPr>
                <w:rFonts w:ascii="Calibri" w:hAnsi="Calibri" w:eastAsia="等线"/>
                <w:b/>
                <w:color w:val="1F4E79"/>
                <w:sz w:val="18"/>
              </w:rPr>
              <w:t>本文定义</w:t>
            </w:r>
          </w:p>
        </w:tc>
      </w:tr>
      <w:tr>
        <w:tc>
          <w:tcPr>
            <w:tcW w:type="dxa" w:w="1600"/>
          </w:tcPr>
          <w:p>
            <w:pPr>
              <w:spacing w:after="0" w:line="240" w:lineRule="auto"/>
            </w:pPr>
            <w:r>
              <w:rPr>
                <w:rFonts w:ascii="Calibri" w:hAnsi="Calibri" w:eastAsia="等线"/>
                <w:b/>
                <w:color w:val="1F1F1F"/>
                <w:sz w:val="18"/>
              </w:rPr>
              <w:t>Master</w:t>
            </w:r>
          </w:p>
        </w:tc>
        <w:tc>
          <w:tcPr>
            <w:tcW w:type="dxa" w:w="7760"/>
          </w:tcPr>
          <w:p>
            <w:pPr>
              <w:spacing w:after="0" w:line="240" w:lineRule="auto"/>
            </w:pPr>
            <w:r>
              <w:rPr>
                <w:rFonts w:ascii="Calibri" w:hAnsi="Calibri" w:eastAsia="等线"/>
                <w:b w:val="0"/>
                <w:color w:val="1F1F1F"/>
                <w:sz w:val="18"/>
              </w:rPr>
              <w:t>能够发起读写事务的Core、DMA或合成流量源；每个Master拥有独立身份、注入队列和OSD预算。</w:t>
            </w:r>
          </w:p>
        </w:tc>
      </w:tr>
      <w:tr>
        <w:tc>
          <w:tcPr>
            <w:tcW w:type="dxa" w:w="1600"/>
          </w:tcPr>
          <w:p>
            <w:pPr>
              <w:spacing w:after="0" w:line="240" w:lineRule="auto"/>
            </w:pPr>
            <w:r>
              <w:rPr>
                <w:rFonts w:ascii="Calibri" w:hAnsi="Calibri" w:eastAsia="等线"/>
                <w:b/>
                <w:color w:val="1F1F1F"/>
                <w:sz w:val="18"/>
              </w:rPr>
              <w:t>Target</w:t>
            </w:r>
          </w:p>
        </w:tc>
        <w:tc>
          <w:tcPr>
            <w:tcW w:type="dxa" w:w="7760"/>
          </w:tcPr>
          <w:p>
            <w:pPr>
              <w:spacing w:after="0" w:line="240" w:lineRule="auto"/>
            </w:pPr>
            <w:r>
              <w:rPr>
                <w:rFonts w:ascii="Calibri" w:hAnsi="Calibri" w:eastAsia="等线"/>
                <w:b w:val="0"/>
                <w:color w:val="1F1F1F"/>
                <w:sz w:val="18"/>
              </w:rPr>
              <w:t>被访问的L2、DDR控制器、片上存储或其他服务端模型；具有独立队列、Credit和服务能力。</w:t>
            </w:r>
          </w:p>
        </w:tc>
      </w:tr>
      <w:tr>
        <w:tc>
          <w:tcPr>
            <w:tcW w:type="dxa" w:w="1600"/>
          </w:tcPr>
          <w:p>
            <w:pPr>
              <w:spacing w:after="0" w:line="240" w:lineRule="auto"/>
            </w:pPr>
            <w:r>
              <w:rPr>
                <w:rFonts w:ascii="Calibri" w:hAnsi="Calibri" w:eastAsia="等线"/>
                <w:b/>
                <w:color w:val="1F1F1F"/>
                <w:sz w:val="18"/>
              </w:rPr>
              <w:t>TxnKey</w:t>
            </w:r>
          </w:p>
        </w:tc>
        <w:tc>
          <w:tcPr>
            <w:tcW w:type="dxa" w:w="7760"/>
          </w:tcPr>
          <w:p>
            <w:pPr>
              <w:spacing w:after="0" w:line="240" w:lineRule="auto"/>
            </w:pPr>
            <w:r>
              <w:rPr>
                <w:rFonts w:ascii="Calibri" w:hAnsi="Calibri" w:eastAsia="等线"/>
                <w:b w:val="0"/>
                <w:color w:val="1F1F1F"/>
                <w:sz w:val="18"/>
              </w:rPr>
              <w:t>事务全局关联键，建议由MasterID、LocalTxnID和Epoch组成，在请求、写数据及所有响应阶段保持不变。</w:t>
            </w:r>
          </w:p>
        </w:tc>
      </w:tr>
      <w:tr>
        <w:tc>
          <w:tcPr>
            <w:tcW w:type="dxa" w:w="1600"/>
          </w:tcPr>
          <w:p>
            <w:pPr>
              <w:spacing w:after="0" w:line="240" w:lineRule="auto"/>
            </w:pPr>
            <w:r>
              <w:rPr>
                <w:rFonts w:ascii="Calibri" w:hAnsi="Calibri" w:eastAsia="等线"/>
                <w:b/>
                <w:color w:val="1F1F1F"/>
                <w:sz w:val="18"/>
              </w:rPr>
              <w:t>OSD</w:t>
            </w:r>
          </w:p>
        </w:tc>
        <w:tc>
          <w:tcPr>
            <w:tcW w:type="dxa" w:w="7760"/>
          </w:tcPr>
          <w:p>
            <w:pPr>
              <w:spacing w:after="0" w:line="240" w:lineRule="auto"/>
            </w:pPr>
            <w:r>
              <w:rPr>
                <w:rFonts w:ascii="Calibri" w:hAnsi="Calibri" w:eastAsia="等线"/>
                <w:b w:val="0"/>
                <w:color w:val="1F1F1F"/>
                <w:sz w:val="18"/>
              </w:rPr>
              <w:t>Master侧端到端Outstanding深度，统计已被模型接受但尚未终结的事务。</w:t>
            </w:r>
          </w:p>
        </w:tc>
      </w:tr>
      <w:tr>
        <w:tc>
          <w:tcPr>
            <w:tcW w:type="dxa" w:w="1600"/>
          </w:tcPr>
          <w:p>
            <w:pPr>
              <w:spacing w:after="0" w:line="240" w:lineRule="auto"/>
            </w:pPr>
            <w:r>
              <w:rPr>
                <w:rFonts w:ascii="Calibri" w:hAnsi="Calibri" w:eastAsia="等线"/>
                <w:b/>
                <w:color w:val="1F1F1F"/>
                <w:sz w:val="18"/>
              </w:rPr>
              <w:t>Credit</w:t>
            </w:r>
          </w:p>
        </w:tc>
        <w:tc>
          <w:tcPr>
            <w:tcW w:type="dxa" w:w="7760"/>
          </w:tcPr>
          <w:p>
            <w:pPr>
              <w:spacing w:after="0" w:line="240" w:lineRule="auto"/>
            </w:pPr>
            <w:r>
              <w:rPr>
                <w:rFonts w:ascii="Calibri" w:hAnsi="Calibri" w:eastAsia="等线"/>
                <w:b w:val="0"/>
                <w:color w:val="1F1F1F"/>
                <w:sz w:val="18"/>
              </w:rPr>
              <w:t>Target侧可接收/可服务资源的显式容量，不等同于Master OSD或任意FIFO空位。</w:t>
            </w:r>
          </w:p>
        </w:tc>
      </w:tr>
      <w:tr>
        <w:tc>
          <w:tcPr>
            <w:tcW w:type="dxa" w:w="1600"/>
          </w:tcPr>
          <w:p>
            <w:pPr>
              <w:spacing w:after="0" w:line="240" w:lineRule="auto"/>
            </w:pPr>
            <w:r>
              <w:rPr>
                <w:rFonts w:ascii="Calibri" w:hAnsi="Calibri" w:eastAsia="等线"/>
                <w:b/>
                <w:color w:val="1F1F1F"/>
                <w:sz w:val="18"/>
              </w:rPr>
              <w:t>Traffic Class</w:t>
            </w:r>
          </w:p>
        </w:tc>
        <w:tc>
          <w:tcPr>
            <w:tcW w:type="dxa" w:w="7760"/>
          </w:tcPr>
          <w:p>
            <w:pPr>
              <w:spacing w:after="0" w:line="240" w:lineRule="auto"/>
            </w:pPr>
            <w:r>
              <w:rPr>
                <w:rFonts w:ascii="Calibri" w:hAnsi="Calibri" w:eastAsia="等线"/>
                <w:b w:val="0"/>
                <w:color w:val="1F1F1F"/>
                <w:sz w:val="18"/>
              </w:rPr>
              <w:t>请求、写数据、响应及可选QoS类别的逻辑调度分类；其是否共享物理等效带宽由配置决定。</w:t>
            </w:r>
          </w:p>
        </w:tc>
      </w:tr>
      <w:tr>
        <w:tc>
          <w:tcPr>
            <w:tcW w:type="dxa" w:w="1600"/>
          </w:tcPr>
          <w:p>
            <w:pPr>
              <w:spacing w:after="0" w:line="240" w:lineRule="auto"/>
            </w:pPr>
            <w:r>
              <w:rPr>
                <w:rFonts w:ascii="Calibri" w:hAnsi="Calibri" w:eastAsia="等线"/>
                <w:b/>
                <w:color w:val="1F1F1F"/>
                <w:sz w:val="18"/>
              </w:rPr>
              <w:t>反压</w:t>
            </w:r>
          </w:p>
        </w:tc>
        <w:tc>
          <w:tcPr>
            <w:tcW w:type="dxa" w:w="7760"/>
          </w:tcPr>
          <w:p>
            <w:pPr>
              <w:spacing w:after="0" w:line="240" w:lineRule="auto"/>
            </w:pPr>
            <w:r>
              <w:rPr>
                <w:rFonts w:ascii="Calibri" w:hAnsi="Calibri" w:eastAsia="等线"/>
                <w:b w:val="0"/>
                <w:color w:val="1F1F1F"/>
                <w:sz w:val="18"/>
              </w:rPr>
              <w:t>下游资源不足导致上游保持数据、停止出队并沿依赖路径传播的流控行为，不通过丢包或静默重试实现。</w:t>
            </w:r>
          </w:p>
        </w:tc>
      </w:tr>
      <w:tr>
        <w:tc>
          <w:tcPr>
            <w:tcW w:type="dxa" w:w="1600"/>
          </w:tcPr>
          <w:p>
            <w:pPr>
              <w:spacing w:after="0" w:line="240" w:lineRule="auto"/>
            </w:pPr>
            <w:r>
              <w:rPr>
                <w:rFonts w:ascii="Calibri" w:hAnsi="Calibri" w:eastAsia="等线"/>
                <w:b/>
                <w:color w:val="1F1F1F"/>
                <w:sz w:val="18"/>
              </w:rPr>
              <w:t>精度</w:t>
            </w:r>
          </w:p>
        </w:tc>
        <w:tc>
          <w:tcPr>
            <w:tcW w:type="dxa" w:w="7760"/>
          </w:tcPr>
          <w:p>
            <w:pPr>
              <w:spacing w:after="0" w:line="240" w:lineRule="auto"/>
            </w:pPr>
            <w:r>
              <w:rPr>
                <w:rFonts w:ascii="Calibri" w:hAnsi="Calibri" w:eastAsia="等线"/>
                <w:b w:val="0"/>
                <w:color w:val="1F1F1F"/>
                <w:sz w:val="18"/>
              </w:rPr>
              <w:t>相对参考平台在定义场景和KPI上的量化一致程度，不以主观‘趋势相似’替代。</w:t>
            </w:r>
          </w:p>
        </w:tc>
      </w:tr>
    </w:tbl>
    <w:p>
      <w:pPr>
        <w:spacing w:after="0"/>
      </w:pPr>
    </w:p>
    <w:p>
      <w:pPr>
        <w:pStyle w:val="Heading1"/>
      </w:pPr>
      <w:r>
        <w:t>2 建设背景与目标</w:t>
      </w:r>
    </w:p>
    <w:p>
      <w:pPr>
        <w:pStyle w:val="Heading2"/>
      </w:pPr>
      <w:r>
        <w:t>2.1 建设背景</w:t>
      </w:r>
    </w:p>
    <w:p>
      <w:pPr>
        <w:keepLines w:val="0"/>
        <w:widowControl/>
        <w:spacing w:after="120"/>
      </w:pPr>
      <w:r>
        <w:rPr>
          <w:rFonts w:ascii="Calibri" w:hAnsi="Calibri" w:eastAsia="等线"/>
          <w:color w:val="1F1F1F"/>
        </w:rPr>
        <w:t>多Core系统的总线性能通常由端到端往返时间、并发深度、热点链路、Target服务能力和地址分布共同决定。若模型仅给每笔访问叠加固定延迟，多个Master不会在同一物理等效资源上排队，增加Core数量、改变interleave或缩小FIFO也无法产生可信的饱和行为。相反，若首版即复制完整NoC微架构，则模型开发和校准成本会显著上升，且在硬件关键参数尚未冻结时难以证明额外细节能够提升系统级结论的有效性。</w:t>
      </w:r>
    </w:p>
    <w:p>
      <w:pPr>
        <w:keepLines w:val="0"/>
        <w:widowControl/>
        <w:spacing w:after="120"/>
      </w:pPr>
      <w:r>
        <w:rPr>
          <w:rFonts w:ascii="Calibri" w:hAnsi="Calibri" w:eastAsia="等线"/>
          <w:color w:val="1F1F1F"/>
        </w:rPr>
        <w:t>本项目因此采用分层可配置的ESL性能模型：事务层保证身份、顺序和完成闭环；互连层表达拓扑、竞争、序列化和反压；Target层表达不同存储端点的有限服务能力；配置与统计层保证每个参数可追溯、每个瓶颈可观测。模型能够脱离完整SoC运行，用于架构探索、流量压力分析和后续RTL/硅数据校准。</w:t>
      </w:r>
    </w:p>
    <w:p>
      <w:pPr>
        <w:pStyle w:val="Heading2"/>
      </w:pPr>
      <w:r>
        <w:t>2.2 建设目标</w:t>
      </w:r>
    </w:p>
    <w:p>
      <w:pPr>
        <w:keepLines w:val="0"/>
        <w:widowControl/>
        <w:spacing w:after="120"/>
      </w:pPr>
      <w:r>
        <w:rPr>
          <w:rFonts w:ascii="Calibri" w:hAnsi="Calibri" w:eastAsia="等线"/>
          <w:color w:val="1F1F1F"/>
        </w:rPr>
        <w:t>功能目标是支持多个独立Master和多个异构Target，以可配置地址映射完成读写闭环，并在下游阻塞时保证无丢包、无重复提交、无资源泄漏。性能目标是同时表达零负载延迟、负载相关排队、链路带宽、逐跳拓扑、OSD限制、Target吞吐和响应回程，使热点与最小割能够自然成为瓶颈。工程目标是建立稳定的配置Schema、统计Schema、事务追踪和不变量检查，避免参数存在但不生效或统计数据不能解释结果。</w:t>
      </w:r>
    </w:p>
    <w:p>
      <w:pPr>
        <w:keepLines w:val="0"/>
        <w:widowControl/>
        <w:spacing w:after="120"/>
      </w:pPr>
      <w:r>
        <w:rPr>
          <w:rFonts w:ascii="Calibri" w:hAnsi="Calibri" w:eastAsia="等线"/>
          <w:color w:val="1F1F1F"/>
        </w:rPr>
        <w:t>精度目标约为80%，但在完成对标前不得表述为已达到。本文将80%定义为多个关键KPI的加权准确度和硬门限组合，并规定校准集、留出验收集、版本冻结和异常归因流程。模型只有在参考平台、场景覆盖和验收门限获得评审确认并执行后，才允许宣称达到相应适用域内的精度目标。</w:t>
      </w:r>
    </w:p>
    <w:p>
      <w:pPr>
        <w:pStyle w:val="Heading2"/>
      </w:pPr>
      <w:r>
        <w:t>2.3 成功判据</w:t>
      </w:r>
    </w:p>
    <w:tbl>
      <w:tblPr>
        <w:tblStyle w:val="TableGrid"/>
        <w:tblW w:type="dxa" w:w="9360"/>
        <w:jc w:val="left"/>
        <w:tblLayout w:type="fixed"/>
        <w:tblLook w:firstColumn="1" w:firstRow="1" w:lastColumn="0" w:lastRow="0" w:noHBand="0" w:noVBand="1" w:val="04A0"/>
        <w:tblInd w:w="120" w:type="dxa"/>
      </w:tblPr>
      <w:tblGrid>
        <w:gridCol w:w="1500"/>
        <w:gridCol w:w="4500"/>
        <w:gridCol w:w="3360"/>
      </w:tblGrid>
      <w:tr>
        <w:trPr>
          <w:cantSplit/>
          <w:tblHeader w:val="true"/>
        </w:trPr>
        <w:tc>
          <w:tcPr>
            <w:tcW w:type="dxa" w:w="150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判据类别</w:t>
            </w:r>
          </w:p>
        </w:tc>
        <w:tc>
          <w:tcPr>
            <w:tcW w:type="dxa" w:w="450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通过条件</w:t>
            </w:r>
          </w:p>
        </w:tc>
        <w:tc>
          <w:tcPr>
            <w:tcW w:type="dxa" w:w="336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主要证据</w:t>
            </w:r>
          </w:p>
        </w:tc>
      </w:tr>
      <w:tr>
        <w:tc>
          <w:tcPr>
            <w:tcW w:type="dxa" w:w="1500"/>
          </w:tcPr>
          <w:p>
            <w:pPr>
              <w:spacing w:after="0" w:line="240" w:lineRule="auto"/>
            </w:pPr>
            <w:r>
              <w:rPr>
                <w:rFonts w:ascii="Calibri" w:hAnsi="Calibri" w:eastAsia="等线"/>
                <w:b/>
                <w:color w:val="1F1F1F"/>
                <w:sz w:val="17"/>
              </w:rPr>
              <w:t>事务正确性</w:t>
            </w:r>
          </w:p>
        </w:tc>
        <w:tc>
          <w:tcPr>
            <w:tcW w:type="dxa" w:w="4500"/>
          </w:tcPr>
          <w:p>
            <w:pPr>
              <w:spacing w:after="0" w:line="240" w:lineRule="auto"/>
            </w:pPr>
            <w:r>
              <w:rPr>
                <w:rFonts w:ascii="Calibri" w:hAnsi="Calibri" w:eastAsia="等线"/>
                <w:b w:val="0"/>
                <w:color w:val="1F1F1F"/>
                <w:sz w:val="17"/>
              </w:rPr>
              <w:t>所有已接受事务均终结；响应归属、分段计数、写请求/写数据关联正确；资源计数回零。</w:t>
            </w:r>
          </w:p>
        </w:tc>
        <w:tc>
          <w:tcPr>
            <w:tcW w:type="dxa" w:w="3360"/>
          </w:tcPr>
          <w:p>
            <w:pPr>
              <w:spacing w:after="0" w:line="240" w:lineRule="auto"/>
            </w:pPr>
            <w:r>
              <w:rPr>
                <w:rFonts w:ascii="Calibri" w:hAnsi="Calibri" w:eastAsia="等线"/>
                <w:b w:val="0"/>
                <w:color w:val="1F1F1F"/>
                <w:sz w:val="17"/>
              </w:rPr>
              <w:t>不变量、终态检查、事务追踪</w:t>
            </w:r>
          </w:p>
        </w:tc>
      </w:tr>
      <w:tr>
        <w:tc>
          <w:tcPr>
            <w:tcW w:type="dxa" w:w="1500"/>
          </w:tcPr>
          <w:p>
            <w:pPr>
              <w:spacing w:after="0" w:line="240" w:lineRule="auto"/>
            </w:pPr>
            <w:r>
              <w:rPr>
                <w:rFonts w:ascii="Calibri" w:hAnsi="Calibri" w:eastAsia="等线"/>
                <w:b/>
                <w:color w:val="1F1F1F"/>
                <w:sz w:val="17"/>
              </w:rPr>
              <w:t>竞争真实性</w:t>
            </w:r>
          </w:p>
        </w:tc>
        <w:tc>
          <w:tcPr>
            <w:tcW w:type="dxa" w:w="4500"/>
          </w:tcPr>
          <w:p>
            <w:pPr>
              <w:spacing w:after="0" w:line="240" w:lineRule="auto"/>
            </w:pPr>
            <w:r>
              <w:rPr>
                <w:rFonts w:ascii="Calibri" w:hAnsi="Calibri" w:eastAsia="等线"/>
                <w:b w:val="0"/>
                <w:color w:val="1F1F1F"/>
                <w:sz w:val="17"/>
              </w:rPr>
              <w:t>两个及以上Master访问共享路径或Target时，出现可归因的仲裁等待、队列增长或吞吐分配。</w:t>
            </w:r>
          </w:p>
        </w:tc>
        <w:tc>
          <w:tcPr>
            <w:tcW w:type="dxa" w:w="3360"/>
          </w:tcPr>
          <w:p>
            <w:pPr>
              <w:spacing w:after="0" w:line="240" w:lineRule="auto"/>
            </w:pPr>
            <w:r>
              <w:rPr>
                <w:rFonts w:ascii="Calibri" w:hAnsi="Calibri" w:eastAsia="等线"/>
                <w:b w:val="0"/>
                <w:color w:val="1F1F1F"/>
                <w:sz w:val="17"/>
              </w:rPr>
              <w:t>每输出端等待、链路利用率、Master吞吐</w:t>
            </w:r>
          </w:p>
        </w:tc>
      </w:tr>
      <w:tr>
        <w:tc>
          <w:tcPr>
            <w:tcW w:type="dxa" w:w="1500"/>
          </w:tcPr>
          <w:p>
            <w:pPr>
              <w:spacing w:after="0" w:line="240" w:lineRule="auto"/>
            </w:pPr>
            <w:r>
              <w:rPr>
                <w:rFonts w:ascii="Calibri" w:hAnsi="Calibri" w:eastAsia="等线"/>
                <w:b/>
                <w:color w:val="1F1F1F"/>
                <w:sz w:val="17"/>
              </w:rPr>
              <w:t>反压闭环</w:t>
            </w:r>
          </w:p>
        </w:tc>
        <w:tc>
          <w:tcPr>
            <w:tcW w:type="dxa" w:w="4500"/>
          </w:tcPr>
          <w:p>
            <w:pPr>
              <w:spacing w:after="0" w:line="240" w:lineRule="auto"/>
            </w:pPr>
            <w:r>
              <w:rPr>
                <w:rFonts w:ascii="Calibri" w:hAnsi="Calibri" w:eastAsia="等线"/>
                <w:b w:val="0"/>
                <w:color w:val="1F1F1F"/>
                <w:sz w:val="17"/>
              </w:rPr>
              <w:t>任一有限资源满时包保持原位；资源恢复触发自动重试；不存在旁路或丢包。</w:t>
            </w:r>
          </w:p>
        </w:tc>
        <w:tc>
          <w:tcPr>
            <w:tcW w:type="dxa" w:w="3360"/>
          </w:tcPr>
          <w:p>
            <w:pPr>
              <w:spacing w:after="0" w:line="240" w:lineRule="auto"/>
            </w:pPr>
            <w:r>
              <w:rPr>
                <w:rFonts w:ascii="Calibri" w:hAnsi="Calibri" w:eastAsia="等线"/>
                <w:b w:val="0"/>
                <w:color w:val="1F1F1F"/>
                <w:sz w:val="17"/>
              </w:rPr>
              <w:t>FIFO占用、vld/ready、阻塞原因、恢复事件</w:t>
            </w:r>
          </w:p>
        </w:tc>
      </w:tr>
      <w:tr>
        <w:tc>
          <w:tcPr>
            <w:tcW w:type="dxa" w:w="1500"/>
          </w:tcPr>
          <w:p>
            <w:pPr>
              <w:spacing w:after="0" w:line="240" w:lineRule="auto"/>
            </w:pPr>
            <w:r>
              <w:rPr>
                <w:rFonts w:ascii="Calibri" w:hAnsi="Calibri" w:eastAsia="等线"/>
                <w:b/>
                <w:color w:val="1F1F1F"/>
                <w:sz w:val="17"/>
              </w:rPr>
              <w:t>性能可解释</w:t>
            </w:r>
          </w:p>
        </w:tc>
        <w:tc>
          <w:tcPr>
            <w:tcW w:type="dxa" w:w="4500"/>
          </w:tcPr>
          <w:p>
            <w:pPr>
              <w:spacing w:after="0" w:line="240" w:lineRule="auto"/>
            </w:pPr>
            <w:r>
              <w:rPr>
                <w:rFonts w:ascii="Calibri" w:hAnsi="Calibri" w:eastAsia="等线"/>
                <w:b w:val="0"/>
                <w:color w:val="1F1F1F"/>
                <w:sz w:val="17"/>
              </w:rPr>
              <w:t>吞吐上界、饱和拐点和p50/p95延迟变化能由唯一资源或路径解释。</w:t>
            </w:r>
          </w:p>
        </w:tc>
        <w:tc>
          <w:tcPr>
            <w:tcW w:type="dxa" w:w="3360"/>
          </w:tcPr>
          <w:p>
            <w:pPr>
              <w:spacing w:after="0" w:line="240" w:lineRule="auto"/>
            </w:pPr>
            <w:r>
              <w:rPr>
                <w:rFonts w:ascii="Calibri" w:hAnsi="Calibri" w:eastAsia="等线"/>
                <w:b w:val="0"/>
                <w:color w:val="1F1F1F"/>
                <w:sz w:val="17"/>
              </w:rPr>
              <w:t>延迟分解、利用率、stall attribution</w:t>
            </w:r>
          </w:p>
        </w:tc>
      </w:tr>
      <w:tr>
        <w:tc>
          <w:tcPr>
            <w:tcW w:type="dxa" w:w="1500"/>
          </w:tcPr>
          <w:p>
            <w:pPr>
              <w:spacing w:after="0" w:line="240" w:lineRule="auto"/>
            </w:pPr>
            <w:r>
              <w:rPr>
                <w:rFonts w:ascii="Calibri" w:hAnsi="Calibri" w:eastAsia="等线"/>
                <w:b/>
                <w:color w:val="1F1F1F"/>
                <w:sz w:val="17"/>
              </w:rPr>
              <w:t>参数有效性</w:t>
            </w:r>
          </w:p>
        </w:tc>
        <w:tc>
          <w:tcPr>
            <w:tcW w:type="dxa" w:w="4500"/>
          </w:tcPr>
          <w:p>
            <w:pPr>
              <w:spacing w:after="0" w:line="240" w:lineRule="auto"/>
            </w:pPr>
            <w:r>
              <w:rPr>
                <w:rFonts w:ascii="Calibri" w:hAnsi="Calibri" w:eastAsia="等线"/>
                <w:b w:val="0"/>
                <w:color w:val="1F1F1F"/>
                <w:sz w:val="17"/>
              </w:rPr>
              <w:t>关键参数变化产生方向正确、边界明确且可重复的影响；无死参数。</w:t>
            </w:r>
          </w:p>
        </w:tc>
        <w:tc>
          <w:tcPr>
            <w:tcW w:type="dxa" w:w="3360"/>
          </w:tcPr>
          <w:p>
            <w:pPr>
              <w:spacing w:after="0" w:line="240" w:lineRule="auto"/>
            </w:pPr>
            <w:r>
              <w:rPr>
                <w:rFonts w:ascii="Calibri" w:hAnsi="Calibri" w:eastAsia="等线"/>
                <w:b w:val="0"/>
                <w:color w:val="1F1F1F"/>
                <w:sz w:val="17"/>
              </w:rPr>
              <w:t>单参数扫描、配置指纹、敏感度报告</w:t>
            </w:r>
          </w:p>
        </w:tc>
      </w:tr>
      <w:tr>
        <w:tc>
          <w:tcPr>
            <w:tcW w:type="dxa" w:w="1500"/>
          </w:tcPr>
          <w:p>
            <w:pPr>
              <w:spacing w:after="0" w:line="240" w:lineRule="auto"/>
            </w:pPr>
            <w:r>
              <w:rPr>
                <w:rFonts w:ascii="Calibri" w:hAnsi="Calibri" w:eastAsia="等线"/>
                <w:b/>
                <w:color w:val="1F1F1F"/>
                <w:sz w:val="17"/>
              </w:rPr>
              <w:t>精度验收</w:t>
            </w:r>
          </w:p>
        </w:tc>
        <w:tc>
          <w:tcPr>
            <w:tcW w:type="dxa" w:w="4500"/>
          </w:tcPr>
          <w:p>
            <w:pPr>
              <w:spacing w:after="0" w:line="240" w:lineRule="auto"/>
            </w:pPr>
            <w:r>
              <w:rPr>
                <w:rFonts w:ascii="Calibri" w:hAnsi="Calibri" w:eastAsia="等线"/>
                <w:b w:val="0"/>
                <w:color w:val="1F1F1F"/>
                <w:sz w:val="17"/>
              </w:rPr>
              <w:t>留出集加权准确度达到目标，全部硬门限通过，失败场景有结构性归因。</w:t>
            </w:r>
          </w:p>
        </w:tc>
        <w:tc>
          <w:tcPr>
            <w:tcW w:type="dxa" w:w="3360"/>
          </w:tcPr>
          <w:p>
            <w:pPr>
              <w:spacing w:after="0" w:line="240" w:lineRule="auto"/>
            </w:pPr>
            <w:r>
              <w:rPr>
                <w:rFonts w:ascii="Calibri" w:hAnsi="Calibri" w:eastAsia="等线"/>
                <w:b w:val="0"/>
                <w:color w:val="1F1F1F"/>
                <w:sz w:val="17"/>
              </w:rPr>
              <w:t>对标报告、误差矩阵、版本签核</w:t>
            </w:r>
          </w:p>
        </w:tc>
      </w:tr>
    </w:tbl>
    <w:p>
      <w:pPr>
        <w:spacing w:after="0"/>
      </w:pPr>
    </w:p>
    <w:p>
      <w:pPr>
        <w:pStyle w:val="Heading1"/>
      </w:pPr>
      <w:r>
        <w:t>3 设计范围、非目标与约束</w:t>
      </w:r>
    </w:p>
    <w:p>
      <w:pPr>
        <w:pStyle w:val="Heading2"/>
      </w:pPr>
      <w:r>
        <w:t>3.1 设计范围</w:t>
      </w:r>
    </w:p>
    <w:p>
      <w:pPr>
        <w:keepLines w:val="0"/>
        <w:widowControl/>
        <w:spacing w:after="120"/>
      </w:pPr>
      <w:r>
        <w:rPr>
          <w:rFonts w:ascii="Calibri" w:hAnsi="Calibri" w:eastAsia="等线"/>
          <w:color w:val="1F1F1F"/>
        </w:rPr>
        <w:t>模型范围从Master请求在流量源适配层被接受开始，到最终终结响应被上游接受结束。范围内包括：Master网络接口、地址映射与交织引擎、Ring Router与Link、Target网络接口、Target服务模型的性能抽象、配置与约束管理、统计与追踪管理。范围内所有影响吞吐或延迟的有限资源必须有唯一所有者、容量、申请点、释放点和观测指标。</w:t>
      </w:r>
    </w:p>
    <w:p>
      <w:pPr>
        <w:keepLines w:val="0"/>
        <w:widowControl/>
        <w:spacing w:after="120"/>
      </w:pPr>
      <w:r>
        <w:rPr>
          <w:rFonts w:ascii="Calibri" w:hAnsi="Calibri" w:eastAsia="等线"/>
          <w:color w:val="1F1F1F"/>
        </w:rPr>
        <w:t>模型支持单Core和多Core流量、均匀和热点地址分布、读写混合、不同事务长度、不同OSD/FIFO/Credit、不同仲裁和交织策略、持续下游反压，以及L2和DDR等具有不同服务能力的Target。模型运行不依赖完整SoC，但允许接入trace、合成流量源或更高层ESL组件。</w:t>
      </w:r>
    </w:p>
    <w:p>
      <w:pPr>
        <w:pStyle w:val="Heading2"/>
      </w:pPr>
      <w:r>
        <w:t>3.2 非目标</w:t>
      </w:r>
    </w:p>
    <w:p>
      <w:pPr>
        <w:keepLines w:val="0"/>
        <w:widowControl/>
        <w:spacing w:after="120"/>
      </w:pPr>
      <w:r>
        <w:rPr>
          <w:rFonts w:ascii="Calibri" w:hAnsi="Calibri" w:eastAsia="等线"/>
          <w:color w:val="1F1F1F"/>
        </w:rPr>
        <w:t>首版不复制完整一致性协议、目录与snoop网络，不承担软件可见内存模型的最终定义，不模拟PHY训练、DDR命令级调度、模拟电气效应或功耗热行为。首版也不要求flit级VC分配、逐拍RTL总线信号、CDC亚稳态或物理拥塞布线。若这些因素经敏感度或对标证明对目标KPI贡献超过误差预算，应以增量特性进入后续版本，而不是在未证明收益前加入基线。</w:t>
      </w:r>
    </w:p>
    <w:p>
      <w:pPr>
        <w:keepLines w:val="0"/>
        <w:widowControl/>
        <w:spacing w:after="120"/>
      </w:pPr>
      <w:r>
        <w:rPr>
          <w:rFonts w:ascii="Calibri" w:hAnsi="Calibri" w:eastAsia="等线"/>
          <w:color w:val="1F1F1F"/>
        </w:rPr>
        <w:t>模型输出不能单独用于签核RTL微流水优化、单拍旁路或细粒度VC策略；不能将某个建议默认值解释为真实硬件参数；不能将模型内的逻辑通道数量直接等价为物理线数。功能一致性、缓存一致性和正式协议合规需要由各自验证环境承担。</w:t>
      </w:r>
    </w:p>
    <w:p>
      <w:pPr>
        <w:pStyle w:val="Heading2"/>
      </w:pPr>
      <w:r>
        <w:t>3.3 约束与适用域</w:t>
      </w:r>
    </w:p>
    <w:p>
      <w:pPr>
        <w:keepLines w:val="0"/>
        <w:widowControl/>
        <w:spacing w:after="120"/>
      </w:pPr>
      <w:r>
        <w:rPr>
          <w:rFonts w:ascii="Calibri" w:hAnsi="Calibri" w:eastAsia="等线"/>
          <w:color w:val="1F1F1F"/>
        </w:rPr>
        <w:t>基线假设单一模型时钟和统一cycle时间基准，跨时钟域通过端口适配层折算为显式固定延迟、吞吐和有限队列；若必须研究异步相位效应，应升级为多时钟事件模型。流量以单播读写为主，原子、屏障、多播和一致性事务在未获得协议定义前均列为非目标或待确认。地址与长度必须被映射引擎验证，跨interleave粒度或跨Target边界的请求应在源端分段并以父事务上下文聚合完成。</w:t>
      </w:r>
    </w:p>
    <w:p>
      <w:pPr>
        <w:keepLines w:val="0"/>
        <w:widowControl/>
        <w:spacing w:after="120"/>
      </w:pPr>
      <w:r>
        <w:rPr>
          <w:rFonts w:ascii="Calibri" w:hAnsi="Calibri" w:eastAsia="等线"/>
          <w:color w:val="1F1F1F"/>
        </w:rPr>
        <w:t>模型采用事件驱动、周期量化的状态推进。任何队列或接口处于vld状态时，其队头在下游状态变化、链路可用时刻、Credit返还或Target完成事件发生后重新参与调度；不是每周期盲轮询，也不需要独立retry消息。该约束既保证持续反压后的进度，也避免因缺少唤醒事件导致包永久停留。</w:t>
      </w:r>
    </w:p>
    <w:p>
      <w:pPr>
        <w:pStyle w:val="Heading1"/>
      </w:pPr>
      <w:r>
        <w:t>4 需求工程化分析</w:t>
      </w:r>
    </w:p>
    <w:p>
      <w:pPr>
        <w:pStyle w:val="Heading2"/>
      </w:pPr>
      <w:r>
        <w:t>4.1 已知需求</w:t>
      </w:r>
    </w:p>
    <w:tbl>
      <w:tblPr>
        <w:tblStyle w:val="TableGrid"/>
        <w:tblW w:type="dxa" w:w="9360"/>
        <w:jc w:val="left"/>
        <w:tblLayout w:type="fixed"/>
        <w:tblLook w:firstColumn="1" w:firstRow="1" w:lastColumn="0" w:lastRow="0" w:noHBand="0" w:noVBand="1" w:val="04A0"/>
        <w:tblInd w:w="120" w:type="dxa"/>
      </w:tblPr>
      <w:tblGrid>
        <w:gridCol w:w="900"/>
        <w:gridCol w:w="2750"/>
        <w:gridCol w:w="3500"/>
        <w:gridCol w:w="2210"/>
      </w:tblGrid>
      <w:tr>
        <w:trPr>
          <w:cantSplit/>
          <w:tblHeader w:val="true"/>
        </w:trPr>
        <w:tc>
          <w:tcPr>
            <w:tcW w:type="dxa" w:w="9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编号</w:t>
            </w:r>
          </w:p>
        </w:tc>
        <w:tc>
          <w:tcPr>
            <w:tcW w:type="dxa" w:w="275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需求陈述</w:t>
            </w:r>
          </w:p>
        </w:tc>
        <w:tc>
          <w:tcPr>
            <w:tcW w:type="dxa" w:w="35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架构响应</w:t>
            </w:r>
          </w:p>
        </w:tc>
        <w:tc>
          <w:tcPr>
            <w:tcW w:type="dxa" w:w="221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验证方式</w:t>
            </w:r>
          </w:p>
        </w:tc>
      </w:tr>
      <w:tr>
        <w:tc>
          <w:tcPr>
            <w:tcW w:type="dxa" w:w="900"/>
          </w:tcPr>
          <w:p>
            <w:pPr>
              <w:spacing w:after="0" w:line="240" w:lineRule="auto"/>
            </w:pPr>
            <w:r>
              <w:rPr>
                <w:rFonts w:ascii="Calibri" w:hAnsi="Calibri" w:eastAsia="等线"/>
                <w:b/>
                <w:color w:val="1F1F1F"/>
                <w:sz w:val="16"/>
              </w:rPr>
              <w:t>REQ-01</w:t>
            </w:r>
          </w:p>
        </w:tc>
        <w:tc>
          <w:tcPr>
            <w:tcW w:type="dxa" w:w="2750"/>
          </w:tcPr>
          <w:p>
            <w:pPr>
              <w:spacing w:after="0" w:line="240" w:lineRule="auto"/>
            </w:pPr>
            <w:r>
              <w:rPr>
                <w:rFonts w:ascii="Calibri" w:hAnsi="Calibri" w:eastAsia="等线"/>
                <w:b w:val="0"/>
                <w:color w:val="1F1F1F"/>
                <w:sz w:val="16"/>
              </w:rPr>
              <w:t>多Core/多Master、脱离完整SoC独立运行</w:t>
            </w:r>
          </w:p>
        </w:tc>
        <w:tc>
          <w:tcPr>
            <w:tcW w:type="dxa" w:w="3500"/>
          </w:tcPr>
          <w:p>
            <w:pPr>
              <w:spacing w:after="0" w:line="240" w:lineRule="auto"/>
            </w:pPr>
            <w:r>
              <w:rPr>
                <w:rFonts w:ascii="Calibri" w:hAnsi="Calibri" w:eastAsia="等线"/>
                <w:b w:val="0"/>
                <w:color w:val="1F1F1F"/>
                <w:sz w:val="16"/>
              </w:rPr>
              <w:t>流量源适配层和每Master独立上下文；Target以可替换服务模型连接。</w:t>
            </w:r>
          </w:p>
        </w:tc>
        <w:tc>
          <w:tcPr>
            <w:tcW w:type="dxa" w:w="2210"/>
          </w:tcPr>
          <w:p>
            <w:pPr>
              <w:spacing w:after="0" w:line="240" w:lineRule="auto"/>
            </w:pPr>
            <w:r>
              <w:rPr>
                <w:rFonts w:ascii="Calibri" w:hAnsi="Calibri" w:eastAsia="等线"/>
                <w:b w:val="0"/>
                <w:color w:val="1F1F1F"/>
                <w:sz w:val="16"/>
              </w:rPr>
              <w:t>多源并发、隔离与回程归属检查</w:t>
            </w:r>
          </w:p>
        </w:tc>
      </w:tr>
      <w:tr>
        <w:tc>
          <w:tcPr>
            <w:tcW w:type="dxa" w:w="900"/>
          </w:tcPr>
          <w:p>
            <w:pPr>
              <w:spacing w:after="0" w:line="240" w:lineRule="auto"/>
            </w:pPr>
            <w:r>
              <w:rPr>
                <w:rFonts w:ascii="Calibri" w:hAnsi="Calibri" w:eastAsia="等线"/>
                <w:b/>
                <w:color w:val="1F1F1F"/>
                <w:sz w:val="16"/>
              </w:rPr>
              <w:t>REQ-02</w:t>
            </w:r>
          </w:p>
        </w:tc>
        <w:tc>
          <w:tcPr>
            <w:tcW w:type="dxa" w:w="2750"/>
          </w:tcPr>
          <w:p>
            <w:pPr>
              <w:spacing w:after="0" w:line="240" w:lineRule="auto"/>
            </w:pPr>
            <w:r>
              <w:rPr>
                <w:rFonts w:ascii="Calibri" w:hAnsi="Calibri" w:eastAsia="等线"/>
                <w:b w:val="0"/>
                <w:color w:val="1F1F1F"/>
                <w:sz w:val="16"/>
              </w:rPr>
              <w:t>建模延迟、交织、多核竞争和瓶颈</w:t>
            </w:r>
          </w:p>
        </w:tc>
        <w:tc>
          <w:tcPr>
            <w:tcW w:type="dxa" w:w="3500"/>
          </w:tcPr>
          <w:p>
            <w:pPr>
              <w:spacing w:after="0" w:line="240" w:lineRule="auto"/>
            </w:pPr>
            <w:r>
              <w:rPr>
                <w:rFonts w:ascii="Calibri" w:hAnsi="Calibri" w:eastAsia="等线"/>
                <w:b w:val="0"/>
                <w:color w:val="1F1F1F"/>
                <w:sz w:val="16"/>
              </w:rPr>
              <w:t>逐跳Router/Link、地址映射、输出仲裁、有限Target资源。</w:t>
            </w:r>
          </w:p>
        </w:tc>
        <w:tc>
          <w:tcPr>
            <w:tcW w:type="dxa" w:w="2210"/>
          </w:tcPr>
          <w:p>
            <w:pPr>
              <w:spacing w:after="0" w:line="240" w:lineRule="auto"/>
            </w:pPr>
            <w:r>
              <w:rPr>
                <w:rFonts w:ascii="Calibri" w:hAnsi="Calibri" w:eastAsia="等线"/>
                <w:b w:val="0"/>
                <w:color w:val="1F1F1F"/>
                <w:sz w:val="16"/>
              </w:rPr>
              <w:t>零负载、饱和、热点与敏感度场景</w:t>
            </w:r>
          </w:p>
        </w:tc>
      </w:tr>
      <w:tr>
        <w:tc>
          <w:tcPr>
            <w:tcW w:type="dxa" w:w="900"/>
          </w:tcPr>
          <w:p>
            <w:pPr>
              <w:spacing w:after="0" w:line="240" w:lineRule="auto"/>
            </w:pPr>
            <w:r>
              <w:rPr>
                <w:rFonts w:ascii="Calibri" w:hAnsi="Calibri" w:eastAsia="等线"/>
                <w:b/>
                <w:color w:val="1F1F1F"/>
                <w:sz w:val="16"/>
              </w:rPr>
              <w:t>REQ-03</w:t>
            </w:r>
          </w:p>
        </w:tc>
        <w:tc>
          <w:tcPr>
            <w:tcW w:type="dxa" w:w="2750"/>
          </w:tcPr>
          <w:p>
            <w:pPr>
              <w:spacing w:after="0" w:line="240" w:lineRule="auto"/>
            </w:pPr>
            <w:r>
              <w:rPr>
                <w:rFonts w:ascii="Calibri" w:hAnsi="Calibri" w:eastAsia="等线"/>
                <w:b w:val="0"/>
                <w:color w:val="1F1F1F"/>
                <w:sz w:val="16"/>
              </w:rPr>
              <w:t>延迟、带宽、仲裁、FIFO、OSD可配置</w:t>
            </w:r>
          </w:p>
        </w:tc>
        <w:tc>
          <w:tcPr>
            <w:tcW w:type="dxa" w:w="3500"/>
          </w:tcPr>
          <w:p>
            <w:pPr>
              <w:spacing w:after="0" w:line="240" w:lineRule="auto"/>
            </w:pPr>
            <w:r>
              <w:rPr>
                <w:rFonts w:ascii="Calibri" w:hAnsi="Calibri" w:eastAsia="等线"/>
                <w:b w:val="0"/>
                <w:color w:val="1F1F1F"/>
                <w:sz w:val="16"/>
              </w:rPr>
              <w:t>配置Schema映射到唯一资源所有者；加载时执行范围和冲突校验。</w:t>
            </w:r>
          </w:p>
        </w:tc>
        <w:tc>
          <w:tcPr>
            <w:tcW w:type="dxa" w:w="2210"/>
          </w:tcPr>
          <w:p>
            <w:pPr>
              <w:spacing w:after="0" w:line="240" w:lineRule="auto"/>
            </w:pPr>
            <w:r>
              <w:rPr>
                <w:rFonts w:ascii="Calibri" w:hAnsi="Calibri" w:eastAsia="等线"/>
                <w:b w:val="0"/>
                <w:color w:val="1F1F1F"/>
                <w:sz w:val="16"/>
              </w:rPr>
              <w:t>参数作用点审计和单参数扫描</w:t>
            </w:r>
          </w:p>
        </w:tc>
      </w:tr>
      <w:tr>
        <w:tc>
          <w:tcPr>
            <w:tcW w:type="dxa" w:w="900"/>
          </w:tcPr>
          <w:p>
            <w:pPr>
              <w:spacing w:after="0" w:line="240" w:lineRule="auto"/>
            </w:pPr>
            <w:r>
              <w:rPr>
                <w:rFonts w:ascii="Calibri" w:hAnsi="Calibri" w:eastAsia="等线"/>
                <w:b/>
                <w:color w:val="1F1F1F"/>
                <w:sz w:val="16"/>
              </w:rPr>
              <w:t>REQ-04</w:t>
            </w:r>
          </w:p>
        </w:tc>
        <w:tc>
          <w:tcPr>
            <w:tcW w:type="dxa" w:w="2750"/>
          </w:tcPr>
          <w:p>
            <w:pPr>
              <w:spacing w:after="0" w:line="240" w:lineRule="auto"/>
            </w:pPr>
            <w:r>
              <w:rPr>
                <w:rFonts w:ascii="Calibri" w:hAnsi="Calibri" w:eastAsia="等线"/>
                <w:b w:val="0"/>
                <w:color w:val="1F1F1F"/>
                <w:sz w:val="16"/>
              </w:rPr>
              <w:t>模拟L2/DDR服务能力和反压</w:t>
            </w:r>
          </w:p>
        </w:tc>
        <w:tc>
          <w:tcPr>
            <w:tcW w:type="dxa" w:w="3500"/>
          </w:tcPr>
          <w:p>
            <w:pPr>
              <w:spacing w:after="0" w:line="240" w:lineRule="auto"/>
            </w:pPr>
            <w:r>
              <w:rPr>
                <w:rFonts w:ascii="Calibri" w:hAnsi="Calibri" w:eastAsia="等线"/>
                <w:b w:val="0"/>
                <w:color w:val="1F1F1F"/>
                <w:sz w:val="16"/>
              </w:rPr>
              <w:t>Target服务模型具备延迟、吞吐、并发、队列和可选Bank冲突。</w:t>
            </w:r>
          </w:p>
        </w:tc>
        <w:tc>
          <w:tcPr>
            <w:tcW w:type="dxa" w:w="2210"/>
          </w:tcPr>
          <w:p>
            <w:pPr>
              <w:spacing w:after="0" w:line="240" w:lineRule="auto"/>
            </w:pPr>
            <w:r>
              <w:rPr>
                <w:rFonts w:ascii="Calibri" w:hAnsi="Calibri" w:eastAsia="等线"/>
                <w:b w:val="0"/>
                <w:color w:val="1F1F1F"/>
                <w:sz w:val="16"/>
              </w:rPr>
              <w:t>Target限速与反压传播检查</w:t>
            </w:r>
          </w:p>
        </w:tc>
      </w:tr>
      <w:tr>
        <w:tc>
          <w:tcPr>
            <w:tcW w:type="dxa" w:w="900"/>
          </w:tcPr>
          <w:p>
            <w:pPr>
              <w:spacing w:after="0" w:line="240" w:lineRule="auto"/>
            </w:pPr>
            <w:r>
              <w:rPr>
                <w:rFonts w:ascii="Calibri" w:hAnsi="Calibri" w:eastAsia="等线"/>
                <w:b/>
                <w:color w:val="1F1F1F"/>
                <w:sz w:val="16"/>
              </w:rPr>
              <w:t>REQ-05</w:t>
            </w:r>
          </w:p>
        </w:tc>
        <w:tc>
          <w:tcPr>
            <w:tcW w:type="dxa" w:w="2750"/>
          </w:tcPr>
          <w:p>
            <w:pPr>
              <w:spacing w:after="0" w:line="240" w:lineRule="auto"/>
            </w:pPr>
            <w:r>
              <w:rPr>
                <w:rFonts w:ascii="Calibri" w:hAnsi="Calibri" w:eastAsia="等线"/>
                <w:b w:val="0"/>
                <w:color w:val="1F1F1F"/>
                <w:sz w:val="16"/>
              </w:rPr>
              <w:t>优先评估Ring并与替代方案权衡</w:t>
            </w:r>
          </w:p>
        </w:tc>
        <w:tc>
          <w:tcPr>
            <w:tcW w:type="dxa" w:w="3500"/>
          </w:tcPr>
          <w:p>
            <w:pPr>
              <w:spacing w:after="0" w:line="240" w:lineRule="auto"/>
            </w:pPr>
            <w:r>
              <w:rPr>
                <w:rFonts w:ascii="Calibri" w:hAnsi="Calibri" w:eastAsia="等线"/>
                <w:b w:val="0"/>
                <w:color w:val="1F1F1F"/>
                <w:sz w:val="16"/>
              </w:rPr>
              <w:t>双向Ring基线、拓扑无关端点；保留Shared Bus/Crossbar/Mesh比较。</w:t>
            </w:r>
          </w:p>
        </w:tc>
        <w:tc>
          <w:tcPr>
            <w:tcW w:type="dxa" w:w="2210"/>
          </w:tcPr>
          <w:p>
            <w:pPr>
              <w:spacing w:after="0" w:line="240" w:lineRule="auto"/>
            </w:pPr>
            <w:r>
              <w:rPr>
                <w:rFonts w:ascii="Calibri" w:hAnsi="Calibri" w:eastAsia="等线"/>
                <w:b w:val="0"/>
                <w:color w:val="1F1F1F"/>
                <w:sz w:val="16"/>
              </w:rPr>
              <w:t>相同流量和端点配置对比</w:t>
            </w:r>
          </w:p>
        </w:tc>
      </w:tr>
      <w:tr>
        <w:tc>
          <w:tcPr>
            <w:tcW w:type="dxa" w:w="900"/>
          </w:tcPr>
          <w:p>
            <w:pPr>
              <w:spacing w:after="0" w:line="240" w:lineRule="auto"/>
            </w:pPr>
            <w:r>
              <w:rPr>
                <w:rFonts w:ascii="Calibri" w:hAnsi="Calibri" w:eastAsia="等线"/>
                <w:b/>
                <w:color w:val="1F1F1F"/>
                <w:sz w:val="16"/>
              </w:rPr>
              <w:t>REQ-06</w:t>
            </w:r>
          </w:p>
        </w:tc>
        <w:tc>
          <w:tcPr>
            <w:tcW w:type="dxa" w:w="2750"/>
          </w:tcPr>
          <w:p>
            <w:pPr>
              <w:spacing w:after="0" w:line="240" w:lineRule="auto"/>
            </w:pPr>
            <w:r>
              <w:rPr>
                <w:rFonts w:ascii="Calibri" w:hAnsi="Calibri" w:eastAsia="等线"/>
                <w:b w:val="0"/>
                <w:color w:val="1F1F1F"/>
                <w:sz w:val="16"/>
              </w:rPr>
              <w:t>性能精度目标约80%</w:t>
            </w:r>
          </w:p>
        </w:tc>
        <w:tc>
          <w:tcPr>
            <w:tcW w:type="dxa" w:w="3500"/>
          </w:tcPr>
          <w:p>
            <w:pPr>
              <w:spacing w:after="0" w:line="240" w:lineRule="auto"/>
            </w:pPr>
            <w:r>
              <w:rPr>
                <w:rFonts w:ascii="Calibri" w:hAnsi="Calibri" w:eastAsia="等线"/>
                <w:b w:val="0"/>
                <w:color w:val="1F1F1F"/>
                <w:sz w:val="16"/>
              </w:rPr>
              <w:t>多KPI评分、硬门限、校准/留出集隔离。</w:t>
            </w:r>
          </w:p>
        </w:tc>
        <w:tc>
          <w:tcPr>
            <w:tcW w:type="dxa" w:w="2210"/>
          </w:tcPr>
          <w:p>
            <w:pPr>
              <w:spacing w:after="0" w:line="240" w:lineRule="auto"/>
            </w:pPr>
            <w:r>
              <w:rPr>
                <w:rFonts w:ascii="Calibri" w:hAnsi="Calibri" w:eastAsia="等线"/>
                <w:b w:val="0"/>
                <w:color w:val="1F1F1F"/>
                <w:sz w:val="16"/>
              </w:rPr>
              <w:t>对标与验收报告</w:t>
            </w:r>
          </w:p>
        </w:tc>
      </w:tr>
      <w:tr>
        <w:tc>
          <w:tcPr>
            <w:tcW w:type="dxa" w:w="900"/>
          </w:tcPr>
          <w:p>
            <w:pPr>
              <w:spacing w:after="0" w:line="240" w:lineRule="auto"/>
            </w:pPr>
            <w:r>
              <w:rPr>
                <w:rFonts w:ascii="Calibri" w:hAnsi="Calibri" w:eastAsia="等线"/>
                <w:b/>
                <w:color w:val="1F1F1F"/>
                <w:sz w:val="16"/>
              </w:rPr>
              <w:t>REQ-07</w:t>
            </w:r>
          </w:p>
        </w:tc>
        <w:tc>
          <w:tcPr>
            <w:tcW w:type="dxa" w:w="2750"/>
          </w:tcPr>
          <w:p>
            <w:pPr>
              <w:spacing w:after="0" w:line="240" w:lineRule="auto"/>
            </w:pPr>
            <w:r>
              <w:rPr>
                <w:rFonts w:ascii="Calibri" w:hAnsi="Calibri" w:eastAsia="等线"/>
                <w:b w:val="0"/>
                <w:color w:val="1F1F1F"/>
                <w:sz w:val="16"/>
              </w:rPr>
              <w:t>FIFO/接口持续vld自动重试</w:t>
            </w:r>
          </w:p>
        </w:tc>
        <w:tc>
          <w:tcPr>
            <w:tcW w:type="dxa" w:w="3500"/>
          </w:tcPr>
          <w:p>
            <w:pPr>
              <w:spacing w:after="0" w:line="240" w:lineRule="auto"/>
            </w:pPr>
            <w:r>
              <w:rPr>
                <w:rFonts w:ascii="Calibri" w:hAnsi="Calibri" w:eastAsia="等线"/>
                <w:b w:val="0"/>
                <w:color w:val="1F1F1F"/>
                <w:sz w:val="16"/>
              </w:rPr>
              <w:t>下游不可接收时不出队，状态变化事件重新调度；不引入独立retry协议。</w:t>
            </w:r>
          </w:p>
        </w:tc>
        <w:tc>
          <w:tcPr>
            <w:tcW w:type="dxa" w:w="2210"/>
          </w:tcPr>
          <w:p>
            <w:pPr>
              <w:spacing w:after="0" w:line="240" w:lineRule="auto"/>
            </w:pPr>
            <w:r>
              <w:rPr>
                <w:rFonts w:ascii="Calibri" w:hAnsi="Calibri" w:eastAsia="等线"/>
                <w:b w:val="0"/>
                <w:color w:val="1F1F1F"/>
                <w:sz w:val="16"/>
              </w:rPr>
              <w:t>持续阻塞后恢复、无丢包/无死停</w:t>
            </w:r>
          </w:p>
        </w:tc>
      </w:tr>
    </w:tbl>
    <w:p>
      <w:pPr>
        <w:spacing w:after="0"/>
      </w:pPr>
    </w:p>
    <w:p>
      <w:pPr>
        <w:pStyle w:val="Heading2"/>
      </w:pPr>
      <w:r>
        <w:t>4.2 已确定决策</w:t>
      </w:r>
    </w:p>
    <w:p>
      <w:pPr>
        <w:keepLines w:val="0"/>
        <w:widowControl/>
        <w:spacing w:after="120"/>
      </w:pPr>
      <w:r>
        <w:rPr>
          <w:rFonts w:ascii="Calibri" w:hAnsi="Calibri" w:eastAsia="等线"/>
          <w:color w:val="1F1F1F"/>
        </w:rPr>
        <w:t>已确定决策是：本阶段交付模型方案和总体架构，不以现有代码结构作为规格；模型必须能够独立产生或接收多Master流量；关键延迟和容量参数可配置；L2、DDR等Target通过服务模型表达；80%仅作为待对标目标；FIFO或接口保持vld时由事件机制自动重试，下游满时数据原地保留，不增加独立retry协议。</w:t>
      </w:r>
    </w:p>
    <w:p>
      <w:pPr>
        <w:keepLines w:val="0"/>
        <w:widowControl/>
        <w:spacing w:after="120"/>
      </w:pPr>
      <w:r>
        <w:rPr>
          <w:rFonts w:ascii="Calibri" w:hAnsi="Calibri" w:eastAsia="等线"/>
          <w:color w:val="1F1F1F"/>
        </w:rPr>
        <w:t>本稿进一步形成的方案决策是：首版以双向Ring作为评审基线，端点接口保持拓扑无关；事务通过TxnKey闭环关联；资源限制按Master OSD、Target Credit、FIFO容量和链路带宽分层拥有；配置和统计属于架构的一部分而非调试附属物。上述方案决策需通过本次专家评审后转化为项目基线。</w:t>
      </w:r>
    </w:p>
    <w:p>
      <w:pPr>
        <w:pStyle w:val="Heading2"/>
      </w:pPr>
      <w:r>
        <w:t>4.3 合理假设及影响</w:t>
      </w:r>
    </w:p>
    <w:tbl>
      <w:tblPr>
        <w:tblStyle w:val="TableGrid"/>
        <w:tblW w:type="dxa" w:w="9360"/>
        <w:jc w:val="left"/>
        <w:tblLayout w:type="fixed"/>
        <w:tblLook w:firstColumn="1" w:firstRow="1" w:lastColumn="0" w:lastRow="0" w:noHBand="0" w:noVBand="1" w:val="04A0"/>
        <w:tblInd w:w="120" w:type="dxa"/>
      </w:tblPr>
      <w:tblGrid>
        <w:gridCol w:w="2200"/>
        <w:gridCol w:w="3200"/>
        <w:gridCol w:w="3960"/>
      </w:tblGrid>
      <w:tr>
        <w:trPr>
          <w:cantSplit/>
          <w:tblHeader w:val="true"/>
        </w:trPr>
        <w:tc>
          <w:tcPr>
            <w:tcW w:type="dxa" w:w="22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假设</w:t>
            </w:r>
          </w:p>
        </w:tc>
        <w:tc>
          <w:tcPr>
            <w:tcW w:type="dxa" w:w="32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采用原因</w:t>
            </w:r>
          </w:p>
        </w:tc>
        <w:tc>
          <w:tcPr>
            <w:tcW w:type="dxa" w:w="396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若不成立的影响与处理</w:t>
            </w:r>
          </w:p>
        </w:tc>
      </w:tr>
      <w:tr>
        <w:tc>
          <w:tcPr>
            <w:tcW w:type="dxa" w:w="2200"/>
          </w:tcPr>
          <w:p>
            <w:pPr>
              <w:spacing w:after="0" w:line="240" w:lineRule="auto"/>
            </w:pPr>
            <w:r>
              <w:rPr>
                <w:rFonts w:ascii="Calibri" w:hAnsi="Calibri" w:eastAsia="等线"/>
                <w:b/>
                <w:color w:val="1F1F1F"/>
                <w:sz w:val="16"/>
              </w:rPr>
              <w:t>单一cycle时间基准</w:t>
            </w:r>
          </w:p>
        </w:tc>
        <w:tc>
          <w:tcPr>
            <w:tcW w:type="dxa" w:w="3200"/>
          </w:tcPr>
          <w:p>
            <w:pPr>
              <w:spacing w:after="0" w:line="240" w:lineRule="auto"/>
            </w:pPr>
            <w:r>
              <w:rPr>
                <w:rFonts w:ascii="Calibri" w:hAnsi="Calibri" w:eastAsia="等线"/>
                <w:b w:val="0"/>
                <w:color w:val="1F1F1F"/>
                <w:sz w:val="16"/>
              </w:rPr>
              <w:t>便于统一延迟、吞吐和事件顺序。</w:t>
            </w:r>
          </w:p>
        </w:tc>
        <w:tc>
          <w:tcPr>
            <w:tcW w:type="dxa" w:w="3960"/>
          </w:tcPr>
          <w:p>
            <w:pPr>
              <w:spacing w:after="0" w:line="240" w:lineRule="auto"/>
            </w:pPr>
            <w:r>
              <w:rPr>
                <w:rFonts w:ascii="Calibri" w:hAnsi="Calibri" w:eastAsia="等线"/>
                <w:b w:val="0"/>
                <w:color w:val="1F1F1F"/>
                <w:sz w:val="16"/>
              </w:rPr>
              <w:t>若存在多个独立频域，应增加CDC队列、频率比和相位模型。</w:t>
            </w:r>
          </w:p>
        </w:tc>
      </w:tr>
      <w:tr>
        <w:tc>
          <w:tcPr>
            <w:tcW w:type="dxa" w:w="2200"/>
          </w:tcPr>
          <w:p>
            <w:pPr>
              <w:spacing w:after="0" w:line="240" w:lineRule="auto"/>
            </w:pPr>
            <w:r>
              <w:rPr>
                <w:rFonts w:ascii="Calibri" w:hAnsi="Calibri" w:eastAsia="等线"/>
                <w:b/>
                <w:color w:val="1F1F1F"/>
                <w:sz w:val="16"/>
              </w:rPr>
              <w:t>以单播读写为首版主流量</w:t>
            </w:r>
          </w:p>
        </w:tc>
        <w:tc>
          <w:tcPr>
            <w:tcW w:type="dxa" w:w="3200"/>
          </w:tcPr>
          <w:p>
            <w:pPr>
              <w:spacing w:after="0" w:line="240" w:lineRule="auto"/>
            </w:pPr>
            <w:r>
              <w:rPr>
                <w:rFonts w:ascii="Calibri" w:hAnsi="Calibri" w:eastAsia="等线"/>
                <w:b w:val="0"/>
                <w:color w:val="1F1F1F"/>
                <w:sz w:val="16"/>
              </w:rPr>
              <w:t>项目输入未给出一致性、原子和多播协议。</w:t>
            </w:r>
          </w:p>
        </w:tc>
        <w:tc>
          <w:tcPr>
            <w:tcW w:type="dxa" w:w="3960"/>
          </w:tcPr>
          <w:p>
            <w:pPr>
              <w:spacing w:after="0" w:line="240" w:lineRule="auto"/>
            </w:pPr>
            <w:r>
              <w:rPr>
                <w:rFonts w:ascii="Calibri" w:hAnsi="Calibri" w:eastAsia="等线"/>
                <w:b w:val="0"/>
                <w:color w:val="1F1F1F"/>
                <w:sz w:val="16"/>
              </w:rPr>
              <w:t>若需要这些事务，必须扩展Traffic Class、顺序依赖和完成条件。</w:t>
            </w:r>
          </w:p>
        </w:tc>
      </w:tr>
      <w:tr>
        <w:tc>
          <w:tcPr>
            <w:tcW w:type="dxa" w:w="2200"/>
          </w:tcPr>
          <w:p>
            <w:pPr>
              <w:spacing w:after="0" w:line="240" w:lineRule="auto"/>
            </w:pPr>
            <w:r>
              <w:rPr>
                <w:rFonts w:ascii="Calibri" w:hAnsi="Calibri" w:eastAsia="等线"/>
                <w:b/>
                <w:color w:val="1F1F1F"/>
                <w:sz w:val="16"/>
              </w:rPr>
              <w:t>确定性最短路径</w:t>
            </w:r>
          </w:p>
        </w:tc>
        <w:tc>
          <w:tcPr>
            <w:tcW w:type="dxa" w:w="3200"/>
          </w:tcPr>
          <w:p>
            <w:pPr>
              <w:spacing w:after="0" w:line="240" w:lineRule="auto"/>
            </w:pPr>
            <w:r>
              <w:rPr>
                <w:rFonts w:ascii="Calibri" w:hAnsi="Calibri" w:eastAsia="等线"/>
                <w:b w:val="0"/>
                <w:color w:val="1F1F1F"/>
                <w:sz w:val="16"/>
              </w:rPr>
              <w:t>可复现、易校准，避免自适应路由引入额外状态。</w:t>
            </w:r>
          </w:p>
        </w:tc>
        <w:tc>
          <w:tcPr>
            <w:tcW w:type="dxa" w:w="3960"/>
          </w:tcPr>
          <w:p>
            <w:pPr>
              <w:spacing w:after="0" w:line="240" w:lineRule="auto"/>
            </w:pPr>
            <w:r>
              <w:rPr>
                <w:rFonts w:ascii="Calibri" w:hAnsi="Calibri" w:eastAsia="等线"/>
                <w:b w:val="0"/>
                <w:color w:val="1F1F1F"/>
                <w:sz w:val="16"/>
              </w:rPr>
              <w:t>若硬件采用自适应路由，需要增加拥塞选择和稳定性验证。</w:t>
            </w:r>
          </w:p>
        </w:tc>
      </w:tr>
      <w:tr>
        <w:tc>
          <w:tcPr>
            <w:tcW w:type="dxa" w:w="2200"/>
          </w:tcPr>
          <w:p>
            <w:pPr>
              <w:spacing w:after="0" w:line="240" w:lineRule="auto"/>
            </w:pPr>
            <w:r>
              <w:rPr>
                <w:rFonts w:ascii="Calibri" w:hAnsi="Calibri" w:eastAsia="等线"/>
                <w:b/>
                <w:color w:val="1F1F1F"/>
                <w:sz w:val="16"/>
              </w:rPr>
              <w:t>协议段为最小可仲裁单位</w:t>
            </w:r>
          </w:p>
        </w:tc>
        <w:tc>
          <w:tcPr>
            <w:tcW w:type="dxa" w:w="3200"/>
          </w:tcPr>
          <w:p>
            <w:pPr>
              <w:spacing w:after="0" w:line="240" w:lineRule="auto"/>
            </w:pPr>
            <w:r>
              <w:rPr>
                <w:rFonts w:ascii="Calibri" w:hAnsi="Calibri" w:eastAsia="等线"/>
                <w:b w:val="0"/>
                <w:color w:val="1F1F1F"/>
                <w:sz w:val="16"/>
              </w:rPr>
              <w:t>保留头/数据体量差异，同时避免flit级复杂度。</w:t>
            </w:r>
          </w:p>
        </w:tc>
        <w:tc>
          <w:tcPr>
            <w:tcW w:type="dxa" w:w="3960"/>
          </w:tcPr>
          <w:p>
            <w:pPr>
              <w:spacing w:after="0" w:line="240" w:lineRule="auto"/>
            </w:pPr>
            <w:r>
              <w:rPr>
                <w:rFonts w:ascii="Calibri" w:hAnsi="Calibri" w:eastAsia="等线"/>
                <w:b w:val="0"/>
                <w:color w:val="1F1F1F"/>
                <w:sz w:val="16"/>
              </w:rPr>
              <w:t>若flit交错对结果显著，应引入分段或VC级扩展。</w:t>
            </w:r>
          </w:p>
        </w:tc>
      </w:tr>
      <w:tr>
        <w:tc>
          <w:tcPr>
            <w:tcW w:type="dxa" w:w="2200"/>
          </w:tcPr>
          <w:p>
            <w:pPr>
              <w:spacing w:after="0" w:line="240" w:lineRule="auto"/>
            </w:pPr>
            <w:r>
              <w:rPr>
                <w:rFonts w:ascii="Calibri" w:hAnsi="Calibri" w:eastAsia="等线"/>
                <w:b/>
                <w:color w:val="1F1F1F"/>
                <w:sz w:val="16"/>
              </w:rPr>
              <w:t>三类逻辑流量独立排队</w:t>
            </w:r>
          </w:p>
        </w:tc>
        <w:tc>
          <w:tcPr>
            <w:tcW w:type="dxa" w:w="3200"/>
          </w:tcPr>
          <w:p>
            <w:pPr>
              <w:spacing w:after="0" w:line="240" w:lineRule="auto"/>
            </w:pPr>
            <w:r>
              <w:rPr>
                <w:rFonts w:ascii="Calibri" w:hAnsi="Calibri" w:eastAsia="等线"/>
                <w:b w:val="0"/>
                <w:color w:val="1F1F1F"/>
                <w:sz w:val="16"/>
              </w:rPr>
              <w:t>降低HOL和协议依赖死锁风险。</w:t>
            </w:r>
          </w:p>
        </w:tc>
        <w:tc>
          <w:tcPr>
            <w:tcW w:type="dxa" w:w="3960"/>
          </w:tcPr>
          <w:p>
            <w:pPr>
              <w:spacing w:after="0" w:line="240" w:lineRule="auto"/>
            </w:pPr>
            <w:r>
              <w:rPr>
                <w:rFonts w:ascii="Calibri" w:hAnsi="Calibri" w:eastAsia="等线"/>
                <w:b w:val="0"/>
                <w:color w:val="1F1F1F"/>
                <w:sz w:val="16"/>
              </w:rPr>
              <w:t>其物理带宽是否共享仍需配置，否则可能高估吞吐。</w:t>
            </w:r>
          </w:p>
        </w:tc>
      </w:tr>
      <w:tr>
        <w:tc>
          <w:tcPr>
            <w:tcW w:type="dxa" w:w="2200"/>
          </w:tcPr>
          <w:p>
            <w:pPr>
              <w:spacing w:after="0" w:line="240" w:lineRule="auto"/>
            </w:pPr>
            <w:r>
              <w:rPr>
                <w:rFonts w:ascii="Calibri" w:hAnsi="Calibri" w:eastAsia="等线"/>
                <w:b/>
                <w:color w:val="1F1F1F"/>
                <w:sz w:val="16"/>
              </w:rPr>
              <w:t>目标服务可由延迟、带宽、并发和可选Bank冲突逼近</w:t>
            </w:r>
          </w:p>
        </w:tc>
        <w:tc>
          <w:tcPr>
            <w:tcW w:type="dxa" w:w="3200"/>
          </w:tcPr>
          <w:p>
            <w:pPr>
              <w:spacing w:after="0" w:line="240" w:lineRule="auto"/>
            </w:pPr>
            <w:r>
              <w:rPr>
                <w:rFonts w:ascii="Calibri" w:hAnsi="Calibri" w:eastAsia="等线"/>
                <w:b w:val="0"/>
                <w:color w:val="1F1F1F"/>
                <w:sz w:val="16"/>
              </w:rPr>
              <w:t>满足约80%目标所需的一阶行为。</w:t>
            </w:r>
          </w:p>
        </w:tc>
        <w:tc>
          <w:tcPr>
            <w:tcW w:type="dxa" w:w="3960"/>
          </w:tcPr>
          <w:p>
            <w:pPr>
              <w:spacing w:after="0" w:line="240" w:lineRule="auto"/>
            </w:pPr>
            <w:r>
              <w:rPr>
                <w:rFonts w:ascii="Calibri" w:hAnsi="Calibri" w:eastAsia="等线"/>
                <w:b w:val="0"/>
                <w:color w:val="1F1F1F"/>
                <w:sz w:val="16"/>
              </w:rPr>
              <w:t>若DDR调度或cache miss行为主导误差，应替换为更高保真Target模型。</w:t>
            </w:r>
          </w:p>
        </w:tc>
      </w:tr>
      <w:tr>
        <w:tc>
          <w:tcPr>
            <w:tcW w:type="dxa" w:w="2200"/>
          </w:tcPr>
          <w:p>
            <w:pPr>
              <w:spacing w:after="0" w:line="240" w:lineRule="auto"/>
            </w:pPr>
            <w:r>
              <w:rPr>
                <w:rFonts w:ascii="Calibri" w:hAnsi="Calibri" w:eastAsia="等线"/>
                <w:b/>
                <w:color w:val="1F1F1F"/>
                <w:sz w:val="16"/>
              </w:rPr>
              <w:t>错误以终结响应闭环</w:t>
            </w:r>
          </w:p>
        </w:tc>
        <w:tc>
          <w:tcPr>
            <w:tcW w:type="dxa" w:w="3200"/>
          </w:tcPr>
          <w:p>
            <w:pPr>
              <w:spacing w:after="0" w:line="240" w:lineRule="auto"/>
            </w:pPr>
            <w:r>
              <w:rPr>
                <w:rFonts w:ascii="Calibri" w:hAnsi="Calibri" w:eastAsia="等线"/>
                <w:b w:val="0"/>
                <w:color w:val="1F1F1F"/>
                <w:sz w:val="16"/>
              </w:rPr>
              <w:t>避免OSD/Credit泄漏。</w:t>
            </w:r>
          </w:p>
        </w:tc>
        <w:tc>
          <w:tcPr>
            <w:tcW w:type="dxa" w:w="3960"/>
          </w:tcPr>
          <w:p>
            <w:pPr>
              <w:spacing w:after="0" w:line="240" w:lineRule="auto"/>
            </w:pPr>
            <w:r>
              <w:rPr>
                <w:rFonts w:ascii="Calibri" w:hAnsi="Calibri" w:eastAsia="等线"/>
                <w:b w:val="0"/>
                <w:color w:val="1F1F1F"/>
                <w:sz w:val="16"/>
              </w:rPr>
              <w:t>若硬件存在取消、重放或超时恢复，需增加明确状态机。</w:t>
            </w:r>
          </w:p>
        </w:tc>
      </w:tr>
    </w:tbl>
    <w:p>
      <w:pPr>
        <w:spacing w:after="0"/>
      </w:pPr>
    </w:p>
    <w:p>
      <w:pPr>
        <w:pStyle w:val="Heading2"/>
      </w:pPr>
      <w:r>
        <w:t>4.4 待专家确认事项</w:t>
      </w:r>
    </w:p>
    <w:tbl>
      <w:tblPr>
        <w:tblStyle w:val="TableGrid"/>
        <w:tblW w:type="dxa" w:w="9360"/>
        <w:jc w:val="left"/>
        <w:tblLayout w:type="fixed"/>
        <w:tblLook w:firstColumn="1" w:firstRow="1" w:lastColumn="0" w:lastRow="0" w:noHBand="0" w:noVBand="1" w:val="04A0"/>
        <w:tblInd w:w="120" w:type="dxa"/>
      </w:tblPr>
      <w:tblGrid>
        <w:gridCol w:w="800"/>
        <w:gridCol w:w="3100"/>
        <w:gridCol w:w="3500"/>
        <w:gridCol w:w="1960"/>
      </w:tblGrid>
      <w:tr>
        <w:trPr>
          <w:cantSplit/>
          <w:tblHeader w:val="true"/>
        </w:trPr>
        <w:tc>
          <w:tcPr>
            <w:tcW w:type="dxa" w:w="8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优先级</w:t>
            </w:r>
          </w:p>
        </w:tc>
        <w:tc>
          <w:tcPr>
            <w:tcW w:type="dxa" w:w="31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待确认问题</w:t>
            </w:r>
          </w:p>
        </w:tc>
        <w:tc>
          <w:tcPr>
            <w:tcW w:type="dxa" w:w="35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保守默认</w:t>
            </w:r>
          </w:p>
        </w:tc>
        <w:tc>
          <w:tcPr>
            <w:tcW w:type="dxa" w:w="196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不确认的影响</w:t>
            </w:r>
          </w:p>
        </w:tc>
      </w:tr>
      <w:tr>
        <w:tc>
          <w:tcPr>
            <w:tcW w:type="dxa" w:w="800"/>
          </w:tcPr>
          <w:p>
            <w:pPr>
              <w:spacing w:after="0" w:line="240" w:lineRule="auto"/>
            </w:pPr>
            <w:r>
              <w:rPr>
                <w:rFonts w:ascii="Calibri" w:hAnsi="Calibri" w:eastAsia="等线"/>
                <w:b/>
                <w:color w:val="1F1F1F"/>
                <w:sz w:val="16"/>
              </w:rPr>
              <w:t>P0</w:t>
            </w:r>
          </w:p>
        </w:tc>
        <w:tc>
          <w:tcPr>
            <w:tcW w:type="dxa" w:w="3100"/>
          </w:tcPr>
          <w:p>
            <w:pPr>
              <w:spacing w:after="0" w:line="240" w:lineRule="auto"/>
            </w:pPr>
            <w:r>
              <w:rPr>
                <w:rFonts w:ascii="Calibri" w:hAnsi="Calibri" w:eastAsia="等线"/>
                <w:b w:val="0"/>
                <w:color w:val="1F1F1F"/>
                <w:sz w:val="16"/>
              </w:rPr>
              <w:t>请求、写数据、响应是否共享同一物理等效链路带宽</w:t>
            </w:r>
          </w:p>
        </w:tc>
        <w:tc>
          <w:tcPr>
            <w:tcW w:type="dxa" w:w="3500"/>
          </w:tcPr>
          <w:p>
            <w:pPr>
              <w:spacing w:after="0" w:line="240" w:lineRule="auto"/>
            </w:pPr>
            <w:r>
              <w:rPr>
                <w:rFonts w:ascii="Calibri" w:hAnsi="Calibri" w:eastAsia="等线"/>
                <w:b w:val="0"/>
                <w:color w:val="1F1F1F"/>
                <w:sz w:val="16"/>
              </w:rPr>
              <w:t>三类逻辑队列，共享每方向链路调度器和带宽预算</w:t>
            </w:r>
          </w:p>
        </w:tc>
        <w:tc>
          <w:tcPr>
            <w:tcW w:type="dxa" w:w="1960"/>
          </w:tcPr>
          <w:p>
            <w:pPr>
              <w:spacing w:after="0" w:line="240" w:lineRule="auto"/>
            </w:pPr>
            <w:r>
              <w:rPr>
                <w:rFonts w:ascii="Calibri" w:hAnsi="Calibri" w:eastAsia="等线"/>
                <w:b w:val="0"/>
                <w:color w:val="1F1F1F"/>
                <w:sz w:val="16"/>
              </w:rPr>
              <w:t>决定饱和吞吐、读写互扰及死锁规避方式</w:t>
            </w:r>
          </w:p>
        </w:tc>
      </w:tr>
      <w:tr>
        <w:tc>
          <w:tcPr>
            <w:tcW w:type="dxa" w:w="800"/>
          </w:tcPr>
          <w:p>
            <w:pPr>
              <w:spacing w:after="0" w:line="240" w:lineRule="auto"/>
            </w:pPr>
            <w:r>
              <w:rPr>
                <w:rFonts w:ascii="Calibri" w:hAnsi="Calibri" w:eastAsia="等线"/>
                <w:b/>
                <w:color w:val="1F1F1F"/>
                <w:sz w:val="16"/>
              </w:rPr>
              <w:t>P0</w:t>
            </w:r>
          </w:p>
        </w:tc>
        <w:tc>
          <w:tcPr>
            <w:tcW w:type="dxa" w:w="3100"/>
          </w:tcPr>
          <w:p>
            <w:pPr>
              <w:spacing w:after="0" w:line="240" w:lineRule="auto"/>
            </w:pPr>
            <w:r>
              <w:rPr>
                <w:rFonts w:ascii="Calibri" w:hAnsi="Calibri" w:eastAsia="等线"/>
                <w:b w:val="0"/>
                <w:color w:val="1F1F1F"/>
                <w:sz w:val="16"/>
              </w:rPr>
              <w:t>写请求与写数据的先后/许可协议</w:t>
            </w:r>
          </w:p>
        </w:tc>
        <w:tc>
          <w:tcPr>
            <w:tcW w:type="dxa" w:w="3500"/>
          </w:tcPr>
          <w:p>
            <w:pPr>
              <w:spacing w:after="0" w:line="240" w:lineRule="auto"/>
            </w:pPr>
            <w:r>
              <w:rPr>
                <w:rFonts w:ascii="Calibri" w:hAnsi="Calibri" w:eastAsia="等线"/>
                <w:b w:val="0"/>
                <w:color w:val="1F1F1F"/>
                <w:sz w:val="16"/>
              </w:rPr>
              <w:t>WRITE_REQ→WRITE_GRANT→WRITE_DATA→WRITE_COMPLETE</w:t>
            </w:r>
          </w:p>
        </w:tc>
        <w:tc>
          <w:tcPr>
            <w:tcW w:type="dxa" w:w="1960"/>
          </w:tcPr>
          <w:p>
            <w:pPr>
              <w:spacing w:after="0" w:line="240" w:lineRule="auto"/>
            </w:pPr>
            <w:r>
              <w:rPr>
                <w:rFonts w:ascii="Calibri" w:hAnsi="Calibri" w:eastAsia="等线"/>
                <w:b w:val="0"/>
                <w:color w:val="1F1F1F"/>
                <w:sz w:val="16"/>
              </w:rPr>
              <w:t>影响写缓冲、DataTag、OSD和Credit生命周期</w:t>
            </w:r>
          </w:p>
        </w:tc>
      </w:tr>
      <w:tr>
        <w:tc>
          <w:tcPr>
            <w:tcW w:type="dxa" w:w="800"/>
          </w:tcPr>
          <w:p>
            <w:pPr>
              <w:spacing w:after="0" w:line="240" w:lineRule="auto"/>
            </w:pPr>
            <w:r>
              <w:rPr>
                <w:rFonts w:ascii="Calibri" w:hAnsi="Calibri" w:eastAsia="等线"/>
                <w:b/>
                <w:color w:val="1F1F1F"/>
                <w:sz w:val="16"/>
              </w:rPr>
              <w:t>P0</w:t>
            </w:r>
          </w:p>
        </w:tc>
        <w:tc>
          <w:tcPr>
            <w:tcW w:type="dxa" w:w="3100"/>
          </w:tcPr>
          <w:p>
            <w:pPr>
              <w:spacing w:after="0" w:line="240" w:lineRule="auto"/>
            </w:pPr>
            <w:r>
              <w:rPr>
                <w:rFonts w:ascii="Calibri" w:hAnsi="Calibri" w:eastAsia="等线"/>
                <w:b w:val="0"/>
                <w:color w:val="1F1F1F"/>
                <w:sz w:val="16"/>
              </w:rPr>
              <w:t>顺序域、同地址hazard、原子与屏障范围</w:t>
            </w:r>
          </w:p>
        </w:tc>
        <w:tc>
          <w:tcPr>
            <w:tcW w:type="dxa" w:w="3500"/>
          </w:tcPr>
          <w:p>
            <w:pPr>
              <w:spacing w:after="0" w:line="240" w:lineRule="auto"/>
            </w:pPr>
            <w:r>
              <w:rPr>
                <w:rFonts w:ascii="Calibri" w:hAnsi="Calibri" w:eastAsia="等线"/>
                <w:b w:val="0"/>
                <w:color w:val="1F1F1F"/>
                <w:sz w:val="16"/>
              </w:rPr>
              <w:t>仅保证单队列FIFO与TxnKey归属，不提供全局顺序</w:t>
            </w:r>
          </w:p>
        </w:tc>
        <w:tc>
          <w:tcPr>
            <w:tcW w:type="dxa" w:w="1960"/>
          </w:tcPr>
          <w:p>
            <w:pPr>
              <w:spacing w:after="0" w:line="240" w:lineRule="auto"/>
            </w:pPr>
            <w:r>
              <w:rPr>
                <w:rFonts w:ascii="Calibri" w:hAnsi="Calibri" w:eastAsia="等线"/>
                <w:b w:val="0"/>
                <w:color w:val="1F1F1F"/>
                <w:sz w:val="16"/>
              </w:rPr>
              <w:t>可能导致功能语义和性能依赖不一致</w:t>
            </w:r>
          </w:p>
        </w:tc>
      </w:tr>
      <w:tr>
        <w:tc>
          <w:tcPr>
            <w:tcW w:type="dxa" w:w="800"/>
          </w:tcPr>
          <w:p>
            <w:pPr>
              <w:spacing w:after="0" w:line="240" w:lineRule="auto"/>
            </w:pPr>
            <w:r>
              <w:rPr>
                <w:rFonts w:ascii="Calibri" w:hAnsi="Calibri" w:eastAsia="等线"/>
                <w:b/>
                <w:color w:val="1F1F1F"/>
                <w:sz w:val="16"/>
              </w:rPr>
              <w:t>P0</w:t>
            </w:r>
          </w:p>
        </w:tc>
        <w:tc>
          <w:tcPr>
            <w:tcW w:type="dxa" w:w="3100"/>
          </w:tcPr>
          <w:p>
            <w:pPr>
              <w:spacing w:after="0" w:line="240" w:lineRule="auto"/>
            </w:pPr>
            <w:r>
              <w:rPr>
                <w:rFonts w:ascii="Calibri" w:hAnsi="Calibri" w:eastAsia="等线"/>
                <w:b w:val="0"/>
                <w:color w:val="1F1F1F"/>
                <w:sz w:val="16"/>
              </w:rPr>
              <w:t>Target Credit释放于服务完成、响应生成还是响应被接受</w:t>
            </w:r>
          </w:p>
        </w:tc>
        <w:tc>
          <w:tcPr>
            <w:tcW w:type="dxa" w:w="3500"/>
          </w:tcPr>
          <w:p>
            <w:pPr>
              <w:spacing w:after="0" w:line="240" w:lineRule="auto"/>
            </w:pPr>
            <w:r>
              <w:rPr>
                <w:rFonts w:ascii="Calibri" w:hAnsi="Calibri" w:eastAsia="等线"/>
                <w:b w:val="0"/>
                <w:color w:val="1F1F1F"/>
                <w:sz w:val="16"/>
              </w:rPr>
              <w:t>在Target占用真正结束时释放；与Master OSD分离</w:t>
            </w:r>
          </w:p>
        </w:tc>
        <w:tc>
          <w:tcPr>
            <w:tcW w:type="dxa" w:w="1960"/>
          </w:tcPr>
          <w:p>
            <w:pPr>
              <w:spacing w:after="0" w:line="240" w:lineRule="auto"/>
            </w:pPr>
            <w:r>
              <w:rPr>
                <w:rFonts w:ascii="Calibri" w:hAnsi="Calibri" w:eastAsia="等线"/>
                <w:b w:val="0"/>
                <w:color w:val="1F1F1F"/>
                <w:sz w:val="16"/>
              </w:rPr>
              <w:t>错误释放会高估并发或造成资源泄漏</w:t>
            </w:r>
          </w:p>
        </w:tc>
      </w:tr>
      <w:tr>
        <w:tc>
          <w:tcPr>
            <w:tcW w:type="dxa" w:w="800"/>
          </w:tcPr>
          <w:p>
            <w:pPr>
              <w:spacing w:after="0" w:line="240" w:lineRule="auto"/>
            </w:pPr>
            <w:r>
              <w:rPr>
                <w:rFonts w:ascii="Calibri" w:hAnsi="Calibri" w:eastAsia="等线"/>
                <w:b/>
                <w:color w:val="1F1F1F"/>
                <w:sz w:val="16"/>
              </w:rPr>
              <w:t>P0</w:t>
            </w:r>
          </w:p>
        </w:tc>
        <w:tc>
          <w:tcPr>
            <w:tcW w:type="dxa" w:w="3100"/>
          </w:tcPr>
          <w:p>
            <w:pPr>
              <w:spacing w:after="0" w:line="240" w:lineRule="auto"/>
            </w:pPr>
            <w:r>
              <w:rPr>
                <w:rFonts w:ascii="Calibri" w:hAnsi="Calibri" w:eastAsia="等线"/>
                <w:b w:val="0"/>
                <w:color w:val="1F1F1F"/>
                <w:sz w:val="16"/>
              </w:rPr>
              <w:t>80%参考平台、KPI权重和验收场景</w:t>
            </w:r>
          </w:p>
        </w:tc>
        <w:tc>
          <w:tcPr>
            <w:tcW w:type="dxa" w:w="3500"/>
          </w:tcPr>
          <w:p>
            <w:pPr>
              <w:spacing w:after="0" w:line="240" w:lineRule="auto"/>
            </w:pPr>
            <w:r>
              <w:rPr>
                <w:rFonts w:ascii="Calibri" w:hAnsi="Calibri" w:eastAsia="等线"/>
                <w:b w:val="0"/>
                <w:color w:val="1F1F1F"/>
                <w:sz w:val="16"/>
              </w:rPr>
              <w:t>本文建议的加权评分与硬门限</w:t>
            </w:r>
          </w:p>
        </w:tc>
        <w:tc>
          <w:tcPr>
            <w:tcW w:type="dxa" w:w="1960"/>
          </w:tcPr>
          <w:p>
            <w:pPr>
              <w:spacing w:after="0" w:line="240" w:lineRule="auto"/>
            </w:pPr>
            <w:r>
              <w:rPr>
                <w:rFonts w:ascii="Calibri" w:hAnsi="Calibri" w:eastAsia="等线"/>
                <w:b w:val="0"/>
                <w:color w:val="1F1F1F"/>
                <w:sz w:val="16"/>
              </w:rPr>
              <w:t>无基准则精度目标不可验证</w:t>
            </w:r>
          </w:p>
        </w:tc>
      </w:tr>
      <w:tr>
        <w:tc>
          <w:tcPr>
            <w:tcW w:type="dxa" w:w="800"/>
          </w:tcPr>
          <w:p>
            <w:pPr>
              <w:spacing w:after="0" w:line="240" w:lineRule="auto"/>
            </w:pPr>
            <w:r>
              <w:rPr>
                <w:rFonts w:ascii="Calibri" w:hAnsi="Calibri" w:eastAsia="等线"/>
                <w:b/>
                <w:color w:val="1F1F1F"/>
                <w:sz w:val="16"/>
              </w:rPr>
              <w:t>P1</w:t>
            </w:r>
          </w:p>
        </w:tc>
        <w:tc>
          <w:tcPr>
            <w:tcW w:type="dxa" w:w="3100"/>
          </w:tcPr>
          <w:p>
            <w:pPr>
              <w:spacing w:after="0" w:line="240" w:lineRule="auto"/>
            </w:pPr>
            <w:r>
              <w:rPr>
                <w:rFonts w:ascii="Calibri" w:hAnsi="Calibri" w:eastAsia="等线"/>
                <w:b w:val="0"/>
                <w:color w:val="1F1F1F"/>
                <w:sz w:val="16"/>
              </w:rPr>
              <w:t>仲裁策略、QoS和最大饥饿时间</w:t>
            </w:r>
          </w:p>
        </w:tc>
        <w:tc>
          <w:tcPr>
            <w:tcW w:type="dxa" w:w="3500"/>
          </w:tcPr>
          <w:p>
            <w:pPr>
              <w:spacing w:after="0" w:line="240" w:lineRule="auto"/>
            </w:pPr>
            <w:r>
              <w:rPr>
                <w:rFonts w:ascii="Calibri" w:hAnsi="Calibri" w:eastAsia="等线"/>
                <w:b w:val="0"/>
                <w:color w:val="1F1F1F"/>
                <w:sz w:val="16"/>
              </w:rPr>
              <w:t>RR+年龄逃逸；无带宽保证</w:t>
            </w:r>
          </w:p>
        </w:tc>
        <w:tc>
          <w:tcPr>
            <w:tcW w:type="dxa" w:w="1960"/>
          </w:tcPr>
          <w:p>
            <w:pPr>
              <w:spacing w:after="0" w:line="240" w:lineRule="auto"/>
            </w:pPr>
            <w:r>
              <w:rPr>
                <w:rFonts w:ascii="Calibri" w:hAnsi="Calibri" w:eastAsia="等线"/>
                <w:b w:val="0"/>
                <w:color w:val="1F1F1F"/>
                <w:sz w:val="16"/>
              </w:rPr>
              <w:t>影响公平性和尾延迟</w:t>
            </w:r>
          </w:p>
        </w:tc>
      </w:tr>
      <w:tr>
        <w:tc>
          <w:tcPr>
            <w:tcW w:type="dxa" w:w="800"/>
          </w:tcPr>
          <w:p>
            <w:pPr>
              <w:spacing w:after="0" w:line="240" w:lineRule="auto"/>
            </w:pPr>
            <w:r>
              <w:rPr>
                <w:rFonts w:ascii="Calibri" w:hAnsi="Calibri" w:eastAsia="等线"/>
                <w:b/>
                <w:color w:val="1F1F1F"/>
                <w:sz w:val="16"/>
              </w:rPr>
              <w:t>P1</w:t>
            </w:r>
          </w:p>
        </w:tc>
        <w:tc>
          <w:tcPr>
            <w:tcW w:type="dxa" w:w="3100"/>
          </w:tcPr>
          <w:p>
            <w:pPr>
              <w:spacing w:after="0" w:line="240" w:lineRule="auto"/>
            </w:pPr>
            <w:r>
              <w:rPr>
                <w:rFonts w:ascii="Calibri" w:hAnsi="Calibri" w:eastAsia="等线"/>
                <w:b w:val="0"/>
                <w:color w:val="1F1F1F"/>
                <w:sz w:val="16"/>
              </w:rPr>
              <w:t>Ring端点布点、等距路由和方向偏置</w:t>
            </w:r>
          </w:p>
        </w:tc>
        <w:tc>
          <w:tcPr>
            <w:tcW w:type="dxa" w:w="3500"/>
          </w:tcPr>
          <w:p>
            <w:pPr>
              <w:spacing w:after="0" w:line="240" w:lineRule="auto"/>
            </w:pPr>
            <w:r>
              <w:rPr>
                <w:rFonts w:ascii="Calibri" w:hAnsi="Calibri" w:eastAsia="等线"/>
                <w:b w:val="0"/>
                <w:color w:val="1F1F1F"/>
                <w:sz w:val="16"/>
              </w:rPr>
              <w:t>最短路；等距采用基于TxnKey的确定性散列</w:t>
            </w:r>
          </w:p>
        </w:tc>
        <w:tc>
          <w:tcPr>
            <w:tcW w:type="dxa" w:w="1960"/>
          </w:tcPr>
          <w:p>
            <w:pPr>
              <w:spacing w:after="0" w:line="240" w:lineRule="auto"/>
            </w:pPr>
            <w:r>
              <w:rPr>
                <w:rFonts w:ascii="Calibri" w:hAnsi="Calibri" w:eastAsia="等线"/>
                <w:b w:val="0"/>
                <w:color w:val="1F1F1F"/>
                <w:sz w:val="16"/>
              </w:rPr>
              <w:t>影响热点链路和可复现性</w:t>
            </w:r>
          </w:p>
        </w:tc>
      </w:tr>
      <w:tr>
        <w:tc>
          <w:tcPr>
            <w:tcW w:type="dxa" w:w="800"/>
          </w:tcPr>
          <w:p>
            <w:pPr>
              <w:spacing w:after="0" w:line="240" w:lineRule="auto"/>
            </w:pPr>
            <w:r>
              <w:rPr>
                <w:rFonts w:ascii="Calibri" w:hAnsi="Calibri" w:eastAsia="等线"/>
                <w:b/>
                <w:color w:val="1F1F1F"/>
                <w:sz w:val="16"/>
              </w:rPr>
              <w:t>P1</w:t>
            </w:r>
          </w:p>
        </w:tc>
        <w:tc>
          <w:tcPr>
            <w:tcW w:type="dxa" w:w="3100"/>
          </w:tcPr>
          <w:p>
            <w:pPr>
              <w:spacing w:after="0" w:line="240" w:lineRule="auto"/>
            </w:pPr>
            <w:r>
              <w:rPr>
                <w:rFonts w:ascii="Calibri" w:hAnsi="Calibri" w:eastAsia="等线"/>
                <w:b w:val="0"/>
                <w:color w:val="1F1F1F"/>
                <w:sz w:val="16"/>
              </w:rPr>
              <w:t>协议头、数据beat和ECC开销</w:t>
            </w:r>
          </w:p>
        </w:tc>
        <w:tc>
          <w:tcPr>
            <w:tcW w:type="dxa" w:w="3500"/>
          </w:tcPr>
          <w:p>
            <w:pPr>
              <w:spacing w:after="0" w:line="240" w:lineRule="auto"/>
            </w:pPr>
            <w:r>
              <w:rPr>
                <w:rFonts w:ascii="Calibri" w:hAnsi="Calibri" w:eastAsia="等线"/>
                <w:b w:val="0"/>
                <w:color w:val="1F1F1F"/>
                <w:sz w:val="16"/>
              </w:rPr>
              <w:t>头部和数据分别按配置字节数计费</w:t>
            </w:r>
          </w:p>
        </w:tc>
        <w:tc>
          <w:tcPr>
            <w:tcW w:type="dxa" w:w="1960"/>
          </w:tcPr>
          <w:p>
            <w:pPr>
              <w:spacing w:after="0" w:line="240" w:lineRule="auto"/>
            </w:pPr>
            <w:r>
              <w:rPr>
                <w:rFonts w:ascii="Calibri" w:hAnsi="Calibri" w:eastAsia="等线"/>
                <w:b w:val="0"/>
                <w:color w:val="1F1F1F"/>
                <w:sz w:val="16"/>
              </w:rPr>
              <w:t>直接影响序列化与有效带宽</w:t>
            </w:r>
          </w:p>
        </w:tc>
      </w:tr>
    </w:tbl>
    <w:p>
      <w:pPr>
        <w:spacing w:after="0"/>
      </w:pPr>
    </w:p>
    <w:p>
      <w:pPr>
        <w:pStyle w:val="Heading1"/>
      </w:pPr>
      <w:r>
        <w:t>5 模型边界与总体架构</w:t>
      </w:r>
    </w:p>
    <w:p>
      <w:pPr>
        <w:pStyle w:val="Heading2"/>
      </w:pPr>
      <w:r>
        <w:t>5.1 模型边界</w:t>
      </w:r>
    </w:p>
    <w:p>
      <w:pPr>
        <w:keepLines w:val="0"/>
        <w:widowControl/>
        <w:spacing w:after="120"/>
      </w:pPr>
      <w:r>
        <w:rPr>
          <w:rFonts w:ascii="Calibri" w:hAnsi="Calibri" w:eastAsia="等线"/>
          <w:color w:val="1F1F1F"/>
        </w:rPr>
        <w:t>总线模型边界从Master侧请求被流量源适配层接受开始，到读数据或写完成等终结响应被上游接受结束。上游Core微架构、cache一致性、软件访存语义和流量生成逻辑位于边界外；下游DRAM命令级控制、PHY和真实存储介质位于边界外。边界内负责保存事务上下文、执行地址映射、争用共享资源、模拟Target可见服务能力、生成响应并收集可解释统计。</w:t>
      </w:r>
    </w:p>
    <w:p>
      <w:pPr>
        <w:keepLines w:val="0"/>
        <w:widowControl/>
        <w:spacing w:after="120"/>
      </w:pPr>
      <w:r>
        <w:rPr>
          <w:rFonts w:ascii="Calibri" w:hAnsi="Calibri" w:eastAsia="等线"/>
          <w:color w:val="1F1F1F"/>
        </w:rPr>
        <w:t>Target服务模型虽然作为可替换组件连接在总线传输平面之后，但其性能参数和反压属于本项目的评估闭环。其接口必须明确请求被接受、服务开始、服务完成、响应生成和响应被接收的时点，避免将Target延迟同时计入Target网络接口和服务模型。</w:t>
      </w:r>
    </w:p>
    <w:p>
      <w:pPr>
        <w:pStyle w:val="Heading3"/>
      </w:pPr>
      <w:r>
        <w:t>图纸设计说明：图1</w:t>
      </w:r>
    </w:p>
    <w:p>
      <w:pPr>
        <w:spacing w:after="80"/>
        <w:ind w:left="115"/>
      </w:pPr>
      <w:r>
        <w:rPr>
          <w:rFonts w:ascii="Calibri" w:hAnsi="Calibri" w:eastAsia="等线"/>
          <w:b/>
          <w:color w:val="1F4E79"/>
        </w:rPr>
        <w:t>目的：</w:t>
      </w:r>
      <w:r>
        <w:rPr>
          <w:rFonts w:ascii="Calibri" w:hAnsi="Calibri" w:eastAsia="等线"/>
          <w:color w:val="1F1F1F"/>
        </w:rPr>
        <w:t>固定模型责任边界，防止把流量源行为、总线竞争和Target服务混为单一延迟。</w:t>
      </w:r>
    </w:p>
    <w:p>
      <w:pPr>
        <w:spacing w:after="80"/>
        <w:ind w:left="115"/>
      </w:pPr>
      <w:r>
        <w:rPr>
          <w:rFonts w:ascii="Calibri" w:hAnsi="Calibri" w:eastAsia="等线"/>
          <w:b/>
          <w:color w:val="1F4E79"/>
        </w:rPr>
        <w:t>模块与端口：</w:t>
      </w:r>
      <w:r>
        <w:rPr>
          <w:rFonts w:ascii="Calibri" w:hAnsi="Calibri" w:eastAsia="等线"/>
          <w:color w:val="1F1F1F"/>
        </w:rPr>
        <w:t>边界外包含多Core/多Master及L2/DDR等基准来源；边界内包含流量源适配层、互连传输平面、Target接入层、地址映射与交织引擎、配置与约束管理、统计与追踪管理。Master侧端口为Master Request/Response Interface，Target侧端口为Target Request/Response Interface。</w:t>
      </w:r>
    </w:p>
    <w:p>
      <w:pPr>
        <w:spacing w:after="80"/>
        <w:ind w:left="115"/>
      </w:pPr>
      <w:r>
        <w:rPr>
          <w:rFonts w:ascii="Calibri" w:hAnsi="Calibri" w:eastAsia="等线"/>
          <w:b/>
          <w:color w:val="1F4E79"/>
        </w:rPr>
        <w:t>箭头关系：</w:t>
      </w:r>
      <w:r>
        <w:rPr>
          <w:rFonts w:ascii="Calibri" w:hAnsi="Calibri" w:eastAsia="等线"/>
          <w:color w:val="1F1F1F"/>
        </w:rPr>
        <w:t>请求和写数据从左向右进入Target；响应从右向左返回；配置与统计为控制路径，不承载数据旁路。</w:t>
      </w:r>
    </w:p>
    <w:p>
      <w:pPr>
        <w:spacing w:after="80"/>
        <w:ind w:left="115"/>
      </w:pPr>
      <w:r>
        <w:rPr>
          <w:rFonts w:ascii="Calibri" w:hAnsi="Calibri" w:eastAsia="等线"/>
          <w:b/>
          <w:color w:val="1F4E79"/>
        </w:rPr>
        <w:t>颜色与线型：</w:t>
      </w:r>
      <w:r>
        <w:rPr>
          <w:rFonts w:ascii="Calibri" w:hAnsi="Calibri" w:eastAsia="等线"/>
          <w:color w:val="1F1F1F"/>
        </w:rPr>
        <w:t>蓝色实线为请求，橙色长虚线为写数据，绿色短虚线为响应，灰色复合虚线为配置/统计，红色点线为反压。</w:t>
      </w:r>
    </w:p>
    <w:p>
      <w:pPr>
        <w:spacing w:after="120"/>
        <w:ind w:left="115"/>
      </w:pPr>
      <w:r>
        <w:rPr>
          <w:rFonts w:ascii="Calibri" w:hAnsi="Calibri" w:eastAsia="等线"/>
          <w:b/>
          <w:color w:val="1F4E79"/>
        </w:rPr>
        <w:t>专家确认问题：</w:t>
      </w:r>
      <w:r>
        <w:rPr>
          <w:rFonts w:ascii="Calibri" w:hAnsi="Calibri" w:eastAsia="等线"/>
          <w:color w:val="1F1F1F"/>
        </w:rPr>
        <w:t>Target服务模型是否计入总线模型交付边界，以及跨时钟域适配是否纳入首版。</w:t>
      </w:r>
    </w:p>
    <w:p>
      <w:pPr>
        <w:keepLines/>
        <w:spacing w:after="0"/>
        <w:jc w:val="center"/>
      </w:pPr>
      <w:r>
        <w:drawing>
          <wp:inline xmlns:a="http://schemas.openxmlformats.org/drawingml/2006/main" xmlns:pic="http://schemas.openxmlformats.org/drawingml/2006/picture">
            <wp:extent cx="5870448" cy="3354542"/>
            <wp:docPr id="1" name="Picture 1"/>
            <wp:cNvGraphicFramePr>
              <a:graphicFrameLocks noChangeAspect="1"/>
            </wp:cNvGraphicFramePr>
            <a:graphic>
              <a:graphicData uri="http://schemas.openxmlformats.org/drawingml/2006/picture">
                <pic:pic>
                  <pic:nvPicPr>
                    <pic:cNvPr id="0" name="01_model_boundary_context.png"/>
                    <pic:cNvPicPr/>
                  </pic:nvPicPr>
                  <pic:blipFill>
                    <a:blip r:embed="rId11"/>
                    <a:stretch>
                      <a:fillRect/>
                    </a:stretch>
                  </pic:blipFill>
                  <pic:spPr>
                    <a:xfrm>
                      <a:off x="0" y="0"/>
                      <a:ext cx="5870448" cy="3354542"/>
                    </a:xfrm>
                    <a:prstGeom prst="rect"/>
                  </pic:spPr>
                </pic:pic>
              </a:graphicData>
            </a:graphic>
          </wp:inline>
        </w:drawing>
      </w:r>
    </w:p>
    <w:p>
      <w:pPr>
        <w:pStyle w:val="Caption"/>
      </w:pPr>
      <w:r>
        <w:rPr>
          <w:b/>
        </w:rPr>
        <w:t xml:space="preserve">图1  </w:t>
      </w:r>
      <w:r>
        <w:t>模型边界与系统上下文</w:t>
      </w:r>
      <w:r>
        <w:t>（可编辑源：editable_diagrams/01_model_boundary_context.svg）</w:t>
      </w:r>
    </w:p>
    <w:p>
      <w:pPr>
        <w:pStyle w:val="Heading2"/>
      </w:pPr>
      <w:r>
        <w:t>5.2 总体架构</w:t>
      </w:r>
    </w:p>
    <w:p>
      <w:pPr>
        <w:keepLines w:val="0"/>
        <w:widowControl/>
        <w:spacing w:after="120"/>
      </w:pPr>
      <w:r>
        <w:rPr>
          <w:rFonts w:ascii="Calibri" w:hAnsi="Calibri" w:eastAsia="等线"/>
          <w:color w:val="1F1F1F"/>
        </w:rPr>
        <w:t>总体架构由流量源适配层、Master网络接口、地址映射与交织引擎、Ring Router、Ring Link、Target网络接口、Target服务模型、配置与约束管理、统计与追踪管理构成。Master网络接口将上游事务转换为统一协议段并实施源端OSD准入；地址映射与交织引擎决定TargetID和目的节点；Ring Router执行逐跳路由与输出仲裁；Ring Link承担唯一的逐方向带宽、传播延迟和在途容量；Target网络接口执行Credit准入、排队和响应回注。</w:t>
      </w:r>
    </w:p>
    <w:p>
      <w:pPr>
        <w:keepLines w:val="0"/>
        <w:widowControl/>
        <w:spacing w:after="120"/>
      </w:pPr>
      <w:r>
        <w:rPr>
          <w:rFonts w:ascii="Calibri" w:hAnsi="Calibri" w:eastAsia="等线"/>
          <w:color w:val="1F1F1F"/>
        </w:rPr>
        <w:t>双向Ring由相邻节点之间的两条有向链路构成。一个节点允许挂接一个或多个逻辑端点，但端点到本地Router的注入和弹出能力必须显式建模，不能假定无限带宽。路由默认采用确定性最短路径；等距时建议对TxnKey做稳定散列以减少固定方向偏置，同时保留可重复性。多个不共享输出链路的传输可以并行，只有竞争同一输出、同一链路调度器或同一Target资源时才相互阻塞。</w:t>
      </w:r>
    </w:p>
    <w:p>
      <w:pPr>
        <w:pStyle w:val="Heading3"/>
      </w:pPr>
      <w:r>
        <w:t>图纸设计说明：图2</w:t>
      </w:r>
    </w:p>
    <w:p>
      <w:pPr>
        <w:spacing w:after="80"/>
        <w:ind w:left="115"/>
      </w:pPr>
      <w:r>
        <w:rPr>
          <w:rFonts w:ascii="Calibri" w:hAnsi="Calibri" w:eastAsia="等线"/>
          <w:b/>
          <w:color w:val="1F4E79"/>
        </w:rPr>
        <w:t>目的：</w:t>
      </w:r>
      <w:r>
        <w:rPr>
          <w:rFonts w:ascii="Calibri" w:hAnsi="Calibri" w:eastAsia="等线"/>
          <w:color w:val="1F1F1F"/>
        </w:rPr>
        <w:t>说明多Master如何进入Ring、双向逐跳资源如何形成空间并行与共享瓶颈，以及控制平面不构成旁路。</w:t>
      </w:r>
    </w:p>
    <w:p>
      <w:pPr>
        <w:spacing w:after="80"/>
        <w:ind w:left="115"/>
      </w:pPr>
      <w:r>
        <w:rPr>
          <w:rFonts w:ascii="Calibri" w:hAnsi="Calibri" w:eastAsia="等线"/>
          <w:b/>
          <w:color w:val="1F4E79"/>
        </w:rPr>
        <w:t>模块与端口：</w:t>
      </w:r>
      <w:r>
        <w:rPr>
          <w:rFonts w:ascii="Calibri" w:hAnsi="Calibri" w:eastAsia="等线"/>
          <w:color w:val="1F1F1F"/>
        </w:rPr>
        <w:t>Master网络接口通过LOCAL注入Ring Router；Router具有LOCAL、CW和CCW端口；有向Ring Link连接相邻Router；Target网络接口从LOCAL弹出并连接Target服务模型。</w:t>
      </w:r>
    </w:p>
    <w:p>
      <w:pPr>
        <w:spacing w:after="80"/>
        <w:ind w:left="115"/>
      </w:pPr>
      <w:r>
        <w:rPr>
          <w:rFonts w:ascii="Calibri" w:hAnsi="Calibri" w:eastAsia="等线"/>
          <w:b/>
          <w:color w:val="1F4E79"/>
        </w:rPr>
        <w:t>箭头关系：</w:t>
      </w:r>
      <w:r>
        <w:rPr>
          <w:rFonts w:ascii="Calibri" w:hAnsi="Calibri" w:eastAsia="等线"/>
          <w:color w:val="1F1F1F"/>
        </w:rPr>
        <w:t>请求、写数据和响应沿确定性方向逐跳转发；控制平面仅向映射、路由、仲裁和统计模块提供参数或采样。</w:t>
      </w:r>
    </w:p>
    <w:p>
      <w:pPr>
        <w:spacing w:after="80"/>
        <w:ind w:left="115"/>
      </w:pPr>
      <w:r>
        <w:rPr>
          <w:rFonts w:ascii="Calibri" w:hAnsi="Calibri" w:eastAsia="等线"/>
          <w:b/>
          <w:color w:val="1F4E79"/>
        </w:rPr>
        <w:t>颜色与线型：</w:t>
      </w:r>
      <w:r>
        <w:rPr>
          <w:rFonts w:ascii="Calibri" w:hAnsi="Calibri" w:eastAsia="等线"/>
          <w:color w:val="1F1F1F"/>
        </w:rPr>
        <w:t>路径线型与图1一致；顺时针/逆时针采用相同资源语义，不以装饰线表达。</w:t>
      </w:r>
    </w:p>
    <w:p>
      <w:pPr>
        <w:spacing w:after="120"/>
        <w:ind w:left="115"/>
      </w:pPr>
      <w:r>
        <w:rPr>
          <w:rFonts w:ascii="Calibri" w:hAnsi="Calibri" w:eastAsia="等线"/>
          <w:b/>
          <w:color w:val="1F4E79"/>
        </w:rPr>
        <w:t>专家确认问题：</w:t>
      </w:r>
      <w:r>
        <w:rPr>
          <w:rFonts w:ascii="Calibri" w:hAnsi="Calibri" w:eastAsia="等线"/>
          <w:color w:val="1F1F1F"/>
        </w:rPr>
        <w:t>端点布点、方向带宽是否对称、等距散列规则，以及三类流量是否共享链路调度器。</w:t>
      </w:r>
    </w:p>
    <w:p>
      <w:pPr>
        <w:keepLines/>
        <w:spacing w:after="0"/>
        <w:jc w:val="center"/>
      </w:pPr>
      <w:r>
        <w:drawing>
          <wp:inline xmlns:a="http://schemas.openxmlformats.org/drawingml/2006/main" xmlns:pic="http://schemas.openxmlformats.org/drawingml/2006/picture">
            <wp:extent cx="5870448" cy="3354542"/>
            <wp:docPr id="2" name="Picture 2"/>
            <wp:cNvGraphicFramePr>
              <a:graphicFrameLocks noChangeAspect="1"/>
            </wp:cNvGraphicFramePr>
            <a:graphic>
              <a:graphicData uri="http://schemas.openxmlformats.org/drawingml/2006/picture">
                <pic:pic>
                  <pic:nvPicPr>
                    <pic:cNvPr id="0" name="02_bidirectional_ring_architecture.png"/>
                    <pic:cNvPicPr/>
                  </pic:nvPicPr>
                  <pic:blipFill>
                    <a:blip r:embed="rId12"/>
                    <a:stretch>
                      <a:fillRect/>
                    </a:stretch>
                  </pic:blipFill>
                  <pic:spPr>
                    <a:xfrm>
                      <a:off x="0" y="0"/>
                      <a:ext cx="5870448" cy="3354542"/>
                    </a:xfrm>
                    <a:prstGeom prst="rect"/>
                  </pic:spPr>
                </pic:pic>
              </a:graphicData>
            </a:graphic>
          </wp:inline>
        </w:drawing>
      </w:r>
    </w:p>
    <w:p>
      <w:pPr>
        <w:pStyle w:val="Caption"/>
      </w:pPr>
      <w:r>
        <w:rPr>
          <w:b/>
        </w:rPr>
        <w:t xml:space="preserve">图2  </w:t>
      </w:r>
      <w:r>
        <w:t>多核双向Ring总体架构</w:t>
      </w:r>
      <w:r>
        <w:t>（可编辑源：editable_diagrams/02_bidirectional_ring_architecture.svg）</w:t>
      </w:r>
    </w:p>
    <w:p>
      <w:pPr>
        <w:pStyle w:val="Heading2"/>
      </w:pPr>
      <w:r>
        <w:t>5.3 执行与时间语义</w:t>
      </w:r>
    </w:p>
    <w:p>
      <w:pPr>
        <w:keepLines w:val="0"/>
        <w:widowControl/>
        <w:spacing w:after="120"/>
      </w:pPr>
      <w:r>
        <w:rPr>
          <w:rFonts w:ascii="Calibri" w:hAnsi="Calibri" w:eastAsia="等线"/>
          <w:color w:val="1F1F1F"/>
        </w:rPr>
        <w:t>模型采用离散事件驱动、周期量化的执行语义。状态变化事件包括新vld到达、FIFO由满转非满、Credit返还、链路序列化窗口开放、在途段到达、Target服务完成和响应被接受。事件发生时只重新评估受影响资源，保证在高阻塞场景下仿真性能可控。所有同一cycle事件必须使用确定性的阶段顺序或两阶段提交，防止软件调用顺序无意构成仲裁优先级。</w:t>
      </w:r>
    </w:p>
    <w:p>
      <w:pPr>
        <w:keepLines w:val="0"/>
        <w:widowControl/>
        <w:spacing w:after="120"/>
      </w:pPr>
      <w:r>
        <w:rPr>
          <w:rFonts w:ascii="Calibri" w:hAnsi="Calibri" w:eastAsia="等线"/>
          <w:color w:val="1F1F1F"/>
        </w:rPr>
        <w:t>建议每个cycle按‘完成/资源返还→到达入队→候选收集→仲裁决策→原子提交→统计更新’推进。候选收集与提交分离，使多个输入竞争同一输出时只产生一个winner；资源是否可用以提交前快照判断；提交后统一更新FIFO、Credit和序列化状态。若采用异步事件优化，也必须保持与该逻辑顺序等价。</w:t>
      </w:r>
    </w:p>
    <w:p>
      <w:pPr>
        <w:pStyle w:val="Heading1"/>
      </w:pPr>
      <w:r>
        <w:t>6 模块职责与接口</w:t>
      </w:r>
    </w:p>
    <w:p>
      <w:pPr>
        <w:pStyle w:val="Heading2"/>
      </w:pPr>
      <w:r>
        <w:t>6.1 模块职责分解</w:t>
      </w:r>
    </w:p>
    <w:tbl>
      <w:tblPr>
        <w:tblStyle w:val="TableGrid"/>
        <w:tblW w:type="dxa" w:w="9360"/>
        <w:jc w:val="left"/>
        <w:tblLayout w:type="fixed"/>
        <w:tblLook w:firstColumn="1" w:firstRow="1" w:lastColumn="0" w:lastRow="0" w:noHBand="0" w:noVBand="1" w:val="04A0"/>
        <w:tblInd w:w="120" w:type="dxa"/>
      </w:tblPr>
      <w:tblGrid>
        <w:gridCol w:w="1600"/>
        <w:gridCol w:w="2600"/>
        <w:gridCol w:w="2800"/>
        <w:gridCol w:w="2360"/>
      </w:tblGrid>
      <w:tr>
        <w:trPr>
          <w:cantSplit/>
          <w:tblHeader w:val="true"/>
        </w:trPr>
        <w:tc>
          <w:tcPr>
            <w:tcW w:type="dxa" w:w="160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模块</w:t>
            </w:r>
          </w:p>
        </w:tc>
        <w:tc>
          <w:tcPr>
            <w:tcW w:type="dxa" w:w="260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核心职责</w:t>
            </w:r>
          </w:p>
        </w:tc>
        <w:tc>
          <w:tcPr>
            <w:tcW w:type="dxa" w:w="280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拥有的状态/资源</w:t>
            </w:r>
          </w:p>
        </w:tc>
        <w:tc>
          <w:tcPr>
            <w:tcW w:type="dxa" w:w="236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禁止承担</w:t>
            </w:r>
          </w:p>
        </w:tc>
      </w:tr>
      <w:tr>
        <w:tc>
          <w:tcPr>
            <w:tcW w:type="dxa" w:w="1600"/>
          </w:tcPr>
          <w:p>
            <w:pPr>
              <w:spacing w:after="0" w:line="240" w:lineRule="auto"/>
            </w:pPr>
            <w:r>
              <w:rPr>
                <w:rFonts w:ascii="Calibri" w:hAnsi="Calibri" w:eastAsia="等线"/>
                <w:b/>
                <w:color w:val="1F1F1F"/>
                <w:sz w:val="15"/>
              </w:rPr>
              <w:t>流量源适配层</w:t>
            </w:r>
          </w:p>
        </w:tc>
        <w:tc>
          <w:tcPr>
            <w:tcW w:type="dxa" w:w="2600"/>
          </w:tcPr>
          <w:p>
            <w:pPr>
              <w:spacing w:after="0" w:line="240" w:lineRule="auto"/>
            </w:pPr>
            <w:r>
              <w:rPr>
                <w:rFonts w:ascii="Calibri" w:hAnsi="Calibri" w:eastAsia="等线"/>
                <w:b w:val="0"/>
                <w:color w:val="1F1F1F"/>
                <w:sz w:val="15"/>
              </w:rPr>
              <w:t>规范化上游请求，提供MasterID、顺序属性和完成回调。</w:t>
            </w:r>
          </w:p>
        </w:tc>
        <w:tc>
          <w:tcPr>
            <w:tcW w:type="dxa" w:w="2800"/>
          </w:tcPr>
          <w:p>
            <w:pPr>
              <w:spacing w:after="0" w:line="240" w:lineRule="auto"/>
            </w:pPr>
            <w:r>
              <w:rPr>
                <w:rFonts w:ascii="Calibri" w:hAnsi="Calibri" w:eastAsia="等线"/>
                <w:b w:val="0"/>
                <w:color w:val="1F1F1F"/>
                <w:sz w:val="15"/>
              </w:rPr>
              <w:t>上游握手、可选父事务分段上下文。</w:t>
            </w:r>
          </w:p>
        </w:tc>
        <w:tc>
          <w:tcPr>
            <w:tcW w:type="dxa" w:w="2360"/>
          </w:tcPr>
          <w:p>
            <w:pPr>
              <w:spacing w:after="0" w:line="240" w:lineRule="auto"/>
            </w:pPr>
            <w:r>
              <w:rPr>
                <w:rFonts w:ascii="Calibri" w:hAnsi="Calibri" w:eastAsia="等线"/>
                <w:b w:val="0"/>
                <w:color w:val="1F1F1F"/>
                <w:sz w:val="15"/>
              </w:rPr>
              <w:t>不得注入绕过Master网络接口的流量。</w:t>
            </w:r>
          </w:p>
        </w:tc>
      </w:tr>
      <w:tr>
        <w:tc>
          <w:tcPr>
            <w:tcW w:type="dxa" w:w="1600"/>
          </w:tcPr>
          <w:p>
            <w:pPr>
              <w:spacing w:after="0" w:line="240" w:lineRule="auto"/>
            </w:pPr>
            <w:r>
              <w:rPr>
                <w:rFonts w:ascii="Calibri" w:hAnsi="Calibri" w:eastAsia="等线"/>
                <w:b/>
                <w:color w:val="1F1F1F"/>
                <w:sz w:val="15"/>
              </w:rPr>
              <w:t>Master网络接口</w:t>
            </w:r>
          </w:p>
        </w:tc>
        <w:tc>
          <w:tcPr>
            <w:tcW w:type="dxa" w:w="2600"/>
          </w:tcPr>
          <w:p>
            <w:pPr>
              <w:spacing w:after="0" w:line="240" w:lineRule="auto"/>
            </w:pPr>
            <w:r>
              <w:rPr>
                <w:rFonts w:ascii="Calibri" w:hAnsi="Calibri" w:eastAsia="等线"/>
                <w:b w:val="0"/>
                <w:color w:val="1F1F1F"/>
                <w:sz w:val="15"/>
              </w:rPr>
              <w:t>OSD准入、协议段生成、响应聚合和终结。</w:t>
            </w:r>
          </w:p>
        </w:tc>
        <w:tc>
          <w:tcPr>
            <w:tcW w:type="dxa" w:w="2800"/>
          </w:tcPr>
          <w:p>
            <w:pPr>
              <w:spacing w:after="0" w:line="240" w:lineRule="auto"/>
            </w:pPr>
            <w:r>
              <w:rPr>
                <w:rFonts w:ascii="Calibri" w:hAnsi="Calibri" w:eastAsia="等线"/>
                <w:b w:val="0"/>
                <w:color w:val="1F1F1F"/>
                <w:sz w:val="15"/>
              </w:rPr>
              <w:t>请求/写数据FIFO、事务追踪表、Master OSD。</w:t>
            </w:r>
          </w:p>
        </w:tc>
        <w:tc>
          <w:tcPr>
            <w:tcW w:type="dxa" w:w="2360"/>
          </w:tcPr>
          <w:p>
            <w:pPr>
              <w:spacing w:after="0" w:line="240" w:lineRule="auto"/>
            </w:pPr>
            <w:r>
              <w:rPr>
                <w:rFonts w:ascii="Calibri" w:hAnsi="Calibri" w:eastAsia="等线"/>
                <w:b w:val="0"/>
                <w:color w:val="1F1F1F"/>
                <w:sz w:val="15"/>
              </w:rPr>
              <w:t>不得直接修改Target Credit或Ring链路状态。</w:t>
            </w:r>
          </w:p>
        </w:tc>
      </w:tr>
      <w:tr>
        <w:tc>
          <w:tcPr>
            <w:tcW w:type="dxa" w:w="1600"/>
          </w:tcPr>
          <w:p>
            <w:pPr>
              <w:spacing w:after="0" w:line="240" w:lineRule="auto"/>
            </w:pPr>
            <w:r>
              <w:rPr>
                <w:rFonts w:ascii="Calibri" w:hAnsi="Calibri" w:eastAsia="等线"/>
                <w:b/>
                <w:color w:val="1F1F1F"/>
                <w:sz w:val="15"/>
              </w:rPr>
              <w:t>地址映射与交织引擎</w:t>
            </w:r>
          </w:p>
        </w:tc>
        <w:tc>
          <w:tcPr>
            <w:tcW w:type="dxa" w:w="2600"/>
          </w:tcPr>
          <w:p>
            <w:pPr>
              <w:spacing w:after="0" w:line="240" w:lineRule="auto"/>
            </w:pPr>
            <w:r>
              <w:rPr>
                <w:rFonts w:ascii="Calibri" w:hAnsi="Calibri" w:eastAsia="等线"/>
                <w:b w:val="0"/>
                <w:color w:val="1F1F1F"/>
                <w:sz w:val="15"/>
              </w:rPr>
              <w:t>地址域校验、Target选择、分段边界和节点映射。</w:t>
            </w:r>
          </w:p>
        </w:tc>
        <w:tc>
          <w:tcPr>
            <w:tcW w:type="dxa" w:w="2800"/>
          </w:tcPr>
          <w:p>
            <w:pPr>
              <w:spacing w:after="0" w:line="240" w:lineRule="auto"/>
            </w:pPr>
            <w:r>
              <w:rPr>
                <w:rFonts w:ascii="Calibri" w:hAnsi="Calibri" w:eastAsia="等线"/>
                <w:b w:val="0"/>
                <w:color w:val="1F1F1F"/>
                <w:sz w:val="15"/>
              </w:rPr>
              <w:t>地址图、interleave规则、映射版本。</w:t>
            </w:r>
          </w:p>
        </w:tc>
        <w:tc>
          <w:tcPr>
            <w:tcW w:type="dxa" w:w="2360"/>
          </w:tcPr>
          <w:p>
            <w:pPr>
              <w:spacing w:after="0" w:line="240" w:lineRule="auto"/>
            </w:pPr>
            <w:r>
              <w:rPr>
                <w:rFonts w:ascii="Calibri" w:hAnsi="Calibri" w:eastAsia="等线"/>
                <w:b w:val="0"/>
                <w:color w:val="1F1F1F"/>
                <w:sz w:val="15"/>
              </w:rPr>
              <w:t>不得承担排队、带宽或Target服务延迟。</w:t>
            </w:r>
          </w:p>
        </w:tc>
      </w:tr>
      <w:tr>
        <w:tc>
          <w:tcPr>
            <w:tcW w:type="dxa" w:w="1600"/>
          </w:tcPr>
          <w:p>
            <w:pPr>
              <w:spacing w:after="0" w:line="240" w:lineRule="auto"/>
            </w:pPr>
            <w:r>
              <w:rPr>
                <w:rFonts w:ascii="Calibri" w:hAnsi="Calibri" w:eastAsia="等线"/>
                <w:b/>
                <w:color w:val="1F1F1F"/>
                <w:sz w:val="15"/>
              </w:rPr>
              <w:t>Ring Router</w:t>
            </w:r>
          </w:p>
        </w:tc>
        <w:tc>
          <w:tcPr>
            <w:tcW w:type="dxa" w:w="2600"/>
          </w:tcPr>
          <w:p>
            <w:pPr>
              <w:spacing w:after="0" w:line="240" w:lineRule="auto"/>
            </w:pPr>
            <w:r>
              <w:rPr>
                <w:rFonts w:ascii="Calibri" w:hAnsi="Calibri" w:eastAsia="等线"/>
                <w:b w:val="0"/>
                <w:color w:val="1F1F1F"/>
                <w:sz w:val="15"/>
              </w:rPr>
              <w:t>输入候选收集、下一跳选择和每输出仲裁。</w:t>
            </w:r>
          </w:p>
        </w:tc>
        <w:tc>
          <w:tcPr>
            <w:tcW w:type="dxa" w:w="2800"/>
          </w:tcPr>
          <w:p>
            <w:pPr>
              <w:spacing w:after="0" w:line="240" w:lineRule="auto"/>
            </w:pPr>
            <w:r>
              <w:rPr>
                <w:rFonts w:ascii="Calibri" w:hAnsi="Calibri" w:eastAsia="等线"/>
                <w:b w:val="0"/>
                <w:color w:val="1F1F1F"/>
                <w:sz w:val="15"/>
              </w:rPr>
              <w:t>端口FIFO、仲裁指针、年龄/QoS状态。</w:t>
            </w:r>
          </w:p>
        </w:tc>
        <w:tc>
          <w:tcPr>
            <w:tcW w:type="dxa" w:w="2360"/>
          </w:tcPr>
          <w:p>
            <w:pPr>
              <w:spacing w:after="0" w:line="240" w:lineRule="auto"/>
            </w:pPr>
            <w:r>
              <w:rPr>
                <w:rFonts w:ascii="Calibri" w:hAnsi="Calibri" w:eastAsia="等线"/>
                <w:b w:val="0"/>
                <w:color w:val="1F1F1F"/>
                <w:sz w:val="15"/>
              </w:rPr>
              <w:t>不得保存端到端事务完成状态。</w:t>
            </w:r>
          </w:p>
        </w:tc>
      </w:tr>
      <w:tr>
        <w:tc>
          <w:tcPr>
            <w:tcW w:type="dxa" w:w="1600"/>
          </w:tcPr>
          <w:p>
            <w:pPr>
              <w:spacing w:after="0" w:line="240" w:lineRule="auto"/>
            </w:pPr>
            <w:r>
              <w:rPr>
                <w:rFonts w:ascii="Calibri" w:hAnsi="Calibri" w:eastAsia="等线"/>
                <w:b/>
                <w:color w:val="1F1F1F"/>
                <w:sz w:val="15"/>
              </w:rPr>
              <w:t>Ring Link</w:t>
            </w:r>
          </w:p>
        </w:tc>
        <w:tc>
          <w:tcPr>
            <w:tcW w:type="dxa" w:w="2600"/>
          </w:tcPr>
          <w:p>
            <w:pPr>
              <w:spacing w:after="0" w:line="240" w:lineRule="auto"/>
            </w:pPr>
            <w:r>
              <w:rPr>
                <w:rFonts w:ascii="Calibri" w:hAnsi="Calibri" w:eastAsia="等线"/>
                <w:b w:val="0"/>
                <w:color w:val="1F1F1F"/>
                <w:sz w:val="15"/>
              </w:rPr>
              <w:t>传播、序列化和有限在途容量。</w:t>
            </w:r>
          </w:p>
        </w:tc>
        <w:tc>
          <w:tcPr>
            <w:tcW w:type="dxa" w:w="2800"/>
          </w:tcPr>
          <w:p>
            <w:pPr>
              <w:spacing w:after="0" w:line="240" w:lineRule="auto"/>
            </w:pPr>
            <w:r>
              <w:rPr>
                <w:rFonts w:ascii="Calibri" w:hAnsi="Calibri" w:eastAsia="等线"/>
                <w:b w:val="0"/>
                <w:color w:val="1F1F1F"/>
                <w:sz w:val="15"/>
              </w:rPr>
              <w:t>next_free_cycle、in-flight队列、每方向带宽。</w:t>
            </w:r>
          </w:p>
        </w:tc>
        <w:tc>
          <w:tcPr>
            <w:tcW w:type="dxa" w:w="2360"/>
          </w:tcPr>
          <w:p>
            <w:pPr>
              <w:spacing w:after="0" w:line="240" w:lineRule="auto"/>
            </w:pPr>
            <w:r>
              <w:rPr>
                <w:rFonts w:ascii="Calibri" w:hAnsi="Calibri" w:eastAsia="等线"/>
                <w:b w:val="0"/>
                <w:color w:val="1F1F1F"/>
                <w:sz w:val="15"/>
              </w:rPr>
              <w:t>不得重复计入Router或Target固定延迟。</w:t>
            </w:r>
          </w:p>
        </w:tc>
      </w:tr>
      <w:tr>
        <w:tc>
          <w:tcPr>
            <w:tcW w:type="dxa" w:w="1600"/>
          </w:tcPr>
          <w:p>
            <w:pPr>
              <w:spacing w:after="0" w:line="240" w:lineRule="auto"/>
            </w:pPr>
            <w:r>
              <w:rPr>
                <w:rFonts w:ascii="Calibri" w:hAnsi="Calibri" w:eastAsia="等线"/>
                <w:b/>
                <w:color w:val="1F1F1F"/>
                <w:sz w:val="15"/>
              </w:rPr>
              <w:t>Target网络接口</w:t>
            </w:r>
          </w:p>
        </w:tc>
        <w:tc>
          <w:tcPr>
            <w:tcW w:type="dxa" w:w="2600"/>
          </w:tcPr>
          <w:p>
            <w:pPr>
              <w:spacing w:after="0" w:line="240" w:lineRule="auto"/>
            </w:pPr>
            <w:r>
              <w:rPr>
                <w:rFonts w:ascii="Calibri" w:hAnsi="Calibri" w:eastAsia="等线"/>
                <w:b w:val="0"/>
                <w:color w:val="1F1F1F"/>
                <w:sz w:val="15"/>
              </w:rPr>
              <w:t>Target Credit准入、请求整形、响应回注。</w:t>
            </w:r>
          </w:p>
        </w:tc>
        <w:tc>
          <w:tcPr>
            <w:tcW w:type="dxa" w:w="2800"/>
          </w:tcPr>
          <w:p>
            <w:pPr>
              <w:spacing w:after="0" w:line="240" w:lineRule="auto"/>
            </w:pPr>
            <w:r>
              <w:rPr>
                <w:rFonts w:ascii="Calibri" w:hAnsi="Calibri" w:eastAsia="等线"/>
                <w:b w:val="0"/>
                <w:color w:val="1F1F1F"/>
                <w:sz w:val="15"/>
              </w:rPr>
              <w:t>请求/响应FIFO、Credit镜像、DataTag关联。</w:t>
            </w:r>
          </w:p>
        </w:tc>
        <w:tc>
          <w:tcPr>
            <w:tcW w:type="dxa" w:w="2360"/>
          </w:tcPr>
          <w:p>
            <w:pPr>
              <w:spacing w:after="0" w:line="240" w:lineRule="auto"/>
            </w:pPr>
            <w:r>
              <w:rPr>
                <w:rFonts w:ascii="Calibri" w:hAnsi="Calibri" w:eastAsia="等线"/>
                <w:b w:val="0"/>
                <w:color w:val="1F1F1F"/>
                <w:sz w:val="15"/>
              </w:rPr>
              <w:t>不得替代Target内部服务模型。</w:t>
            </w:r>
          </w:p>
        </w:tc>
      </w:tr>
      <w:tr>
        <w:tc>
          <w:tcPr>
            <w:tcW w:type="dxa" w:w="1600"/>
          </w:tcPr>
          <w:p>
            <w:pPr>
              <w:spacing w:after="0" w:line="240" w:lineRule="auto"/>
            </w:pPr>
            <w:r>
              <w:rPr>
                <w:rFonts w:ascii="Calibri" w:hAnsi="Calibri" w:eastAsia="等线"/>
                <w:b/>
                <w:color w:val="1F1F1F"/>
                <w:sz w:val="15"/>
              </w:rPr>
              <w:t>Target服务模型</w:t>
            </w:r>
          </w:p>
        </w:tc>
        <w:tc>
          <w:tcPr>
            <w:tcW w:type="dxa" w:w="2600"/>
          </w:tcPr>
          <w:p>
            <w:pPr>
              <w:spacing w:after="0" w:line="240" w:lineRule="auto"/>
            </w:pPr>
            <w:r>
              <w:rPr>
                <w:rFonts w:ascii="Calibri" w:hAnsi="Calibri" w:eastAsia="等线"/>
                <w:b w:val="0"/>
                <w:color w:val="1F1F1F"/>
                <w:sz w:val="15"/>
              </w:rPr>
              <w:t>表达L2/DDR等服务延迟、吞吐、并发和可选Bank冲突。</w:t>
            </w:r>
          </w:p>
        </w:tc>
        <w:tc>
          <w:tcPr>
            <w:tcW w:type="dxa" w:w="2800"/>
          </w:tcPr>
          <w:p>
            <w:pPr>
              <w:spacing w:after="0" w:line="240" w:lineRule="auto"/>
            </w:pPr>
            <w:r>
              <w:rPr>
                <w:rFonts w:ascii="Calibri" w:hAnsi="Calibri" w:eastAsia="等线"/>
                <w:b w:val="0"/>
                <w:color w:val="1F1F1F"/>
                <w:sz w:val="15"/>
              </w:rPr>
              <w:t>服务队列、busy状态、内部资源占用。</w:t>
            </w:r>
          </w:p>
        </w:tc>
        <w:tc>
          <w:tcPr>
            <w:tcW w:type="dxa" w:w="2360"/>
          </w:tcPr>
          <w:p>
            <w:pPr>
              <w:spacing w:after="0" w:line="240" w:lineRule="auto"/>
            </w:pPr>
            <w:r>
              <w:rPr>
                <w:rFonts w:ascii="Calibri" w:hAnsi="Calibri" w:eastAsia="等线"/>
                <w:b w:val="0"/>
                <w:color w:val="1F1F1F"/>
                <w:sz w:val="15"/>
              </w:rPr>
              <w:t>不得隐式承担Ring传输时延。</w:t>
            </w:r>
          </w:p>
        </w:tc>
      </w:tr>
      <w:tr>
        <w:tc>
          <w:tcPr>
            <w:tcW w:type="dxa" w:w="1600"/>
          </w:tcPr>
          <w:p>
            <w:pPr>
              <w:spacing w:after="0" w:line="240" w:lineRule="auto"/>
            </w:pPr>
            <w:r>
              <w:rPr>
                <w:rFonts w:ascii="Calibri" w:hAnsi="Calibri" w:eastAsia="等线"/>
                <w:b/>
                <w:color w:val="1F1F1F"/>
                <w:sz w:val="15"/>
              </w:rPr>
              <w:t>配置与约束管理</w:t>
            </w:r>
          </w:p>
        </w:tc>
        <w:tc>
          <w:tcPr>
            <w:tcW w:type="dxa" w:w="2600"/>
          </w:tcPr>
          <w:p>
            <w:pPr>
              <w:spacing w:after="0" w:line="240" w:lineRule="auto"/>
            </w:pPr>
            <w:r>
              <w:rPr>
                <w:rFonts w:ascii="Calibri" w:hAnsi="Calibri" w:eastAsia="等线"/>
                <w:b w:val="0"/>
                <w:color w:val="1F1F1F"/>
                <w:sz w:val="15"/>
              </w:rPr>
              <w:t>加载、继承、校验并冻结配置，生成配置指纹。</w:t>
            </w:r>
          </w:p>
        </w:tc>
        <w:tc>
          <w:tcPr>
            <w:tcW w:type="dxa" w:w="2800"/>
          </w:tcPr>
          <w:p>
            <w:pPr>
              <w:spacing w:after="0" w:line="240" w:lineRule="auto"/>
            </w:pPr>
            <w:r>
              <w:rPr>
                <w:rFonts w:ascii="Calibri" w:hAnsi="Calibri" w:eastAsia="等线"/>
                <w:b w:val="0"/>
                <w:color w:val="1F1F1F"/>
                <w:sz w:val="15"/>
              </w:rPr>
              <w:t>Schema版本、参数来源和生效清单。</w:t>
            </w:r>
          </w:p>
        </w:tc>
        <w:tc>
          <w:tcPr>
            <w:tcW w:type="dxa" w:w="2360"/>
          </w:tcPr>
          <w:p>
            <w:pPr>
              <w:spacing w:after="0" w:line="240" w:lineRule="auto"/>
            </w:pPr>
            <w:r>
              <w:rPr>
                <w:rFonts w:ascii="Calibri" w:hAnsi="Calibri" w:eastAsia="等线"/>
                <w:b w:val="0"/>
                <w:color w:val="1F1F1F"/>
                <w:sz w:val="15"/>
              </w:rPr>
              <w:t>不得在运行中静默修正非法参数。</w:t>
            </w:r>
          </w:p>
        </w:tc>
      </w:tr>
      <w:tr>
        <w:tc>
          <w:tcPr>
            <w:tcW w:type="dxa" w:w="1600"/>
          </w:tcPr>
          <w:p>
            <w:pPr>
              <w:spacing w:after="0" w:line="240" w:lineRule="auto"/>
            </w:pPr>
            <w:r>
              <w:rPr>
                <w:rFonts w:ascii="Calibri" w:hAnsi="Calibri" w:eastAsia="等线"/>
                <w:b/>
                <w:color w:val="1F1F1F"/>
                <w:sz w:val="15"/>
              </w:rPr>
              <w:t>统计与追踪管理</w:t>
            </w:r>
          </w:p>
        </w:tc>
        <w:tc>
          <w:tcPr>
            <w:tcW w:type="dxa" w:w="2600"/>
          </w:tcPr>
          <w:p>
            <w:pPr>
              <w:spacing w:after="0" w:line="240" w:lineRule="auto"/>
            </w:pPr>
            <w:r>
              <w:rPr>
                <w:rFonts w:ascii="Calibri" w:hAnsi="Calibri" w:eastAsia="等线"/>
                <w:b w:val="0"/>
                <w:color w:val="1F1F1F"/>
                <w:sz w:val="15"/>
              </w:rPr>
              <w:t>采样KPI、阻塞原因、占用率和事务路径。</w:t>
            </w:r>
          </w:p>
        </w:tc>
        <w:tc>
          <w:tcPr>
            <w:tcW w:type="dxa" w:w="2800"/>
          </w:tcPr>
          <w:p>
            <w:pPr>
              <w:spacing w:after="0" w:line="240" w:lineRule="auto"/>
            </w:pPr>
            <w:r>
              <w:rPr>
                <w:rFonts w:ascii="Calibri" w:hAnsi="Calibri" w:eastAsia="等线"/>
                <w:b w:val="0"/>
                <w:color w:val="1F1F1F"/>
                <w:sz w:val="15"/>
              </w:rPr>
              <w:t>计数器、直方图、trace缓冲。</w:t>
            </w:r>
          </w:p>
        </w:tc>
        <w:tc>
          <w:tcPr>
            <w:tcW w:type="dxa" w:w="2360"/>
          </w:tcPr>
          <w:p>
            <w:pPr>
              <w:spacing w:after="0" w:line="240" w:lineRule="auto"/>
            </w:pPr>
            <w:r>
              <w:rPr>
                <w:rFonts w:ascii="Calibri" w:hAnsi="Calibri" w:eastAsia="等线"/>
                <w:b w:val="0"/>
                <w:color w:val="1F1F1F"/>
                <w:sz w:val="15"/>
              </w:rPr>
              <w:t>不得改变数据通路调度决策。</w:t>
            </w:r>
          </w:p>
        </w:tc>
      </w:tr>
    </w:tbl>
    <w:p>
      <w:pPr>
        <w:spacing w:after="0"/>
      </w:pPr>
    </w:p>
    <w:p>
      <w:pPr>
        <w:pStyle w:val="Heading2"/>
      </w:pPr>
      <w:r>
        <w:t>6.2 接口与事务载荷</w:t>
      </w:r>
    </w:p>
    <w:p>
      <w:pPr>
        <w:keepLines w:val="0"/>
        <w:widowControl/>
        <w:spacing w:after="120"/>
      </w:pPr>
      <w:r>
        <w:rPr>
          <w:rFonts w:ascii="Calibri" w:hAnsi="Calibri" w:eastAsia="等线"/>
          <w:color w:val="1F1F1F"/>
        </w:rPr>
        <w:t>Master Request Interface承载READ_REQ、WRITE_REQ和必要的顺序/QoS属性；Master Response Interface承载READ_RSP、WRITE_GRANT、WRITE_COMPLETE和ERROR_COMPLETE。Ring Request Channel、Ring Write Data Channel和Ring Response Channel是逻辑流量类，不预先假定物理独立。Target Request Interface和Target Response Interface分别表示Target网络接口与Target服务模型之间的准入和完成边界。Control/Configuration Interface只传递静态配置、运行控制和统计采样，不提供数据旁路。</w:t>
      </w:r>
    </w:p>
    <w:tbl>
      <w:tblPr>
        <w:tblStyle w:val="TableGrid"/>
        <w:tblW w:type="dxa" w:w="9360"/>
        <w:jc w:val="left"/>
        <w:tblLayout w:type="fixed"/>
        <w:tblLook w:firstColumn="1" w:firstRow="1" w:lastColumn="0" w:lastRow="0" w:noHBand="0" w:noVBand="1" w:val="04A0"/>
        <w:tblInd w:w="120" w:type="dxa"/>
      </w:tblPr>
      <w:tblGrid>
        <w:gridCol w:w="1700"/>
        <w:gridCol w:w="2100"/>
        <w:gridCol w:w="5560"/>
      </w:tblGrid>
      <w:tr>
        <w:trPr>
          <w:cantSplit/>
          <w:tblHeader w:val="true"/>
        </w:trPr>
        <w:tc>
          <w:tcPr>
            <w:tcW w:type="dxa" w:w="170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字段</w:t>
            </w:r>
          </w:p>
        </w:tc>
        <w:tc>
          <w:tcPr>
            <w:tcW w:type="dxa" w:w="210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建议宽度/类型</w:t>
            </w:r>
          </w:p>
        </w:tc>
        <w:tc>
          <w:tcPr>
            <w:tcW w:type="dxa" w:w="556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语义与约束</w:t>
            </w:r>
          </w:p>
        </w:tc>
      </w:tr>
      <w:tr>
        <w:tc>
          <w:tcPr>
            <w:tcW w:type="dxa" w:w="1700"/>
          </w:tcPr>
          <w:p>
            <w:pPr>
              <w:spacing w:after="0" w:line="240" w:lineRule="auto"/>
            </w:pPr>
            <w:r>
              <w:rPr>
                <w:rFonts w:ascii="Calibri" w:hAnsi="Calibri" w:eastAsia="等线"/>
                <w:b/>
                <w:color w:val="1F1F1F"/>
                <w:sz w:val="17"/>
              </w:rPr>
              <w:t>MasterID</w:t>
            </w:r>
          </w:p>
        </w:tc>
        <w:tc>
          <w:tcPr>
            <w:tcW w:type="dxa" w:w="2100"/>
          </w:tcPr>
          <w:p>
            <w:pPr>
              <w:spacing w:after="0" w:line="240" w:lineRule="auto"/>
            </w:pPr>
            <w:r>
              <w:rPr>
                <w:rFonts w:ascii="Calibri" w:hAnsi="Calibri" w:eastAsia="等线"/>
                <w:b w:val="0"/>
                <w:color w:val="1F1F1F"/>
                <w:sz w:val="17"/>
              </w:rPr>
              <w:t>配置决定；整数</w:t>
            </w:r>
          </w:p>
        </w:tc>
        <w:tc>
          <w:tcPr>
            <w:tcW w:type="dxa" w:w="5560"/>
          </w:tcPr>
          <w:p>
            <w:pPr>
              <w:spacing w:after="0" w:line="240" w:lineRule="auto"/>
            </w:pPr>
            <w:r>
              <w:rPr>
                <w:rFonts w:ascii="Calibri" w:hAnsi="Calibri" w:eastAsia="等线"/>
                <w:b w:val="0"/>
                <w:color w:val="1F1F1F"/>
                <w:sz w:val="17"/>
              </w:rPr>
              <w:t>全局唯一标识发起端，参与TxnKey。</w:t>
            </w:r>
          </w:p>
        </w:tc>
      </w:tr>
      <w:tr>
        <w:tc>
          <w:tcPr>
            <w:tcW w:type="dxa" w:w="1700"/>
          </w:tcPr>
          <w:p>
            <w:pPr>
              <w:spacing w:after="0" w:line="240" w:lineRule="auto"/>
            </w:pPr>
            <w:r>
              <w:rPr>
                <w:rFonts w:ascii="Calibri" w:hAnsi="Calibri" w:eastAsia="等线"/>
                <w:b/>
                <w:color w:val="1F1F1F"/>
                <w:sz w:val="17"/>
              </w:rPr>
              <w:t>LocalTxnID</w:t>
            </w:r>
          </w:p>
        </w:tc>
        <w:tc>
          <w:tcPr>
            <w:tcW w:type="dxa" w:w="2100"/>
          </w:tcPr>
          <w:p>
            <w:pPr>
              <w:spacing w:after="0" w:line="240" w:lineRule="auto"/>
            </w:pPr>
            <w:r>
              <w:rPr>
                <w:rFonts w:ascii="Calibri" w:hAnsi="Calibri" w:eastAsia="等线"/>
                <w:b w:val="0"/>
                <w:color w:val="1F1F1F"/>
                <w:sz w:val="17"/>
              </w:rPr>
              <w:t>每Master独立；整数</w:t>
            </w:r>
          </w:p>
        </w:tc>
        <w:tc>
          <w:tcPr>
            <w:tcW w:type="dxa" w:w="5560"/>
          </w:tcPr>
          <w:p>
            <w:pPr>
              <w:spacing w:after="0" w:line="240" w:lineRule="auto"/>
            </w:pPr>
            <w:r>
              <w:rPr>
                <w:rFonts w:ascii="Calibri" w:hAnsi="Calibri" w:eastAsia="等线"/>
                <w:b w:val="0"/>
                <w:color w:val="1F1F1F"/>
                <w:sz w:val="17"/>
              </w:rPr>
              <w:t>在Epoch未回绕前不得与在途事务重复。</w:t>
            </w:r>
          </w:p>
        </w:tc>
      </w:tr>
      <w:tr>
        <w:tc>
          <w:tcPr>
            <w:tcW w:type="dxa" w:w="1700"/>
          </w:tcPr>
          <w:p>
            <w:pPr>
              <w:spacing w:after="0" w:line="240" w:lineRule="auto"/>
            </w:pPr>
            <w:r>
              <w:rPr>
                <w:rFonts w:ascii="Calibri" w:hAnsi="Calibri" w:eastAsia="等线"/>
                <w:b/>
                <w:color w:val="1F1F1F"/>
                <w:sz w:val="17"/>
              </w:rPr>
              <w:t>Epoch</w:t>
            </w:r>
          </w:p>
        </w:tc>
        <w:tc>
          <w:tcPr>
            <w:tcW w:type="dxa" w:w="2100"/>
          </w:tcPr>
          <w:p>
            <w:pPr>
              <w:spacing w:after="0" w:line="240" w:lineRule="auto"/>
            </w:pPr>
            <w:r>
              <w:rPr>
                <w:rFonts w:ascii="Calibri" w:hAnsi="Calibri" w:eastAsia="等线"/>
                <w:b w:val="0"/>
                <w:color w:val="1F1F1F"/>
                <w:sz w:val="17"/>
              </w:rPr>
              <w:t>可选小整数</w:t>
            </w:r>
          </w:p>
        </w:tc>
        <w:tc>
          <w:tcPr>
            <w:tcW w:type="dxa" w:w="5560"/>
          </w:tcPr>
          <w:p>
            <w:pPr>
              <w:spacing w:after="0" w:line="240" w:lineRule="auto"/>
            </w:pPr>
            <w:r>
              <w:rPr>
                <w:rFonts w:ascii="Calibri" w:hAnsi="Calibri" w:eastAsia="等线"/>
                <w:b w:val="0"/>
                <w:color w:val="1F1F1F"/>
                <w:sz w:val="17"/>
              </w:rPr>
              <w:t>解决LocalTxnID回绕；若ID空间保证不回绕可省略。</w:t>
            </w:r>
          </w:p>
        </w:tc>
      </w:tr>
      <w:tr>
        <w:tc>
          <w:tcPr>
            <w:tcW w:type="dxa" w:w="1700"/>
          </w:tcPr>
          <w:p>
            <w:pPr>
              <w:spacing w:after="0" w:line="240" w:lineRule="auto"/>
            </w:pPr>
            <w:r>
              <w:rPr>
                <w:rFonts w:ascii="Calibri" w:hAnsi="Calibri" w:eastAsia="等线"/>
                <w:b/>
                <w:color w:val="1F1F1F"/>
                <w:sz w:val="17"/>
              </w:rPr>
              <w:t>TargetID</w:t>
            </w:r>
          </w:p>
        </w:tc>
        <w:tc>
          <w:tcPr>
            <w:tcW w:type="dxa" w:w="2100"/>
          </w:tcPr>
          <w:p>
            <w:pPr>
              <w:spacing w:after="0" w:line="240" w:lineRule="auto"/>
            </w:pPr>
            <w:r>
              <w:rPr>
                <w:rFonts w:ascii="Calibri" w:hAnsi="Calibri" w:eastAsia="等线"/>
                <w:b w:val="0"/>
                <w:color w:val="1F1F1F"/>
                <w:sz w:val="17"/>
              </w:rPr>
              <w:t>地址映射输出</w:t>
            </w:r>
          </w:p>
        </w:tc>
        <w:tc>
          <w:tcPr>
            <w:tcW w:type="dxa" w:w="5560"/>
          </w:tcPr>
          <w:p>
            <w:pPr>
              <w:spacing w:after="0" w:line="240" w:lineRule="auto"/>
            </w:pPr>
            <w:r>
              <w:rPr>
                <w:rFonts w:ascii="Calibri" w:hAnsi="Calibri" w:eastAsia="等线"/>
                <w:b w:val="0"/>
                <w:color w:val="1F1F1F"/>
                <w:sz w:val="17"/>
              </w:rPr>
              <w:t>在请求分段后固定，响应原样返回。</w:t>
            </w:r>
          </w:p>
        </w:tc>
      </w:tr>
      <w:tr>
        <w:tc>
          <w:tcPr>
            <w:tcW w:type="dxa" w:w="1700"/>
          </w:tcPr>
          <w:p>
            <w:pPr>
              <w:spacing w:after="0" w:line="240" w:lineRule="auto"/>
            </w:pPr>
            <w:r>
              <w:rPr>
                <w:rFonts w:ascii="Calibri" w:hAnsi="Calibri" w:eastAsia="等线"/>
                <w:b/>
                <w:color w:val="1F1F1F"/>
                <w:sz w:val="17"/>
              </w:rPr>
              <w:t>TrafficClass</w:t>
            </w:r>
          </w:p>
        </w:tc>
        <w:tc>
          <w:tcPr>
            <w:tcW w:type="dxa" w:w="2100"/>
          </w:tcPr>
          <w:p>
            <w:pPr>
              <w:spacing w:after="0" w:line="240" w:lineRule="auto"/>
            </w:pPr>
            <w:r>
              <w:rPr>
                <w:rFonts w:ascii="Calibri" w:hAnsi="Calibri" w:eastAsia="等线"/>
                <w:b w:val="0"/>
                <w:color w:val="1F1F1F"/>
                <w:sz w:val="17"/>
              </w:rPr>
              <w:t>枚举</w:t>
            </w:r>
          </w:p>
        </w:tc>
        <w:tc>
          <w:tcPr>
            <w:tcW w:type="dxa" w:w="5560"/>
          </w:tcPr>
          <w:p>
            <w:pPr>
              <w:spacing w:after="0" w:line="240" w:lineRule="auto"/>
            </w:pPr>
            <w:r>
              <w:rPr>
                <w:rFonts w:ascii="Calibri" w:hAnsi="Calibri" w:eastAsia="等线"/>
                <w:b w:val="0"/>
                <w:color w:val="1F1F1F"/>
                <w:sz w:val="17"/>
              </w:rPr>
              <w:t>至少区分Request、WriteData、Response；可扩展QoS。</w:t>
            </w:r>
          </w:p>
        </w:tc>
      </w:tr>
      <w:tr>
        <w:tc>
          <w:tcPr>
            <w:tcW w:type="dxa" w:w="1700"/>
          </w:tcPr>
          <w:p>
            <w:pPr>
              <w:spacing w:after="0" w:line="240" w:lineRule="auto"/>
            </w:pPr>
            <w:r>
              <w:rPr>
                <w:rFonts w:ascii="Calibri" w:hAnsi="Calibri" w:eastAsia="等线"/>
                <w:b/>
                <w:color w:val="1F1F1F"/>
                <w:sz w:val="17"/>
              </w:rPr>
              <w:t>Address/Length</w:t>
            </w:r>
          </w:p>
        </w:tc>
        <w:tc>
          <w:tcPr>
            <w:tcW w:type="dxa" w:w="2100"/>
          </w:tcPr>
          <w:p>
            <w:pPr>
              <w:spacing w:after="0" w:line="240" w:lineRule="auto"/>
            </w:pPr>
            <w:r>
              <w:rPr>
                <w:rFonts w:ascii="Calibri" w:hAnsi="Calibri" w:eastAsia="等线"/>
                <w:b w:val="0"/>
                <w:color w:val="1F1F1F"/>
                <w:sz w:val="17"/>
              </w:rPr>
              <w:t>字节地址/字节数</w:t>
            </w:r>
          </w:p>
        </w:tc>
        <w:tc>
          <w:tcPr>
            <w:tcW w:type="dxa" w:w="5560"/>
          </w:tcPr>
          <w:p>
            <w:pPr>
              <w:spacing w:after="0" w:line="240" w:lineRule="auto"/>
            </w:pPr>
            <w:r>
              <w:rPr>
                <w:rFonts w:ascii="Calibri" w:hAnsi="Calibri" w:eastAsia="等线"/>
                <w:b w:val="0"/>
                <w:color w:val="1F1F1F"/>
                <w:sz w:val="17"/>
              </w:rPr>
              <w:t>跨映射边界时必须先分段。</w:t>
            </w:r>
          </w:p>
        </w:tc>
      </w:tr>
      <w:tr>
        <w:tc>
          <w:tcPr>
            <w:tcW w:type="dxa" w:w="1700"/>
          </w:tcPr>
          <w:p>
            <w:pPr>
              <w:spacing w:after="0" w:line="240" w:lineRule="auto"/>
            </w:pPr>
            <w:r>
              <w:rPr>
                <w:rFonts w:ascii="Calibri" w:hAnsi="Calibri" w:eastAsia="等线"/>
                <w:b/>
                <w:color w:val="1F1F1F"/>
                <w:sz w:val="17"/>
              </w:rPr>
              <w:t>Seq/BeatIndex/Last</w:t>
            </w:r>
          </w:p>
        </w:tc>
        <w:tc>
          <w:tcPr>
            <w:tcW w:type="dxa" w:w="2100"/>
          </w:tcPr>
          <w:p>
            <w:pPr>
              <w:spacing w:after="0" w:line="240" w:lineRule="auto"/>
            </w:pPr>
            <w:r>
              <w:rPr>
                <w:rFonts w:ascii="Calibri" w:hAnsi="Calibri" w:eastAsia="等线"/>
                <w:b w:val="0"/>
                <w:color w:val="1F1F1F"/>
                <w:sz w:val="17"/>
              </w:rPr>
              <w:t>整数/布尔</w:t>
            </w:r>
          </w:p>
        </w:tc>
        <w:tc>
          <w:tcPr>
            <w:tcW w:type="dxa" w:w="5560"/>
          </w:tcPr>
          <w:p>
            <w:pPr>
              <w:spacing w:after="0" w:line="240" w:lineRule="auto"/>
            </w:pPr>
            <w:r>
              <w:rPr>
                <w:rFonts w:ascii="Calibri" w:hAnsi="Calibri" w:eastAsia="等线"/>
                <w:b w:val="0"/>
                <w:color w:val="1F1F1F"/>
                <w:sz w:val="17"/>
              </w:rPr>
              <w:t>标识多段数据和多响应完成条件。</w:t>
            </w:r>
          </w:p>
        </w:tc>
      </w:tr>
      <w:tr>
        <w:tc>
          <w:tcPr>
            <w:tcW w:type="dxa" w:w="1700"/>
          </w:tcPr>
          <w:p>
            <w:pPr>
              <w:spacing w:after="0" w:line="240" w:lineRule="auto"/>
            </w:pPr>
            <w:r>
              <w:rPr>
                <w:rFonts w:ascii="Calibri" w:hAnsi="Calibri" w:eastAsia="等线"/>
                <w:b/>
                <w:color w:val="1F1F1F"/>
                <w:sz w:val="17"/>
              </w:rPr>
              <w:t>ExpectedRsp</w:t>
            </w:r>
          </w:p>
        </w:tc>
        <w:tc>
          <w:tcPr>
            <w:tcW w:type="dxa" w:w="2100"/>
          </w:tcPr>
          <w:p>
            <w:pPr>
              <w:spacing w:after="0" w:line="240" w:lineRule="auto"/>
            </w:pPr>
            <w:r>
              <w:rPr>
                <w:rFonts w:ascii="Calibri" w:hAnsi="Calibri" w:eastAsia="等线"/>
                <w:b w:val="0"/>
                <w:color w:val="1F1F1F"/>
                <w:sz w:val="17"/>
              </w:rPr>
              <w:t>正整数</w:t>
            </w:r>
          </w:p>
        </w:tc>
        <w:tc>
          <w:tcPr>
            <w:tcW w:type="dxa" w:w="5560"/>
          </w:tcPr>
          <w:p>
            <w:pPr>
              <w:spacing w:after="0" w:line="240" w:lineRule="auto"/>
            </w:pPr>
            <w:r>
              <w:rPr>
                <w:rFonts w:ascii="Calibri" w:hAnsi="Calibri" w:eastAsia="等线"/>
                <w:b w:val="0"/>
                <w:color w:val="1F1F1F"/>
                <w:sz w:val="17"/>
              </w:rPr>
              <w:t>父事务预计终结所需的响应数，发出后不可静默更改。</w:t>
            </w:r>
          </w:p>
        </w:tc>
      </w:tr>
      <w:tr>
        <w:tc>
          <w:tcPr>
            <w:tcW w:type="dxa" w:w="1700"/>
          </w:tcPr>
          <w:p>
            <w:pPr>
              <w:spacing w:after="0" w:line="240" w:lineRule="auto"/>
            </w:pPr>
            <w:r>
              <w:rPr>
                <w:rFonts w:ascii="Calibri" w:hAnsi="Calibri" w:eastAsia="等线"/>
                <w:b/>
                <w:color w:val="1F1F1F"/>
                <w:sz w:val="17"/>
              </w:rPr>
              <w:t>OrderDomain/QoS</w:t>
            </w:r>
          </w:p>
        </w:tc>
        <w:tc>
          <w:tcPr>
            <w:tcW w:type="dxa" w:w="2100"/>
          </w:tcPr>
          <w:p>
            <w:pPr>
              <w:spacing w:after="0" w:line="240" w:lineRule="auto"/>
            </w:pPr>
            <w:r>
              <w:rPr>
                <w:rFonts w:ascii="Calibri" w:hAnsi="Calibri" w:eastAsia="等线"/>
                <w:b w:val="0"/>
                <w:color w:val="1F1F1F"/>
                <w:sz w:val="17"/>
              </w:rPr>
              <w:t>可选枚举</w:t>
            </w:r>
          </w:p>
        </w:tc>
        <w:tc>
          <w:tcPr>
            <w:tcW w:type="dxa" w:w="5560"/>
          </w:tcPr>
          <w:p>
            <w:pPr>
              <w:spacing w:after="0" w:line="240" w:lineRule="auto"/>
            </w:pPr>
            <w:r>
              <w:rPr>
                <w:rFonts w:ascii="Calibri" w:hAnsi="Calibri" w:eastAsia="等线"/>
                <w:b w:val="0"/>
                <w:color w:val="1F1F1F"/>
                <w:sz w:val="17"/>
              </w:rPr>
              <w:t>只有在评审定义后参与仲裁或完成提交。</w:t>
            </w:r>
          </w:p>
        </w:tc>
      </w:tr>
      <w:tr>
        <w:tc>
          <w:tcPr>
            <w:tcW w:type="dxa" w:w="1700"/>
          </w:tcPr>
          <w:p>
            <w:pPr>
              <w:spacing w:after="0" w:line="240" w:lineRule="auto"/>
            </w:pPr>
            <w:r>
              <w:rPr>
                <w:rFonts w:ascii="Calibri" w:hAnsi="Calibri" w:eastAsia="等线"/>
                <w:b/>
                <w:color w:val="1F1F1F"/>
                <w:sz w:val="17"/>
              </w:rPr>
              <w:t>Status</w:t>
            </w:r>
          </w:p>
        </w:tc>
        <w:tc>
          <w:tcPr>
            <w:tcW w:type="dxa" w:w="2100"/>
          </w:tcPr>
          <w:p>
            <w:pPr>
              <w:spacing w:after="0" w:line="240" w:lineRule="auto"/>
            </w:pPr>
            <w:r>
              <w:rPr>
                <w:rFonts w:ascii="Calibri" w:hAnsi="Calibri" w:eastAsia="等线"/>
                <w:b w:val="0"/>
                <w:color w:val="1F1F1F"/>
                <w:sz w:val="17"/>
              </w:rPr>
              <w:t>枚举</w:t>
            </w:r>
          </w:p>
        </w:tc>
        <w:tc>
          <w:tcPr>
            <w:tcW w:type="dxa" w:w="5560"/>
          </w:tcPr>
          <w:p>
            <w:pPr>
              <w:spacing w:after="0" w:line="240" w:lineRule="auto"/>
            </w:pPr>
            <w:r>
              <w:rPr>
                <w:rFonts w:ascii="Calibri" w:hAnsi="Calibri" w:eastAsia="等线"/>
                <w:b w:val="0"/>
                <w:color w:val="1F1F1F"/>
                <w:sz w:val="17"/>
              </w:rPr>
              <w:t>OK、ERROR、TIMEOUT、CANCEL等终结状态；首版至少支持OK/ERROR。</w:t>
            </w:r>
          </w:p>
        </w:tc>
      </w:tr>
    </w:tbl>
    <w:p>
      <w:pPr>
        <w:spacing w:after="0"/>
      </w:pPr>
    </w:p>
    <w:p>
      <w:pPr>
        <w:pStyle w:val="Heading2"/>
      </w:pPr>
      <w:r>
        <w:t>6.3 资源所有权与接口不变量</w:t>
      </w:r>
    </w:p>
    <w:p>
      <w:pPr>
        <w:keepLines w:val="0"/>
        <w:widowControl/>
        <w:spacing w:after="120"/>
      </w:pPr>
      <w:r>
        <w:rPr>
          <w:rFonts w:ascii="Calibri" w:hAnsi="Calibri" w:eastAsia="等线"/>
          <w:color w:val="1F1F1F"/>
        </w:rPr>
        <w:t>每类有限资源只有一个权威所有者：Master OSD由Master网络接口拥有；Router FIFO和仲裁状态由对应Ring Router拥有；链路序列化和在途容量由Ring Link拥有；Target Credit由Target网络接口与Target服务模型按协议共同维护但只有一个权威计数；Target服务并发由Target服务模型拥有。其他模块可以读取镜像或统计，但不得直接增减权威计数。</w:t>
      </w:r>
    </w:p>
    <w:p>
      <w:pPr>
        <w:keepLines w:val="0"/>
        <w:widowControl/>
        <w:spacing w:after="120"/>
      </w:pPr>
      <w:r>
        <w:rPr>
          <w:rFonts w:ascii="Calibri" w:hAnsi="Calibri" w:eastAsia="等线"/>
          <w:color w:val="1F1F1F"/>
        </w:rPr>
        <w:t>接口采用保留式握手语义：发送方在vld=1且ready=0期间必须保持事务身份、类型、长度和payload引用稳定；只有握手成功后才允许出队或复用payload。接收方ready必须由实际容量决定，不能先接受再依靠丢弃恢复。任一接口状态变化都需要触发与其相邻的调度器重新评估，保证持续vld能够在下游恢复后自动前进。</w:t>
      </w:r>
    </w:p>
    <w:p>
      <w:pPr>
        <w:pStyle w:val="Heading1"/>
      </w:pPr>
      <w:r>
        <w:t>7 读写事务和数据流</w:t>
      </w:r>
    </w:p>
    <w:p>
      <w:pPr>
        <w:pStyle w:val="Heading2"/>
      </w:pPr>
      <w:r>
        <w:t>7.1 事务标识、分段与关联</w:t>
      </w:r>
    </w:p>
    <w:p>
      <w:pPr>
        <w:keepLines w:val="0"/>
        <w:widowControl/>
        <w:spacing w:after="120"/>
      </w:pPr>
      <w:r>
        <w:rPr>
          <w:rFonts w:ascii="Calibri" w:hAnsi="Calibri" w:eastAsia="等线"/>
          <w:color w:val="1F1F1F"/>
        </w:rPr>
        <w:t>每个被模型接受的父事务由TxnKey={MasterID, LocalTxnID, Epoch}唯一标识。地址映射导致的分段、写数据beat和多路读响应在TxnKey基础上使用SegmentID、BeatIndex或Seq编号。响应必须携带TxnKey及其分段信息，禁止依赖返回顺序查找事务。事务追踪表记录请求类型、地址、总长度、Target集合、ExpectedRsp、ReceivedRsp、错误状态和资源占用标志，任何响应只能使其对应事务的单一状态边发生一次。</w:t>
      </w:r>
    </w:p>
    <w:p>
      <w:pPr>
        <w:keepLines w:val="0"/>
        <w:widowControl/>
        <w:spacing w:after="120"/>
      </w:pPr>
      <w:r>
        <w:rPr>
          <w:rFonts w:ascii="Calibri" w:hAnsi="Calibri" w:eastAsia="等线"/>
          <w:color w:val="1F1F1F"/>
        </w:rPr>
        <w:t>跨interleave粒度、Target地址域或最大传输长度的访问由流量源适配层或Master网络接口先分割为子事务。父事务只有在全部子事务终结且响应被上游接受后完成；任一子事务错误必须按协议聚合为父事务终结状态。ExpectedRsp在事务首次接受时确定，若Target内部再拆分，必须通过显式接口更新期望计数且保证原子性，不能由最后到达的响应隐式猜测。</w:t>
      </w:r>
    </w:p>
    <w:p>
      <w:pPr>
        <w:pStyle w:val="Heading2"/>
      </w:pPr>
      <w:r>
        <w:t>7.2 读事务</w:t>
      </w:r>
    </w:p>
    <w:p>
      <w:pPr>
        <w:keepLines w:val="0"/>
        <w:widowControl/>
        <w:spacing w:after="120"/>
      </w:pPr>
      <w:r>
        <w:rPr>
          <w:rFonts w:ascii="Calibri" w:hAnsi="Calibri" w:eastAsia="等线"/>
          <w:color w:val="1F1F1F"/>
        </w:rPr>
        <w:t>读事务从Master Request Interface进入。Master网络接口检查格式、地址映射和读OSD；接受后分配事务上下文并将READ_REQ置入请求FIFO。请求经过本地注入、逐跳Ring和Target网络接口，在Target Credit可用时提交Target服务模型。Target完成后生成一个或多个READ_RSP，响应沿Ring Response Channel返回。每个响应被Master网络接口接收时更新ReceivedRsp和错误状态；只有ReceivedRsp等于ExpectedRsp且所有Last/Seq一致性检查通过，并且最终聚合响应被上游接受，事务才进入COMPLETED并释放Master OSD。</w:t>
      </w:r>
    </w:p>
    <w:p>
      <w:pPr>
        <w:pStyle w:val="Heading3"/>
      </w:pPr>
      <w:r>
        <w:t>读事务准入与完成机制</w:t>
      </w:r>
    </w:p>
    <w:p>
      <w:pPr>
        <w:spacing w:after="80"/>
        <w:ind w:left="115"/>
      </w:pPr>
      <w:r>
        <w:rPr>
          <w:rFonts w:ascii="Calibri" w:hAnsi="Calibri" w:eastAsia="等线"/>
          <w:b/>
          <w:color w:val="1F4E79"/>
        </w:rPr>
        <w:t>触发条件：</w:t>
      </w:r>
      <w:r>
        <w:rPr>
          <w:rFonts w:ascii="Calibri" w:hAnsi="Calibri" w:eastAsia="等线"/>
          <w:color w:val="1F1F1F"/>
        </w:rPr>
        <w:t>上游以vld提交合法READ_REQ，且地址可映射、事务ID不冲突。</w:t>
      </w:r>
    </w:p>
    <w:p>
      <w:pPr>
        <w:spacing w:after="80"/>
        <w:ind w:left="115"/>
      </w:pPr>
      <w:r>
        <w:rPr>
          <w:rFonts w:ascii="Calibri" w:hAnsi="Calibri" w:eastAsia="等线"/>
          <w:b/>
          <w:color w:val="1F4E79"/>
        </w:rPr>
        <w:t>占用资源：</w:t>
      </w:r>
      <w:r>
        <w:rPr>
          <w:rFonts w:ascii="Calibri" w:hAnsi="Calibri" w:eastAsia="等线"/>
          <w:color w:val="1F1F1F"/>
        </w:rPr>
        <w:t>接受时占用一个读Master OSD、一个事务追踪表项及请求FIFO表项；到达Target后再占用Target Credit和服务队列。</w:t>
      </w:r>
    </w:p>
    <w:p>
      <w:pPr>
        <w:spacing w:after="80"/>
        <w:ind w:left="115"/>
      </w:pPr>
      <w:r>
        <w:rPr>
          <w:rFonts w:ascii="Calibri" w:hAnsi="Calibri" w:eastAsia="等线"/>
          <w:b/>
          <w:color w:val="1F4E79"/>
        </w:rPr>
        <w:t>状态变化：</w:t>
      </w:r>
      <w:r>
        <w:rPr>
          <w:rFonts w:ascii="Calibri" w:hAnsi="Calibri" w:eastAsia="等线"/>
          <w:color w:val="1F1F1F"/>
        </w:rPr>
        <w:t>NEW→ACCEPTED→IN_RING→AT_TARGET→RESPONDING→COMPLETED/ERROR；每个响应使ReceivedRsp单调增加。</w:t>
      </w:r>
    </w:p>
    <w:p>
      <w:pPr>
        <w:spacing w:after="80"/>
        <w:ind w:left="115"/>
      </w:pPr>
      <w:r>
        <w:rPr>
          <w:rFonts w:ascii="Calibri" w:hAnsi="Calibri" w:eastAsia="等线"/>
          <w:b/>
          <w:color w:val="1F4E79"/>
        </w:rPr>
        <w:t>阻塞条件：</w:t>
      </w:r>
      <w:r>
        <w:rPr>
          <w:rFonts w:ascii="Calibri" w:hAnsi="Calibri" w:eastAsia="等线"/>
          <w:color w:val="1F1F1F"/>
        </w:rPr>
        <w:t>读OSD耗尽、请求FIFO满、下游链路不可接收、Target Credit为0、响应FIFO满或上游不接收。</w:t>
      </w:r>
    </w:p>
    <w:p>
      <w:pPr>
        <w:spacing w:after="80"/>
        <w:ind w:left="115"/>
      </w:pPr>
      <w:r>
        <w:rPr>
          <w:rFonts w:ascii="Calibri" w:hAnsi="Calibri" w:eastAsia="等线"/>
          <w:b/>
          <w:color w:val="1F4E79"/>
        </w:rPr>
        <w:t>资源释放条件：</w:t>
      </w:r>
      <w:r>
        <w:rPr>
          <w:rFonts w:ascii="Calibri" w:hAnsi="Calibri" w:eastAsia="等线"/>
          <w:color w:val="1F1F1F"/>
        </w:rPr>
        <w:t>Target Credit在Target占用真正结束时释放；读Master OSD仅在最后一个终结响应被上游接受时释放；各级FIFO在握手成功后释放。</w:t>
      </w:r>
    </w:p>
    <w:p>
      <w:pPr>
        <w:spacing w:after="80"/>
        <w:ind w:left="115"/>
      </w:pPr>
      <w:r>
        <w:rPr>
          <w:rFonts w:ascii="Calibri" w:hAnsi="Calibri" w:eastAsia="等线"/>
          <w:b/>
          <w:color w:val="1F4E79"/>
        </w:rPr>
        <w:t>边界场景：</w:t>
      </w:r>
      <w:r>
        <w:rPr>
          <w:rFonts w:ascii="Calibri" w:hAnsi="Calibri" w:eastAsia="等线"/>
          <w:color w:val="1F1F1F"/>
        </w:rPr>
        <w:t>零长度、跨Target分段、重复/越界Seq、响应丢失、错误与正常响应混合、ID回绕和上游长期不接收必须有确定处理。</w:t>
      </w:r>
    </w:p>
    <w:p>
      <w:pPr>
        <w:spacing w:after="140"/>
        <w:ind w:left="115"/>
      </w:pPr>
      <w:r>
        <w:rPr>
          <w:rFonts w:ascii="Calibri" w:hAnsi="Calibri" w:eastAsia="等线"/>
          <w:b/>
          <w:color w:val="1F4E79"/>
        </w:rPr>
        <w:t>性能与精度影响：</w:t>
      </w:r>
      <w:r>
        <w:rPr>
          <w:rFonts w:ascii="Calibri" w:hAnsi="Calibri" w:eastAsia="等线"/>
          <w:color w:val="1F1F1F"/>
        </w:rPr>
        <w:t>过早释放OSD会高估源端并发，过晚释放Target Credit会低估Target吞吐；多响应计数错误会导致资源泄漏或提前完成。</w:t>
      </w:r>
    </w:p>
    <w:p>
      <w:pPr>
        <w:pStyle w:val="Heading2"/>
      </w:pPr>
      <w:r>
        <w:t>7.3 写事务</w:t>
      </w:r>
    </w:p>
    <w:p>
      <w:pPr>
        <w:keepLines w:val="0"/>
        <w:widowControl/>
        <w:spacing w:after="120"/>
      </w:pPr>
      <w:r>
        <w:rPr>
          <w:rFonts w:ascii="Calibri" w:hAnsi="Calibri" w:eastAsia="等线"/>
          <w:color w:val="1F1F1F"/>
        </w:rPr>
        <w:t>写事务的请求头和写数据在逻辑上解耦，但必须由TxnKey和可选DataTag绑定。为避免Target在未知缓冲能力下接收无处存放的数据，本稿建议首版采用WRITE_REQ→WRITE_GRANT→WRITE_DATA→WRITE_COMPLETE。WRITE_REQ获得Target侧写上下文后返回WRITE_GRANT及DataTag；Master网络接口随后发送一个或多个WRITE_DATA；Target只有在全部数据接收并完成服务后返回WRITE_COMPLETE。若评审确认硬件允许请求与数据同时或数据先行，则必须同时定义数据暂存容量、乱序匹配、超时和Credit占用。</w:t>
      </w:r>
    </w:p>
    <w:p>
      <w:pPr>
        <w:keepLines w:val="0"/>
        <w:widowControl/>
        <w:spacing w:after="120"/>
      </w:pPr>
      <w:r>
        <w:rPr>
          <w:rFonts w:ascii="Calibri" w:hAnsi="Calibri" w:eastAsia="等线"/>
          <w:color w:val="1F1F1F"/>
        </w:rPr>
        <w:t>写Master OSD在WRITE_REQ被源端接受时占用，并贯穿授权、数据和完成阶段。WRITE_GRANT不是终结响应，不释放Master OSD；Target写Credit是否在请求阶段占用、在数据接收后释放还是在服务完成后释放，必须与硬件缓冲定义一致。建议默认在Target网络接口成功建立写上下文时占用，并在Target不再持有该写事务的命令、数据或服务资源时释放。</w:t>
      </w:r>
    </w:p>
    <w:p>
      <w:pPr>
        <w:pStyle w:val="Heading3"/>
      </w:pPr>
      <w:r>
        <w:t>写请求、写数据与完成机制</w:t>
      </w:r>
    </w:p>
    <w:p>
      <w:pPr>
        <w:spacing w:after="80"/>
        <w:ind w:left="115"/>
      </w:pPr>
      <w:r>
        <w:rPr>
          <w:rFonts w:ascii="Calibri" w:hAnsi="Calibri" w:eastAsia="等线"/>
          <w:b/>
          <w:color w:val="1F4E79"/>
        </w:rPr>
        <w:t>触发条件：</w:t>
      </w:r>
      <w:r>
        <w:rPr>
          <w:rFonts w:ascii="Calibri" w:hAnsi="Calibri" w:eastAsia="等线"/>
          <w:color w:val="1F1F1F"/>
        </w:rPr>
        <w:t>上游提交WRITE_REQ；写授权返回后写数据FIFO具有对应TxnKey/DataTag的vld数据。</w:t>
      </w:r>
    </w:p>
    <w:p>
      <w:pPr>
        <w:spacing w:after="80"/>
        <w:ind w:left="115"/>
      </w:pPr>
      <w:r>
        <w:rPr>
          <w:rFonts w:ascii="Calibri" w:hAnsi="Calibri" w:eastAsia="等线"/>
          <w:b/>
          <w:color w:val="1F4E79"/>
        </w:rPr>
        <w:t>占用资源：</w:t>
      </w:r>
      <w:r>
        <w:rPr>
          <w:rFonts w:ascii="Calibri" w:hAnsi="Calibri" w:eastAsia="等线"/>
          <w:color w:val="1F1F1F"/>
        </w:rPr>
        <w:t>写Master OSD、事务追踪表、写请求FIFO；Target准入后占用写Credit/上下文；WRITE_DATA占用数据FIFO、链路字节和Target数据缓冲。</w:t>
      </w:r>
    </w:p>
    <w:p>
      <w:pPr>
        <w:spacing w:after="80"/>
        <w:ind w:left="115"/>
      </w:pPr>
      <w:r>
        <w:rPr>
          <w:rFonts w:ascii="Calibri" w:hAnsi="Calibri" w:eastAsia="等线"/>
          <w:b/>
          <w:color w:val="1F4E79"/>
        </w:rPr>
        <w:t>状态变化：</w:t>
      </w:r>
      <w:r>
        <w:rPr>
          <w:rFonts w:ascii="Calibri" w:hAnsi="Calibri" w:eastAsia="等线"/>
          <w:color w:val="1F1F1F"/>
        </w:rPr>
        <w:t>NEW→REQ_ACCEPTED→GRANTED→DATA_IN_PROGRESS→SERVICE→COMPLETED/ERROR；DataBeatCount和ExpectedBeat必须单调闭合。</w:t>
      </w:r>
    </w:p>
    <w:p>
      <w:pPr>
        <w:spacing w:after="80"/>
        <w:ind w:left="115"/>
      </w:pPr>
      <w:r>
        <w:rPr>
          <w:rFonts w:ascii="Calibri" w:hAnsi="Calibri" w:eastAsia="等线"/>
          <w:b/>
          <w:color w:val="1F4E79"/>
        </w:rPr>
        <w:t>阻塞条件：</w:t>
      </w:r>
      <w:r>
        <w:rPr>
          <w:rFonts w:ascii="Calibri" w:hAnsi="Calibri" w:eastAsia="等线"/>
          <w:color w:val="1F1F1F"/>
        </w:rPr>
        <w:t>写OSD或请求FIFO满、未获得Grant、DataTag不匹配、写数据FIFO/链路/Target数据缓冲满、Target服务不可用或完成响应受阻。</w:t>
      </w:r>
    </w:p>
    <w:p>
      <w:pPr>
        <w:spacing w:after="80"/>
        <w:ind w:left="115"/>
      </w:pPr>
      <w:r>
        <w:rPr>
          <w:rFonts w:ascii="Calibri" w:hAnsi="Calibri" w:eastAsia="等线"/>
          <w:b/>
          <w:color w:val="1F4E79"/>
        </w:rPr>
        <w:t>资源释放条件：</w:t>
      </w:r>
      <w:r>
        <w:rPr>
          <w:rFonts w:ascii="Calibri" w:hAnsi="Calibri" w:eastAsia="等线"/>
          <w:color w:val="1F1F1F"/>
        </w:rPr>
        <w:t>请求FIFO和数据FIFO各自在相应握手后释放；Target写Credit按已确认的真实占用结束点释放；写Master OSD在WRITE_COMPLETE/ERROR被上游接受后释放。</w:t>
      </w:r>
    </w:p>
    <w:p>
      <w:pPr>
        <w:spacing w:after="80"/>
        <w:ind w:left="115"/>
      </w:pPr>
      <w:r>
        <w:rPr>
          <w:rFonts w:ascii="Calibri" w:hAnsi="Calibri" w:eastAsia="等线"/>
          <w:b/>
          <w:color w:val="1F4E79"/>
        </w:rPr>
        <w:t>边界场景：</w:t>
      </w:r>
      <w:r>
        <w:rPr>
          <w:rFonts w:ascii="Calibri" w:hAnsi="Calibri" w:eastAsia="等线"/>
          <w:color w:val="1F1F1F"/>
        </w:rPr>
        <w:t>请求无数据、部分数据后超时、重复beat、Grant丢失、错误响应、跨Target写、上游撤销以及Target复位均需终结或排空规则。</w:t>
      </w:r>
    </w:p>
    <w:p>
      <w:pPr>
        <w:spacing w:after="140"/>
        <w:ind w:left="115"/>
      </w:pPr>
      <w:r>
        <w:rPr>
          <w:rFonts w:ascii="Calibri" w:hAnsi="Calibri" w:eastAsia="等线"/>
          <w:b/>
          <w:color w:val="1F4E79"/>
        </w:rPr>
        <w:t>性能与精度影响：</w:t>
      </w:r>
      <w:r>
        <w:rPr>
          <w:rFonts w:ascii="Calibri" w:hAnsi="Calibri" w:eastAsia="等线"/>
          <w:color w:val="1F1F1F"/>
        </w:rPr>
        <w:t>Grant往返会增加小写事务延迟但使Target缓冲约束可解释；若硬件实际上不需要Grant，校准可选择并行模式，不能用缩短固定延迟掩盖协议差异。</w:t>
      </w:r>
    </w:p>
    <w:p>
      <w:pPr>
        <w:pStyle w:val="Heading2"/>
      </w:pPr>
      <w:r>
        <w:t>7.4 请求、写数据和响应路径</w:t>
      </w:r>
    </w:p>
    <w:p>
      <w:pPr>
        <w:pStyle w:val="Heading3"/>
      </w:pPr>
      <w:r>
        <w:t>图纸设计说明：图3</w:t>
      </w:r>
    </w:p>
    <w:p>
      <w:pPr>
        <w:spacing w:after="80"/>
        <w:ind w:left="115"/>
      </w:pPr>
      <w:r>
        <w:rPr>
          <w:rFonts w:ascii="Calibri" w:hAnsi="Calibri" w:eastAsia="等线"/>
          <w:b/>
          <w:color w:val="1F4E79"/>
        </w:rPr>
        <w:t>目的：</w:t>
      </w:r>
      <w:r>
        <w:rPr>
          <w:rFonts w:ascii="Calibri" w:hAnsi="Calibri" w:eastAsia="等线"/>
          <w:color w:val="1F1F1F"/>
        </w:rPr>
        <w:t>明确读写事务的阶段、方向、关联字段和完成时点，审查多响应与两阶段写是否闭环。</w:t>
      </w:r>
    </w:p>
    <w:p>
      <w:pPr>
        <w:spacing w:after="80"/>
        <w:ind w:left="115"/>
      </w:pPr>
      <w:r>
        <w:rPr>
          <w:rFonts w:ascii="Calibri" w:hAnsi="Calibri" w:eastAsia="等线"/>
          <w:b/>
          <w:color w:val="1F4E79"/>
        </w:rPr>
        <w:t>模块与端口：</w:t>
      </w:r>
      <w:r>
        <w:rPr>
          <w:rFonts w:ascii="Calibri" w:hAnsi="Calibri" w:eastAsia="等线"/>
          <w:color w:val="1F1F1F"/>
        </w:rPr>
        <w:t>流量源适配层、Master网络接口、Ring传输平面、Target网络接口和Target服务模型依次连接；各阶段使用Master Request/Response Interface、Ring Request/Write Data/Response Channel和Target Request/Response Interface。</w:t>
      </w:r>
    </w:p>
    <w:p>
      <w:pPr>
        <w:spacing w:after="80"/>
        <w:ind w:left="115"/>
      </w:pPr>
      <w:r>
        <w:rPr>
          <w:rFonts w:ascii="Calibri" w:hAnsi="Calibri" w:eastAsia="等线"/>
          <w:b/>
          <w:color w:val="1F4E79"/>
        </w:rPr>
        <w:t>箭头关系：</w:t>
      </w:r>
      <w:r>
        <w:rPr>
          <w:rFonts w:ascii="Calibri" w:hAnsi="Calibri" w:eastAsia="等线"/>
          <w:color w:val="1F1F1F"/>
        </w:rPr>
        <w:t>READ_REQ和WRITE_REQ向Target传输；WRITE_GRANT先返回；WRITE_DATA再向Target传输；READ_RSP和WRITE_COMPLETE返回Master。</w:t>
      </w:r>
    </w:p>
    <w:p>
      <w:pPr>
        <w:spacing w:after="80"/>
        <w:ind w:left="115"/>
      </w:pPr>
      <w:r>
        <w:rPr>
          <w:rFonts w:ascii="Calibri" w:hAnsi="Calibri" w:eastAsia="等线"/>
          <w:b/>
          <w:color w:val="1F4E79"/>
        </w:rPr>
        <w:t>颜色与线型：</w:t>
      </w:r>
      <w:r>
        <w:rPr>
          <w:rFonts w:ascii="Calibri" w:hAnsi="Calibri" w:eastAsia="等线"/>
          <w:color w:val="1F1F1F"/>
        </w:rPr>
        <w:t>蓝色实线、橙色长虚线、绿色短虚线分别表示请求、写数据和响应；灰色控制路径未画入主事务序列。</w:t>
      </w:r>
    </w:p>
    <w:p>
      <w:pPr>
        <w:spacing w:after="120"/>
        <w:ind w:left="115"/>
      </w:pPr>
      <w:r>
        <w:rPr>
          <w:rFonts w:ascii="Calibri" w:hAnsi="Calibri" w:eastAsia="等线"/>
          <w:b/>
          <w:color w:val="1F4E79"/>
        </w:rPr>
        <w:t>专家确认问题：</w:t>
      </w:r>
      <w:r>
        <w:rPr>
          <w:rFonts w:ascii="Calibri" w:hAnsi="Calibri" w:eastAsia="等线"/>
          <w:color w:val="1F1F1F"/>
        </w:rPr>
        <w:t>写Grant是否为真实协议阶段、读多响应的粒度及错误终结是否需要单独响应类型。</w:t>
      </w:r>
    </w:p>
    <w:p>
      <w:pPr>
        <w:keepLines/>
        <w:spacing w:after="0"/>
        <w:jc w:val="center"/>
      </w:pPr>
      <w:r>
        <w:drawing>
          <wp:inline xmlns:a="http://schemas.openxmlformats.org/drawingml/2006/main" xmlns:pic="http://schemas.openxmlformats.org/drawingml/2006/picture">
            <wp:extent cx="5870448" cy="3354542"/>
            <wp:docPr id="3" name="Picture 3"/>
            <wp:cNvGraphicFramePr>
              <a:graphicFrameLocks noChangeAspect="1"/>
            </wp:cNvGraphicFramePr>
            <a:graphic>
              <a:graphicData uri="http://schemas.openxmlformats.org/drawingml/2006/picture">
                <pic:pic>
                  <pic:nvPicPr>
                    <pic:cNvPr id="0" name="03_transaction_paths.png"/>
                    <pic:cNvPicPr/>
                  </pic:nvPicPr>
                  <pic:blipFill>
                    <a:blip r:embed="rId13"/>
                    <a:stretch>
                      <a:fillRect/>
                    </a:stretch>
                  </pic:blipFill>
                  <pic:spPr>
                    <a:xfrm>
                      <a:off x="0" y="0"/>
                      <a:ext cx="5870448" cy="3354542"/>
                    </a:xfrm>
                    <a:prstGeom prst="rect"/>
                  </pic:spPr>
                </pic:pic>
              </a:graphicData>
            </a:graphic>
          </wp:inline>
        </w:drawing>
      </w:r>
    </w:p>
    <w:p>
      <w:pPr>
        <w:pStyle w:val="Caption"/>
      </w:pPr>
      <w:r>
        <w:rPr>
          <w:b/>
        </w:rPr>
        <w:t xml:space="preserve">图3  </w:t>
      </w:r>
      <w:r>
        <w:t>请求、写数据与响应路径</w:t>
      </w:r>
      <w:r>
        <w:t>（可编辑源：editable_diagrams/03_transaction_paths.svg）</w:t>
      </w:r>
    </w:p>
    <w:p>
      <w:pPr>
        <w:pStyle w:val="Heading2"/>
      </w:pPr>
      <w:r>
        <w:t>7.5 事务完成与资源不变量</w:t>
      </w:r>
    </w:p>
    <w:tbl>
      <w:tblPr>
        <w:tblStyle w:val="TableGrid"/>
        <w:tblW w:type="dxa" w:w="9360"/>
        <w:jc w:val="left"/>
        <w:tblLayout w:type="fixed"/>
        <w:tblLook w:firstColumn="1" w:firstRow="1" w:lastColumn="0" w:lastRow="0" w:noHBand="0" w:noVBand="1" w:val="04A0"/>
        <w:tblInd w:w="120" w:type="dxa"/>
      </w:tblPr>
      <w:tblGrid>
        <w:gridCol w:w="4100"/>
        <w:gridCol w:w="2300"/>
        <w:gridCol w:w="2960"/>
      </w:tblGrid>
      <w:tr>
        <w:trPr>
          <w:cantSplit/>
          <w:tblHeader w:val="true"/>
        </w:trPr>
        <w:tc>
          <w:tcPr>
            <w:tcW w:type="dxa" w:w="410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不变量</w:t>
            </w:r>
          </w:p>
        </w:tc>
        <w:tc>
          <w:tcPr>
            <w:tcW w:type="dxa" w:w="230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检查时点</w:t>
            </w:r>
          </w:p>
        </w:tc>
        <w:tc>
          <w:tcPr>
            <w:tcW w:type="dxa" w:w="296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失败含义</w:t>
            </w:r>
          </w:p>
        </w:tc>
      </w:tr>
      <w:tr>
        <w:tc>
          <w:tcPr>
            <w:tcW w:type="dxa" w:w="4100"/>
          </w:tcPr>
          <w:p>
            <w:pPr>
              <w:spacing w:after="0" w:line="240" w:lineRule="auto"/>
            </w:pPr>
            <w:r>
              <w:rPr>
                <w:rFonts w:ascii="Calibri" w:hAnsi="Calibri" w:eastAsia="等线"/>
                <w:b/>
                <w:color w:val="1F1F1F"/>
                <w:sz w:val="17"/>
              </w:rPr>
              <w:t>Accepted = Completed + InFlight + Aborted_with_terminal_response</w:t>
            </w:r>
          </w:p>
        </w:tc>
        <w:tc>
          <w:tcPr>
            <w:tcW w:type="dxa" w:w="2300"/>
          </w:tcPr>
          <w:p>
            <w:pPr>
              <w:spacing w:after="0" w:line="240" w:lineRule="auto"/>
            </w:pPr>
            <w:r>
              <w:rPr>
                <w:rFonts w:ascii="Calibri" w:hAnsi="Calibri" w:eastAsia="等线"/>
                <w:b w:val="0"/>
                <w:color w:val="1F1F1F"/>
                <w:sz w:val="17"/>
              </w:rPr>
              <w:t>周期检查与仿真结束</w:t>
            </w:r>
          </w:p>
        </w:tc>
        <w:tc>
          <w:tcPr>
            <w:tcW w:type="dxa" w:w="2960"/>
          </w:tcPr>
          <w:p>
            <w:pPr>
              <w:spacing w:after="0" w:line="240" w:lineRule="auto"/>
            </w:pPr>
            <w:r>
              <w:rPr>
                <w:rFonts w:ascii="Calibri" w:hAnsi="Calibri" w:eastAsia="等线"/>
                <w:b w:val="0"/>
                <w:color w:val="1F1F1F"/>
                <w:sz w:val="17"/>
              </w:rPr>
              <w:t>事务丢失、重复终结或计数域不一致</w:t>
            </w:r>
          </w:p>
        </w:tc>
      </w:tr>
      <w:tr>
        <w:tc>
          <w:tcPr>
            <w:tcW w:type="dxa" w:w="4100"/>
          </w:tcPr>
          <w:p>
            <w:pPr>
              <w:spacing w:after="0" w:line="240" w:lineRule="auto"/>
            </w:pPr>
            <w:r>
              <w:rPr>
                <w:rFonts w:ascii="Calibri" w:hAnsi="Calibri" w:eastAsia="等线"/>
                <w:b/>
                <w:color w:val="1F1F1F"/>
                <w:sz w:val="17"/>
              </w:rPr>
              <w:t>0 ≤ ReceivedRsp ≤ ExpectedRsp</w:t>
            </w:r>
          </w:p>
        </w:tc>
        <w:tc>
          <w:tcPr>
            <w:tcW w:type="dxa" w:w="2300"/>
          </w:tcPr>
          <w:p>
            <w:pPr>
              <w:spacing w:after="0" w:line="240" w:lineRule="auto"/>
            </w:pPr>
            <w:r>
              <w:rPr>
                <w:rFonts w:ascii="Calibri" w:hAnsi="Calibri" w:eastAsia="等线"/>
                <w:b w:val="0"/>
                <w:color w:val="1F1F1F"/>
                <w:sz w:val="17"/>
              </w:rPr>
              <w:t>每个读响应到达</w:t>
            </w:r>
          </w:p>
        </w:tc>
        <w:tc>
          <w:tcPr>
            <w:tcW w:type="dxa" w:w="2960"/>
          </w:tcPr>
          <w:p>
            <w:pPr>
              <w:spacing w:after="0" w:line="240" w:lineRule="auto"/>
            </w:pPr>
            <w:r>
              <w:rPr>
                <w:rFonts w:ascii="Calibri" w:hAnsi="Calibri" w:eastAsia="等线"/>
                <w:b w:val="0"/>
                <w:color w:val="1F1F1F"/>
                <w:sz w:val="17"/>
              </w:rPr>
              <w:t>重复响应、ExpectedRsp错误或上下文污染</w:t>
            </w:r>
          </w:p>
        </w:tc>
      </w:tr>
      <w:tr>
        <w:tc>
          <w:tcPr>
            <w:tcW w:type="dxa" w:w="4100"/>
          </w:tcPr>
          <w:p>
            <w:pPr>
              <w:spacing w:after="0" w:line="240" w:lineRule="auto"/>
            </w:pPr>
            <w:r>
              <w:rPr>
                <w:rFonts w:ascii="Calibri" w:hAnsi="Calibri" w:eastAsia="等线"/>
                <w:b/>
                <w:color w:val="1F1F1F"/>
                <w:sz w:val="17"/>
              </w:rPr>
              <w:t>0 ≤ ReceivedBeat ≤ ExpectedBeat</w:t>
            </w:r>
          </w:p>
        </w:tc>
        <w:tc>
          <w:tcPr>
            <w:tcW w:type="dxa" w:w="2300"/>
          </w:tcPr>
          <w:p>
            <w:pPr>
              <w:spacing w:after="0" w:line="240" w:lineRule="auto"/>
            </w:pPr>
            <w:r>
              <w:rPr>
                <w:rFonts w:ascii="Calibri" w:hAnsi="Calibri" w:eastAsia="等线"/>
                <w:b w:val="0"/>
                <w:color w:val="1F1F1F"/>
                <w:sz w:val="17"/>
              </w:rPr>
              <w:t>每个写数据beat到达</w:t>
            </w:r>
          </w:p>
        </w:tc>
        <w:tc>
          <w:tcPr>
            <w:tcW w:type="dxa" w:w="2960"/>
          </w:tcPr>
          <w:p>
            <w:pPr>
              <w:spacing w:after="0" w:line="240" w:lineRule="auto"/>
            </w:pPr>
            <w:r>
              <w:rPr>
                <w:rFonts w:ascii="Calibri" w:hAnsi="Calibri" w:eastAsia="等线"/>
                <w:b w:val="0"/>
                <w:color w:val="1F1F1F"/>
                <w:sz w:val="17"/>
              </w:rPr>
              <w:t>数据重放、越界或错误关联</w:t>
            </w:r>
          </w:p>
        </w:tc>
      </w:tr>
      <w:tr>
        <w:tc>
          <w:tcPr>
            <w:tcW w:type="dxa" w:w="4100"/>
          </w:tcPr>
          <w:p>
            <w:pPr>
              <w:spacing w:after="0" w:line="240" w:lineRule="auto"/>
            </w:pPr>
            <w:r>
              <w:rPr>
                <w:rFonts w:ascii="Calibri" w:hAnsi="Calibri" w:eastAsia="等线"/>
                <w:b/>
                <w:color w:val="1F1F1F"/>
                <w:sz w:val="17"/>
              </w:rPr>
              <w:t>每个资源acquire仅对应一次release</w:t>
            </w:r>
          </w:p>
        </w:tc>
        <w:tc>
          <w:tcPr>
            <w:tcW w:type="dxa" w:w="2300"/>
          </w:tcPr>
          <w:p>
            <w:pPr>
              <w:spacing w:after="0" w:line="240" w:lineRule="auto"/>
            </w:pPr>
            <w:r>
              <w:rPr>
                <w:rFonts w:ascii="Calibri" w:hAnsi="Calibri" w:eastAsia="等线"/>
                <w:b w:val="0"/>
                <w:color w:val="1F1F1F"/>
                <w:sz w:val="17"/>
              </w:rPr>
              <w:t>资源状态边变化</w:t>
            </w:r>
          </w:p>
        </w:tc>
        <w:tc>
          <w:tcPr>
            <w:tcW w:type="dxa" w:w="2960"/>
          </w:tcPr>
          <w:p>
            <w:pPr>
              <w:spacing w:after="0" w:line="240" w:lineRule="auto"/>
            </w:pPr>
            <w:r>
              <w:rPr>
                <w:rFonts w:ascii="Calibri" w:hAnsi="Calibri" w:eastAsia="等线"/>
                <w:b w:val="0"/>
                <w:color w:val="1F1F1F"/>
                <w:sz w:val="17"/>
              </w:rPr>
              <w:t>OSD/Credit/FIFO泄漏或过释放</w:t>
            </w:r>
          </w:p>
        </w:tc>
      </w:tr>
      <w:tr>
        <w:tc>
          <w:tcPr>
            <w:tcW w:type="dxa" w:w="4100"/>
          </w:tcPr>
          <w:p>
            <w:pPr>
              <w:spacing w:after="0" w:line="240" w:lineRule="auto"/>
            </w:pPr>
            <w:r>
              <w:rPr>
                <w:rFonts w:ascii="Calibri" w:hAnsi="Calibri" w:eastAsia="等线"/>
                <w:b/>
                <w:color w:val="1F1F1F"/>
                <w:sz w:val="17"/>
              </w:rPr>
              <w:t>无TxnKey重复处于在途</w:t>
            </w:r>
          </w:p>
        </w:tc>
        <w:tc>
          <w:tcPr>
            <w:tcW w:type="dxa" w:w="2300"/>
          </w:tcPr>
          <w:p>
            <w:pPr>
              <w:spacing w:after="0" w:line="240" w:lineRule="auto"/>
            </w:pPr>
            <w:r>
              <w:rPr>
                <w:rFonts w:ascii="Calibri" w:hAnsi="Calibri" w:eastAsia="等线"/>
                <w:b w:val="0"/>
                <w:color w:val="1F1F1F"/>
                <w:sz w:val="17"/>
              </w:rPr>
              <w:t>新请求接受</w:t>
            </w:r>
          </w:p>
        </w:tc>
        <w:tc>
          <w:tcPr>
            <w:tcW w:type="dxa" w:w="2960"/>
          </w:tcPr>
          <w:p>
            <w:pPr>
              <w:spacing w:after="0" w:line="240" w:lineRule="auto"/>
            </w:pPr>
            <w:r>
              <w:rPr>
                <w:rFonts w:ascii="Calibri" w:hAnsi="Calibri" w:eastAsia="等线"/>
                <w:b w:val="0"/>
                <w:color w:val="1F1F1F"/>
                <w:sz w:val="17"/>
              </w:rPr>
              <w:t>ID空间/回绕管理失效</w:t>
            </w:r>
          </w:p>
        </w:tc>
      </w:tr>
      <w:tr>
        <w:tc>
          <w:tcPr>
            <w:tcW w:type="dxa" w:w="4100"/>
          </w:tcPr>
          <w:p>
            <w:pPr>
              <w:spacing w:after="0" w:line="240" w:lineRule="auto"/>
            </w:pPr>
            <w:r>
              <w:rPr>
                <w:rFonts w:ascii="Calibri" w:hAnsi="Calibri" w:eastAsia="等线"/>
                <w:b/>
                <w:color w:val="1F1F1F"/>
                <w:sz w:val="17"/>
              </w:rPr>
              <w:t>payload在握手或终结前保持有效</w:t>
            </w:r>
          </w:p>
        </w:tc>
        <w:tc>
          <w:tcPr>
            <w:tcW w:type="dxa" w:w="2300"/>
          </w:tcPr>
          <w:p>
            <w:pPr>
              <w:spacing w:after="0" w:line="240" w:lineRule="auto"/>
            </w:pPr>
            <w:r>
              <w:rPr>
                <w:rFonts w:ascii="Calibri" w:hAnsi="Calibri" w:eastAsia="等线"/>
                <w:b w:val="0"/>
                <w:color w:val="1F1F1F"/>
                <w:sz w:val="17"/>
              </w:rPr>
              <w:t>每个阻塞周期</w:t>
            </w:r>
          </w:p>
        </w:tc>
        <w:tc>
          <w:tcPr>
            <w:tcW w:type="dxa" w:w="2960"/>
          </w:tcPr>
          <w:p>
            <w:pPr>
              <w:spacing w:after="0" w:line="240" w:lineRule="auto"/>
            </w:pPr>
            <w:r>
              <w:rPr>
                <w:rFonts w:ascii="Calibri" w:hAnsi="Calibri" w:eastAsia="等线"/>
                <w:b w:val="0"/>
                <w:color w:val="1F1F1F"/>
                <w:sz w:val="17"/>
              </w:rPr>
              <w:t>引用悬空、数据被复用或不确定行为</w:t>
            </w:r>
          </w:p>
        </w:tc>
      </w:tr>
      <w:tr>
        <w:tc>
          <w:tcPr>
            <w:tcW w:type="dxa" w:w="4100"/>
          </w:tcPr>
          <w:p>
            <w:pPr>
              <w:spacing w:after="0" w:line="240" w:lineRule="auto"/>
            </w:pPr>
            <w:r>
              <w:rPr>
                <w:rFonts w:ascii="Calibri" w:hAnsi="Calibri" w:eastAsia="等线"/>
                <w:b/>
                <w:color w:val="1F1F1F"/>
                <w:sz w:val="17"/>
              </w:rPr>
              <w:t>idle时所有队列、在途链路和事务表为空</w:t>
            </w:r>
          </w:p>
        </w:tc>
        <w:tc>
          <w:tcPr>
            <w:tcW w:type="dxa" w:w="2300"/>
          </w:tcPr>
          <w:p>
            <w:pPr>
              <w:spacing w:after="0" w:line="240" w:lineRule="auto"/>
            </w:pPr>
            <w:r>
              <w:rPr>
                <w:rFonts w:ascii="Calibri" w:hAnsi="Calibri" w:eastAsia="等线"/>
                <w:b w:val="0"/>
                <w:color w:val="1F1F1F"/>
                <w:sz w:val="17"/>
              </w:rPr>
              <w:t>排空/结束</w:t>
            </w:r>
          </w:p>
        </w:tc>
        <w:tc>
          <w:tcPr>
            <w:tcW w:type="dxa" w:w="2960"/>
          </w:tcPr>
          <w:p>
            <w:pPr>
              <w:spacing w:after="0" w:line="240" w:lineRule="auto"/>
            </w:pPr>
            <w:r>
              <w:rPr>
                <w:rFonts w:ascii="Calibri" w:hAnsi="Calibri" w:eastAsia="等线"/>
                <w:b w:val="0"/>
                <w:color w:val="1F1F1F"/>
                <w:sz w:val="17"/>
              </w:rPr>
              <w:t>唤醒丢失、死锁或资源泄漏</w:t>
            </w:r>
          </w:p>
        </w:tc>
      </w:tr>
    </w:tbl>
    <w:p>
      <w:pPr>
        <w:spacing w:after="0"/>
      </w:pPr>
    </w:p>
    <w:p>
      <w:pPr>
        <w:pStyle w:val="Heading1"/>
      </w:pPr>
      <w:r>
        <w:t>8 多核竞争、仲裁与交织</w:t>
      </w:r>
    </w:p>
    <w:p>
      <w:pPr>
        <w:pStyle w:val="Heading2"/>
      </w:pPr>
      <w:r>
        <w:t>8.1 竞争形成与共享资源</w:t>
      </w:r>
    </w:p>
    <w:p>
      <w:pPr>
        <w:keepLines w:val="0"/>
        <w:widowControl/>
        <w:spacing w:after="120"/>
      </w:pPr>
      <w:r>
        <w:rPr>
          <w:rFonts w:ascii="Calibri" w:hAnsi="Calibri" w:eastAsia="等线"/>
          <w:color w:val="1F1F1F"/>
        </w:rPr>
        <w:t>多核竞争必须发生在可识别的共享资源，而不能只表现为多个Master各自独立排队。共享点包括：同一Router输出端、同一方向Ring Link调度器、同一Target网络接口准入端、同一Target服务队列以及响应回程的共享链路。每个Master具有独立源端队列和OSD，但一旦路由汇聚到同一输出或Target，候选必须进入同一仲裁域。不同方向且不共享链路的事务可以并行，这也是Ring相对共享总线的空间并行来源。</w:t>
      </w:r>
    </w:p>
    <w:p>
      <w:pPr>
        <w:keepLines w:val="0"/>
        <w:widowControl/>
        <w:spacing w:after="120"/>
      </w:pPr>
      <w:r>
        <w:rPr>
          <w:rFonts w:ascii="Calibri" w:hAnsi="Calibri" w:eastAsia="等线"/>
          <w:color w:val="1F1F1F"/>
        </w:rPr>
        <w:t>模型禁止以下竞争绕过：为每个Master复制独立的Target带宽；以事件调用先后替代显式输出仲裁；在链路满时直接把包交给目的端；请求和响应分别使用无限带宽旁路而未在配置中声明；或在热点Target前只增加固定惩罚而不形成队列。热点瓶颈必须可在链路利用率、仲裁等待、FIFO占用、Credit耗尽或Target busy指标中被定位。</w:t>
      </w:r>
    </w:p>
    <w:p>
      <w:pPr>
        <w:pStyle w:val="Heading2"/>
      </w:pPr>
      <w:r>
        <w:t>8.2 路由与路径选择</w:t>
      </w:r>
    </w:p>
    <w:p>
      <w:pPr>
        <w:keepLines w:val="0"/>
        <w:widowControl/>
        <w:spacing w:after="120"/>
      </w:pPr>
      <w:r>
        <w:rPr>
          <w:rFonts w:ascii="Calibri" w:hAnsi="Calibri" w:eastAsia="等线"/>
          <w:color w:val="1F1F1F"/>
        </w:rPr>
        <w:t>默认路由为双向Ring上的确定性最短路径。路径计算以源节点、目的节点和Ring节点数为输入，返回CW或CCW方向及跳数。等距路径若固定选择单一方向会对对称流量形成系统性偏置，建议按TxnKey稳定散列选择方向，并提供‘固定CW、固定CCW、稳定散列’三种可配置策略。路径在事务段注入后保持不变，以避免中途改道带来的重排和依赖环。</w:t>
      </w:r>
    </w:p>
    <w:p>
      <w:pPr>
        <w:pStyle w:val="Heading3"/>
      </w:pPr>
      <w:r>
        <w:t>逐跳路由与链路转发机制</w:t>
      </w:r>
    </w:p>
    <w:p>
      <w:pPr>
        <w:spacing w:after="80"/>
        <w:ind w:left="115"/>
      </w:pPr>
      <w:r>
        <w:rPr>
          <w:rFonts w:ascii="Calibri" w:hAnsi="Calibri" w:eastAsia="等线"/>
          <w:b/>
          <w:color w:val="1F4E79"/>
        </w:rPr>
        <w:t>触发条件：</w:t>
      </w:r>
      <w:r>
        <w:rPr>
          <w:rFonts w:ascii="Calibri" w:hAnsi="Calibri" w:eastAsia="等线"/>
          <w:color w:val="1F1F1F"/>
        </w:rPr>
        <w:t>Router输入FIFO队头vld，且目的节点和Traffic Class有效。</w:t>
      </w:r>
    </w:p>
    <w:p>
      <w:pPr>
        <w:spacing w:after="80"/>
        <w:ind w:left="115"/>
      </w:pPr>
      <w:r>
        <w:rPr>
          <w:rFonts w:ascii="Calibri" w:hAnsi="Calibri" w:eastAsia="等线"/>
          <w:b/>
          <w:color w:val="1F4E79"/>
        </w:rPr>
        <w:t>占用资源：</w:t>
      </w:r>
      <w:r>
        <w:rPr>
          <w:rFonts w:ascii="Calibri" w:hAnsi="Calibri" w:eastAsia="等线"/>
          <w:color w:val="1F1F1F"/>
        </w:rPr>
        <w:t>候选占用一个输入队头；仲裁成功后占用目标输出、下游FIFO表项及Link序列化窗口。</w:t>
      </w:r>
    </w:p>
    <w:p>
      <w:pPr>
        <w:spacing w:after="80"/>
        <w:ind w:left="115"/>
      </w:pPr>
      <w:r>
        <w:rPr>
          <w:rFonts w:ascii="Calibri" w:hAnsi="Calibri" w:eastAsia="等线"/>
          <w:b/>
          <w:color w:val="1F4E79"/>
        </w:rPr>
        <w:t>状态变化：</w:t>
      </w:r>
      <w:r>
        <w:rPr>
          <w:rFonts w:ascii="Calibri" w:hAnsi="Calibri" w:eastAsia="等线"/>
          <w:color w:val="1F1F1F"/>
        </w:rPr>
        <w:t>队头由WAIT_ROUTE进入WAIT_OUTPUT，winner提交后进入IN_LINK；到达下一跳后进入新的输入FIFO或本地弹出。</w:t>
      </w:r>
    </w:p>
    <w:p>
      <w:pPr>
        <w:spacing w:after="80"/>
        <w:ind w:left="115"/>
      </w:pPr>
      <w:r>
        <w:rPr>
          <w:rFonts w:ascii="Calibri" w:hAnsi="Calibri" w:eastAsia="等线"/>
          <w:b/>
          <w:color w:val="1F4E79"/>
        </w:rPr>
        <w:t>阻塞条件：</w:t>
      </w:r>
      <w:r>
        <w:rPr>
          <w:rFonts w:ascii="Calibri" w:hAnsi="Calibri" w:eastAsia="等线"/>
          <w:color w:val="1F1F1F"/>
        </w:rPr>
        <w:t>下游FIFO满、Link在途容量满、next_free_cycle未到、同输出存在更高优先级winner，或本地Target/NI不可接收。</w:t>
      </w:r>
    </w:p>
    <w:p>
      <w:pPr>
        <w:spacing w:after="80"/>
        <w:ind w:left="115"/>
      </w:pPr>
      <w:r>
        <w:rPr>
          <w:rFonts w:ascii="Calibri" w:hAnsi="Calibri" w:eastAsia="等线"/>
          <w:b/>
          <w:color w:val="1F4E79"/>
        </w:rPr>
        <w:t>资源释放条件：</w:t>
      </w:r>
      <w:r>
        <w:rPr>
          <w:rFonts w:ascii="Calibri" w:hAnsi="Calibri" w:eastAsia="等线"/>
          <w:color w:val="1F1F1F"/>
        </w:rPr>
        <w:t>输入FIFO表项在下游握手成功时释放；Link在途表项在到达并被下游接受时释放；序列化窗口按包字节数自然到期。</w:t>
      </w:r>
    </w:p>
    <w:p>
      <w:pPr>
        <w:spacing w:after="80"/>
        <w:ind w:left="115"/>
      </w:pPr>
      <w:r>
        <w:rPr>
          <w:rFonts w:ascii="Calibri" w:hAnsi="Calibri" w:eastAsia="等线"/>
          <w:b/>
          <w:color w:val="1F4E79"/>
        </w:rPr>
        <w:t>边界场景：</w:t>
      </w:r>
      <w:r>
        <w:rPr>
          <w:rFonts w:ascii="Calibri" w:hAnsi="Calibri" w:eastAsia="等线"/>
          <w:color w:val="1F1F1F"/>
        </w:rPr>
        <w:t>源等于目的、等距路径、环节点数为1/2、超大协议段、配置热更新和目的端复位必须定义。</w:t>
      </w:r>
    </w:p>
    <w:p>
      <w:pPr>
        <w:spacing w:after="140"/>
        <w:ind w:left="115"/>
      </w:pPr>
      <w:r>
        <w:rPr>
          <w:rFonts w:ascii="Calibri" w:hAnsi="Calibri" w:eastAsia="等线"/>
          <w:b/>
          <w:color w:val="1F4E79"/>
        </w:rPr>
        <w:t>性能与精度影响：</w:t>
      </w:r>
      <w:r>
        <w:rPr>
          <w:rFonts w:ascii="Calibri" w:hAnsi="Calibri" w:eastAsia="等线"/>
          <w:color w:val="1F1F1F"/>
        </w:rPr>
        <w:t>路径选择改变热点位置和跳数；若输出仲裁不是原子winner选择，仿真事件顺序会造成不可校准的公平性误差。</w:t>
      </w:r>
    </w:p>
    <w:p>
      <w:pPr>
        <w:pStyle w:val="Heading2"/>
      </w:pPr>
      <w:r>
        <w:t>8.3 输出仲裁与公平性</w:t>
      </w:r>
    </w:p>
    <w:p>
      <w:pPr>
        <w:keepLines w:val="0"/>
        <w:widowControl/>
        <w:spacing w:after="120"/>
      </w:pPr>
      <w:r>
        <w:rPr>
          <w:rFonts w:ascii="Calibri" w:hAnsi="Calibri" w:eastAsia="等线"/>
          <w:color w:val="1F1F1F"/>
        </w:rPr>
        <w:t>仲裁分为源端注入仲裁、Router输出仲裁和Target准入仲裁。默认建议每个输出使用按Traffic Class分层的轮询：先在可服务流量类之间按可配置权重选择，再在同类输入之间Round-Robin；等待年龄超过starvation_threshold时进入逃逸优先级。固定优先级只用于复现明确的硬件QoS，不能作为通用默认。仲裁只对本周期资源可提交的候选排序，不应选择下游不可接收的候选并阻塞其他可前进候选，除非硬件存在严格HOL行为且需要建模。</w:t>
      </w:r>
    </w:p>
    <w:p>
      <w:pPr>
        <w:pStyle w:val="Heading3"/>
      </w:pPr>
      <w:r>
        <w:t>输出仲裁机制</w:t>
      </w:r>
    </w:p>
    <w:p>
      <w:pPr>
        <w:spacing w:after="80"/>
        <w:ind w:left="115"/>
      </w:pPr>
      <w:r>
        <w:rPr>
          <w:rFonts w:ascii="Calibri" w:hAnsi="Calibri" w:eastAsia="等线"/>
          <w:b/>
          <w:color w:val="1F4E79"/>
        </w:rPr>
        <w:t>触发条件：</w:t>
      </w:r>
      <w:r>
        <w:rPr>
          <w:rFonts w:ascii="Calibri" w:hAnsi="Calibri" w:eastAsia="等线"/>
          <w:color w:val="1F1F1F"/>
        </w:rPr>
        <w:t>两个或以上有效候选请求同一输出，或单一候选与链路可用窗口同时到达。</w:t>
      </w:r>
    </w:p>
    <w:p>
      <w:pPr>
        <w:spacing w:after="80"/>
        <w:ind w:left="115"/>
      </w:pPr>
      <w:r>
        <w:rPr>
          <w:rFonts w:ascii="Calibri" w:hAnsi="Calibri" w:eastAsia="等线"/>
          <w:b/>
          <w:color w:val="1F4E79"/>
        </w:rPr>
        <w:t>占用资源：</w:t>
      </w:r>
      <w:r>
        <w:rPr>
          <w:rFonts w:ascii="Calibri" w:hAnsi="Calibri" w:eastAsia="等线"/>
          <w:color w:val="1F1F1F"/>
        </w:rPr>
        <w:t>输出端本周期唯一grant、仲裁指针、权重余额、等待年龄及下游容量。</w:t>
      </w:r>
    </w:p>
    <w:p>
      <w:pPr>
        <w:spacing w:after="80"/>
        <w:ind w:left="115"/>
      </w:pPr>
      <w:r>
        <w:rPr>
          <w:rFonts w:ascii="Calibri" w:hAnsi="Calibri" w:eastAsia="等线"/>
          <w:b/>
          <w:color w:val="1F4E79"/>
        </w:rPr>
        <w:t>状态变化：</w:t>
      </w:r>
      <w:r>
        <w:rPr>
          <w:rFonts w:ascii="Calibri" w:hAnsi="Calibri" w:eastAsia="等线"/>
          <w:color w:val="1F1F1F"/>
        </w:rPr>
        <w:t>候选进入ARBITRATING；winner原子提交并更新指针/权重；loser保持队头、年龄增加且vld不撤销。</w:t>
      </w:r>
    </w:p>
    <w:p>
      <w:pPr>
        <w:spacing w:after="80"/>
        <w:ind w:left="115"/>
      </w:pPr>
      <w:r>
        <w:rPr>
          <w:rFonts w:ascii="Calibri" w:hAnsi="Calibri" w:eastAsia="等线"/>
          <w:b/>
          <w:color w:val="1F4E79"/>
        </w:rPr>
        <w:t>阻塞条件：</w:t>
      </w:r>
      <w:r>
        <w:rPr>
          <w:rFonts w:ascii="Calibri" w:hAnsi="Calibri" w:eastAsia="等线"/>
          <w:color w:val="1F1F1F"/>
        </w:rPr>
        <w:t>输出已被占用、下游不可接收、Traffic Class被带宽门控，或严格顺序依赖禁止越过。</w:t>
      </w:r>
    </w:p>
    <w:p>
      <w:pPr>
        <w:spacing w:after="80"/>
        <w:ind w:left="115"/>
      </w:pPr>
      <w:r>
        <w:rPr>
          <w:rFonts w:ascii="Calibri" w:hAnsi="Calibri" w:eastAsia="等线"/>
          <w:b/>
          <w:color w:val="1F4E79"/>
        </w:rPr>
        <w:t>资源释放条件：</w:t>
      </w:r>
      <w:r>
        <w:rPr>
          <w:rFonts w:ascii="Calibri" w:hAnsi="Calibri" w:eastAsia="等线"/>
          <w:color w:val="1F1F1F"/>
        </w:rPr>
        <w:t>grant在成功握手后释放；未提交的临时选择不消耗资源；年龄在成功或事务撤销时清零。</w:t>
      </w:r>
    </w:p>
    <w:p>
      <w:pPr>
        <w:spacing w:after="80"/>
        <w:ind w:left="115"/>
      </w:pPr>
      <w:r>
        <w:rPr>
          <w:rFonts w:ascii="Calibri" w:hAnsi="Calibri" w:eastAsia="等线"/>
          <w:b/>
          <w:color w:val="1F4E79"/>
        </w:rPr>
        <w:t>边界场景：</w:t>
      </w:r>
      <w:r>
        <w:rPr>
          <w:rFonts w:ascii="Calibri" w:hAnsi="Calibri" w:eastAsia="等线"/>
          <w:color w:val="1F1F1F"/>
        </w:rPr>
        <w:t>单候选、同周期新到达、权重为0、年龄溢出、响应优先导致请求饥饿和反压环需要验证。</w:t>
      </w:r>
    </w:p>
    <w:p>
      <w:pPr>
        <w:spacing w:after="140"/>
        <w:ind w:left="115"/>
      </w:pPr>
      <w:r>
        <w:rPr>
          <w:rFonts w:ascii="Calibri" w:hAnsi="Calibri" w:eastAsia="等线"/>
          <w:b/>
          <w:color w:val="1F4E79"/>
        </w:rPr>
        <w:t>性能与精度影响：</w:t>
      </w:r>
      <w:r>
        <w:rPr>
          <w:rFonts w:ascii="Calibri" w:hAnsi="Calibri" w:eastAsia="等线"/>
          <w:color w:val="1F1F1F"/>
        </w:rPr>
        <w:t>策略直接影响公平性、p95/p99和混合读写吞吐。应报告每Master服务份额、最大等待和Jain指数，不能只看总带宽。</w:t>
      </w:r>
    </w:p>
    <w:p>
      <w:pPr>
        <w:pStyle w:val="Heading2"/>
      </w:pPr>
      <w:r>
        <w:t>8.4 地址交织与热点</w:t>
      </w:r>
    </w:p>
    <w:p>
      <w:pPr>
        <w:keepLines w:val="0"/>
        <w:widowControl/>
        <w:spacing w:after="120"/>
      </w:pPr>
      <w:r>
        <w:rPr>
          <w:rFonts w:ascii="Calibri" w:hAnsi="Calibri" w:eastAsia="等线"/>
          <w:color w:val="1F1F1F"/>
        </w:rPr>
        <w:t>地址映射先执行地址域命中，再执行interleave。对连续线性交织，设粒度G、参与Target数N、地址域起点B，则stripe=floor((Address-B)/G)，TargetIndex=stripe mod N；Target内偏移由stripe/N和块内偏移组成。G必须是最小传输对齐的整数倍，建议限制为2的幂；事务跨G边界时先分段，禁止一个协议段在两个Target之间隐式拆分。可选XOR散列用于降低规则步长流量的别名热点，但会降低地址到Target的直观可解释性。</w:t>
      </w:r>
    </w:p>
    <w:p>
      <w:pPr>
        <w:pStyle w:val="Heading3"/>
      </w:pPr>
      <w:r>
        <w:t>地址解码与交织机制</w:t>
      </w:r>
    </w:p>
    <w:p>
      <w:pPr>
        <w:spacing w:after="80"/>
        <w:ind w:left="115"/>
      </w:pPr>
      <w:r>
        <w:rPr>
          <w:rFonts w:ascii="Calibri" w:hAnsi="Calibri" w:eastAsia="等线"/>
          <w:b/>
          <w:color w:val="1F4E79"/>
        </w:rPr>
        <w:t>触发条件：</w:t>
      </w:r>
      <w:r>
        <w:rPr>
          <w:rFonts w:ascii="Calibri" w:hAnsi="Calibri" w:eastAsia="等线"/>
          <w:color w:val="1F1F1F"/>
        </w:rPr>
        <w:t>请求完成格式检查并携带地址、长度和映射版本。</w:t>
      </w:r>
    </w:p>
    <w:p>
      <w:pPr>
        <w:spacing w:after="80"/>
        <w:ind w:left="115"/>
      </w:pPr>
      <w:r>
        <w:rPr>
          <w:rFonts w:ascii="Calibri" w:hAnsi="Calibri" w:eastAsia="等线"/>
          <w:b/>
          <w:color w:val="1F4E79"/>
        </w:rPr>
        <w:t>占用资源：</w:t>
      </w:r>
      <w:r>
        <w:rPr>
          <w:rFonts w:ascii="Calibri" w:hAnsi="Calibri" w:eastAsia="等线"/>
          <w:color w:val="1F1F1F"/>
        </w:rPr>
        <w:t>不占用传输容量；使用只读地址图、interleave配置和可选父事务分段上下文。</w:t>
      </w:r>
    </w:p>
    <w:p>
      <w:pPr>
        <w:spacing w:after="80"/>
        <w:ind w:left="115"/>
      </w:pPr>
      <w:r>
        <w:rPr>
          <w:rFonts w:ascii="Calibri" w:hAnsi="Calibri" w:eastAsia="等线"/>
          <w:b/>
          <w:color w:val="1F4E79"/>
        </w:rPr>
        <w:t>状态变化：</w:t>
      </w:r>
      <w:r>
        <w:rPr>
          <w:rFonts w:ascii="Calibri" w:hAnsi="Calibri" w:eastAsia="等线"/>
          <w:color w:val="1F1F1F"/>
        </w:rPr>
        <w:t>地址被解析为TargetID、目的节点、Target局部地址和Segment列表；结果在该段生命周期内不可改变。</w:t>
      </w:r>
    </w:p>
    <w:p>
      <w:pPr>
        <w:spacing w:after="80"/>
        <w:ind w:left="115"/>
      </w:pPr>
      <w:r>
        <w:rPr>
          <w:rFonts w:ascii="Calibri" w:hAnsi="Calibri" w:eastAsia="等线"/>
          <w:b/>
          <w:color w:val="1F4E79"/>
        </w:rPr>
        <w:t>阻塞条件：</w:t>
      </w:r>
      <w:r>
        <w:rPr>
          <w:rFonts w:ascii="Calibri" w:hAnsi="Calibri" w:eastAsia="等线"/>
          <w:color w:val="1F1F1F"/>
        </w:rPr>
        <w:t>地址无命中、重叠地址域、粒度非法、Target离线或分段数量超出上限。</w:t>
      </w:r>
    </w:p>
    <w:p>
      <w:pPr>
        <w:spacing w:after="80"/>
        <w:ind w:left="115"/>
      </w:pPr>
      <w:r>
        <w:rPr>
          <w:rFonts w:ascii="Calibri" w:hAnsi="Calibri" w:eastAsia="等线"/>
          <w:b/>
          <w:color w:val="1F4E79"/>
        </w:rPr>
        <w:t>资源释放条件：</w:t>
      </w:r>
      <w:r>
        <w:rPr>
          <w:rFonts w:ascii="Calibri" w:hAnsi="Calibri" w:eastAsia="等线"/>
          <w:color w:val="1F1F1F"/>
        </w:rPr>
        <w:t>映射本身无运行资源；父事务分段上下文随全部子事务终结释放。</w:t>
      </w:r>
    </w:p>
    <w:p>
      <w:pPr>
        <w:spacing w:after="80"/>
        <w:ind w:left="115"/>
      </w:pPr>
      <w:r>
        <w:rPr>
          <w:rFonts w:ascii="Calibri" w:hAnsi="Calibri" w:eastAsia="等线"/>
          <w:b/>
          <w:color w:val="1F4E79"/>
        </w:rPr>
        <w:t>边界场景：</w:t>
      </w:r>
      <w:r>
        <w:rPr>
          <w:rFonts w:ascii="Calibri" w:hAnsi="Calibri" w:eastAsia="等线"/>
          <w:color w:val="1F1F1F"/>
        </w:rPr>
        <w:t>未对齐、跨4KB/缓存行/Target边界、N非2次幂、地址回绕、动态重映射和XOR冲突需单独验证。</w:t>
      </w:r>
    </w:p>
    <w:p>
      <w:pPr>
        <w:spacing w:after="140"/>
        <w:ind w:left="115"/>
      </w:pPr>
      <w:r>
        <w:rPr>
          <w:rFonts w:ascii="Calibri" w:hAnsi="Calibri" w:eastAsia="等线"/>
          <w:b/>
          <w:color w:val="1F4E79"/>
        </w:rPr>
        <w:t>性能与精度影响：</w:t>
      </w:r>
      <w:r>
        <w:rPr>
          <w:rFonts w:ascii="Calibri" w:hAnsi="Calibri" w:eastAsia="等线"/>
          <w:color w:val="1F1F1F"/>
        </w:rPr>
        <w:t>交织决定Target负载和Ring路径，是形成或消除热点的主要杠杆；错误的默认Target回退会掩盖地址配置缺陷，建议非法地址直接报错。</w:t>
      </w:r>
    </w:p>
    <w:p>
      <w:pPr>
        <w:pStyle w:val="Heading2"/>
      </w:pPr>
      <w:r>
        <w:t>8.5 顺序、死锁与饥饿控制</w:t>
      </w:r>
    </w:p>
    <w:p>
      <w:pPr>
        <w:keepLines w:val="0"/>
        <w:widowControl/>
        <w:spacing w:after="120"/>
      </w:pPr>
      <w:r>
        <w:rPr>
          <w:rFonts w:ascii="Calibri" w:hAnsi="Calibri" w:eastAsia="等线"/>
          <w:color w:val="1F1F1F"/>
        </w:rPr>
        <w:t>基线仅保证同一输入FIFO内的顺序和TxnKey关联，不宣称跨Traffic Class、跨Target或跨路径的全局顺序。若协议要求同一OrderDomain内有序提交，建议在Master网络接口的完成提交端维护reorder context，而不是阻止整个Ring并行传输。same-address hazard、读后写、写后读、barrier和atomic均需要协议级定义后才能进入模型。</w:t>
      </w:r>
    </w:p>
    <w:p>
      <w:pPr>
        <w:keepLines w:val="0"/>
        <w:widowControl/>
        <w:spacing w:after="120"/>
      </w:pPr>
      <w:r>
        <w:rPr>
          <w:rFonts w:ascii="Calibri" w:hAnsi="Calibri" w:eastAsia="等线"/>
          <w:color w:val="1F1F1F"/>
        </w:rPr>
        <w:t>为降低协议依赖死锁风险，请求、写数据和响应至少使用独立逻辑FIFO，并为终结响应提供进度优先或保留容量；即使三类流量共享物理等效链路，也应通过独立队列和仲裁避免响应被其依赖的请求永久堵塞。死锁检查基于资源等待图和全局无进展监视器：若存在在途事务、无Target长服务且连续超过deadlock_watchdog_cycles无任何握手或状态前进，则输出等待环快照并判失败。饥饿由每候选最大等待和服务间隔观测，年龄逃逸只提供有限等待保障，不等价于QoS带宽保证。</w:t>
      </w:r>
    </w:p>
    <w:p>
      <w:pPr>
        <w:pStyle w:val="Heading1"/>
      </w:pPr>
      <w:r>
        <w:t>9 OSD、Credit、FIFO和反压</w:t>
      </w:r>
    </w:p>
    <w:p>
      <w:pPr>
        <w:pStyle w:val="Heading2"/>
      </w:pPr>
      <w:r>
        <w:t>9.1 分层流控原则</w:t>
      </w:r>
    </w:p>
    <w:p>
      <w:pPr>
        <w:keepLines w:val="0"/>
        <w:widowControl/>
        <w:spacing w:after="120"/>
      </w:pPr>
      <w:r>
        <w:rPr>
          <w:rFonts w:ascii="Calibri" w:hAnsi="Calibri" w:eastAsia="等线"/>
          <w:color w:val="1F1F1F"/>
        </w:rPr>
        <w:t>OSD、Credit、FIFO和Link序列化分别约束端到端并发、Target接收能力、短时突发吸收和长期链路吞吐。它们可以同时阻塞同一事务，但不得由一个模糊的‘outstanding’参数替代。Master OSD在源端接受事务时申请，保证源端不能无限制造在途请求；Target Credit在Target实际承诺资源时申请，反映目标端可同时保留的上下文或数据；FIFO只有握手缓存语义，不应被当作Target Credit；Link的next_free_cycle和in-flight容量共同表达流水化带宽与传播占用。</w:t>
      </w:r>
    </w:p>
    <w:p>
      <w:pPr>
        <w:keepLines w:val="0"/>
        <w:widowControl/>
        <w:spacing w:after="120"/>
      </w:pPr>
      <w:r>
        <w:rPr>
          <w:rFonts w:ascii="Calibri" w:hAnsi="Calibri" w:eastAsia="等线"/>
          <w:color w:val="1F1F1F"/>
        </w:rPr>
        <w:t>资源申请与释放必须配对且带事务身份。若Target服务完成后即可释放内部slot，即使响应仍在回程，Target Credit可以早于Master OSD释放；如果Target必须保留响应数据直到被Ring接受，则Credit应延后释放。两者不同步是允许的，但必须来自真实资源生命周期，而不能为提高吞吐随意选择。</w:t>
      </w:r>
    </w:p>
    <w:p>
      <w:pPr>
        <w:pStyle w:val="Heading3"/>
      </w:pPr>
      <w:r>
        <w:t>图纸设计说明：图4</w:t>
      </w:r>
    </w:p>
    <w:p>
      <w:pPr>
        <w:spacing w:after="80"/>
        <w:ind w:left="115"/>
      </w:pPr>
      <w:r>
        <w:rPr>
          <w:rFonts w:ascii="Calibri" w:hAnsi="Calibri" w:eastAsia="等线"/>
          <w:b/>
          <w:color w:val="1F4E79"/>
        </w:rPr>
        <w:t>目的：</w:t>
      </w:r>
      <w:r>
        <w:rPr>
          <w:rFonts w:ascii="Calibri" w:hAnsi="Calibri" w:eastAsia="等线"/>
          <w:color w:val="1F1F1F"/>
        </w:rPr>
        <w:t>审查四类流控的边界、释放点和反压恢复机制，防止资源泄漏、双重限速和唤醒丢失。</w:t>
      </w:r>
    </w:p>
    <w:p>
      <w:pPr>
        <w:spacing w:after="80"/>
        <w:ind w:left="115"/>
      </w:pPr>
      <w:r>
        <w:rPr>
          <w:rFonts w:ascii="Calibri" w:hAnsi="Calibri" w:eastAsia="等线"/>
          <w:b/>
          <w:color w:val="1F4E79"/>
        </w:rPr>
        <w:t>模块与端口：</w:t>
      </w:r>
      <w:r>
        <w:rPr>
          <w:rFonts w:ascii="Calibri" w:hAnsi="Calibri" w:eastAsia="等线"/>
          <w:color w:val="1F1F1F"/>
        </w:rPr>
        <w:t>Master网络接口、Ring Router、Ring Link、Target网络接口和Target服务模型依次连接；模块内部标出OSD、FIFO、Link状态和Target Credit。</w:t>
      </w:r>
    </w:p>
    <w:p>
      <w:pPr>
        <w:spacing w:after="80"/>
        <w:ind w:left="115"/>
      </w:pPr>
      <w:r>
        <w:rPr>
          <w:rFonts w:ascii="Calibri" w:hAnsi="Calibri" w:eastAsia="等线"/>
          <w:b/>
          <w:color w:val="1F4E79"/>
        </w:rPr>
        <w:t>箭头关系：</w:t>
      </w:r>
      <w:r>
        <w:rPr>
          <w:rFonts w:ascii="Calibri" w:hAnsi="Calibri" w:eastAsia="等线"/>
          <w:color w:val="1F1F1F"/>
        </w:rPr>
        <w:t>数据路径向下游推进；下游容量不足时红色反压向上游传播。空间、ready或Credit恢复产生状态变化事件，重新调度仍保持vld的队头。</w:t>
      </w:r>
    </w:p>
    <w:p>
      <w:pPr>
        <w:spacing w:after="80"/>
        <w:ind w:left="115"/>
      </w:pPr>
      <w:r>
        <w:rPr>
          <w:rFonts w:ascii="Calibri" w:hAnsi="Calibri" w:eastAsia="等线"/>
          <w:b/>
          <w:color w:val="1F4E79"/>
        </w:rPr>
        <w:t>颜色与线型：</w:t>
      </w:r>
      <w:r>
        <w:rPr>
          <w:rFonts w:ascii="Calibri" w:hAnsi="Calibri" w:eastAsia="等线"/>
          <w:color w:val="1F1F1F"/>
        </w:rPr>
        <w:t>蓝/橙/绿分别为请求、写数据和响应；红色点线为反压；灰色为资源控制。</w:t>
      </w:r>
    </w:p>
    <w:p>
      <w:pPr>
        <w:spacing w:after="120"/>
        <w:ind w:left="115"/>
      </w:pPr>
      <w:r>
        <w:rPr>
          <w:rFonts w:ascii="Calibri" w:hAnsi="Calibri" w:eastAsia="等线"/>
          <w:b/>
          <w:color w:val="1F4E79"/>
        </w:rPr>
        <w:t>专家确认问题：</w:t>
      </w:r>
      <w:r>
        <w:rPr>
          <w:rFonts w:ascii="Calibri" w:hAnsi="Calibri" w:eastAsia="等线"/>
          <w:color w:val="1F1F1F"/>
        </w:rPr>
        <w:t>Target Credit的权威所有者和释放点、响应保留容量、以及共享链路Traffic Class的最小进度保证。</w:t>
      </w:r>
    </w:p>
    <w:p>
      <w:pPr>
        <w:keepLines/>
        <w:spacing w:after="0"/>
        <w:jc w:val="center"/>
      </w:pPr>
      <w:r>
        <w:drawing>
          <wp:inline xmlns:a="http://schemas.openxmlformats.org/drawingml/2006/main" xmlns:pic="http://schemas.openxmlformats.org/drawingml/2006/picture">
            <wp:extent cx="5870448" cy="3354542"/>
            <wp:docPr id="4" name="Picture 4"/>
            <wp:cNvGraphicFramePr>
              <a:graphicFrameLocks noChangeAspect="1"/>
            </wp:cNvGraphicFramePr>
            <a:graphic>
              <a:graphicData uri="http://schemas.openxmlformats.org/drawingml/2006/picture">
                <pic:pic>
                  <pic:nvPicPr>
                    <pic:cNvPr id="0" name="04_osd_credit_backpressure.png"/>
                    <pic:cNvPicPr/>
                  </pic:nvPicPr>
                  <pic:blipFill>
                    <a:blip r:embed="rId14"/>
                    <a:stretch>
                      <a:fillRect/>
                    </a:stretch>
                  </pic:blipFill>
                  <pic:spPr>
                    <a:xfrm>
                      <a:off x="0" y="0"/>
                      <a:ext cx="5870448" cy="3354542"/>
                    </a:xfrm>
                    <a:prstGeom prst="rect"/>
                  </pic:spPr>
                </pic:pic>
              </a:graphicData>
            </a:graphic>
          </wp:inline>
        </w:drawing>
      </w:r>
    </w:p>
    <w:p>
      <w:pPr>
        <w:pStyle w:val="Caption"/>
      </w:pPr>
      <w:r>
        <w:rPr>
          <w:b/>
        </w:rPr>
        <w:t xml:space="preserve">图4  </w:t>
      </w:r>
      <w:r>
        <w:t>OSD、Credit、FIFO与反压协同</w:t>
      </w:r>
      <w:r>
        <w:t>（可编辑源：editable_diagrams/04_osd_credit_backpressure.svg）</w:t>
      </w:r>
    </w:p>
    <w:p>
      <w:pPr>
        <w:pStyle w:val="Heading2"/>
      </w:pPr>
      <w:r>
        <w:t>9.2 OSD机制</w:t>
      </w:r>
    </w:p>
    <w:p>
      <w:pPr>
        <w:pStyle w:val="Heading3"/>
      </w:pPr>
      <w:r>
        <w:t>Master OSD申请、占用与释放</w:t>
      </w:r>
    </w:p>
    <w:p>
      <w:pPr>
        <w:spacing w:after="80"/>
        <w:ind w:left="115"/>
      </w:pPr>
      <w:r>
        <w:rPr>
          <w:rFonts w:ascii="Calibri" w:hAnsi="Calibri" w:eastAsia="等线"/>
          <w:b/>
          <w:color w:val="1F4E79"/>
        </w:rPr>
        <w:t>触发条件：</w:t>
      </w:r>
      <w:r>
        <w:rPr>
          <w:rFonts w:ascii="Calibri" w:hAnsi="Calibri" w:eastAsia="等线"/>
          <w:color w:val="1F1F1F"/>
        </w:rPr>
        <w:t>合法父事务到达Master网络接口并准备被模型接受。</w:t>
      </w:r>
    </w:p>
    <w:p>
      <w:pPr>
        <w:spacing w:after="80"/>
        <w:ind w:left="115"/>
      </w:pPr>
      <w:r>
        <w:rPr>
          <w:rFonts w:ascii="Calibri" w:hAnsi="Calibri" w:eastAsia="等线"/>
          <w:b/>
          <w:color w:val="1F4E79"/>
        </w:rPr>
        <w:t>占用资源：</w:t>
      </w:r>
      <w:r>
        <w:rPr>
          <w:rFonts w:ascii="Calibri" w:hAnsi="Calibri" w:eastAsia="等线"/>
          <w:color w:val="1F1F1F"/>
        </w:rPr>
        <w:t>按Master、读写类型和可选OrderDomain占用一个OSD计数及事务追踪表项。</w:t>
      </w:r>
    </w:p>
    <w:p>
      <w:pPr>
        <w:spacing w:after="80"/>
        <w:ind w:left="115"/>
      </w:pPr>
      <w:r>
        <w:rPr>
          <w:rFonts w:ascii="Calibri" w:hAnsi="Calibri" w:eastAsia="等线"/>
          <w:b/>
          <w:color w:val="1F4E79"/>
        </w:rPr>
        <w:t>状态变化：</w:t>
      </w:r>
      <w:r>
        <w:rPr>
          <w:rFonts w:ascii="Calibri" w:hAnsi="Calibri" w:eastAsia="等线"/>
          <w:color w:val="1F1F1F"/>
        </w:rPr>
        <w:t>accepted_count增加，事务进入ACCEPTED；读写子段共享父事务OSD或按协议显式选择子事务计数。</w:t>
      </w:r>
    </w:p>
    <w:p>
      <w:pPr>
        <w:spacing w:after="80"/>
        <w:ind w:left="115"/>
      </w:pPr>
      <w:r>
        <w:rPr>
          <w:rFonts w:ascii="Calibri" w:hAnsi="Calibri" w:eastAsia="等线"/>
          <w:b/>
          <w:color w:val="1F4E79"/>
        </w:rPr>
        <w:t>阻塞条件：</w:t>
      </w:r>
      <w:r>
        <w:rPr>
          <w:rFonts w:ascii="Calibri" w:hAnsi="Calibri" w:eastAsia="等线"/>
          <w:color w:val="1F1F1F"/>
        </w:rPr>
        <w:t>对应OSD达到上限、事务ID冲突或追踪表无表项。</w:t>
      </w:r>
    </w:p>
    <w:p>
      <w:pPr>
        <w:spacing w:after="80"/>
        <w:ind w:left="115"/>
      </w:pPr>
      <w:r>
        <w:rPr>
          <w:rFonts w:ascii="Calibri" w:hAnsi="Calibri" w:eastAsia="等线"/>
          <w:b/>
          <w:color w:val="1F4E79"/>
        </w:rPr>
        <w:t>资源释放条件：</w:t>
      </w:r>
      <w:r>
        <w:rPr>
          <w:rFonts w:ascii="Calibri" w:hAnsi="Calibri" w:eastAsia="等线"/>
          <w:color w:val="1F1F1F"/>
        </w:rPr>
        <w:t>全部子事务终结且最终响应被上游接受，或错误/取消通过终结响应闭环后释放。</w:t>
      </w:r>
    </w:p>
    <w:p>
      <w:pPr>
        <w:spacing w:after="80"/>
        <w:ind w:left="115"/>
      </w:pPr>
      <w:r>
        <w:rPr>
          <w:rFonts w:ascii="Calibri" w:hAnsi="Calibri" w:eastAsia="等线"/>
          <w:b/>
          <w:color w:val="1F4E79"/>
        </w:rPr>
        <w:t>边界场景：</w:t>
      </w:r>
      <w:r>
        <w:rPr>
          <w:rFonts w:ascii="Calibri" w:hAnsi="Calibri" w:eastAsia="等线"/>
          <w:color w:val="1F1F1F"/>
        </w:rPr>
        <w:t>ExpectedRsp为0、上游不接收、超时、复位排空、父子事务计数和ID回绕。</w:t>
      </w:r>
    </w:p>
    <w:p>
      <w:pPr>
        <w:spacing w:after="140"/>
        <w:ind w:left="115"/>
      </w:pPr>
      <w:r>
        <w:rPr>
          <w:rFonts w:ascii="Calibri" w:hAnsi="Calibri" w:eastAsia="等线"/>
          <w:b/>
          <w:color w:val="1F4E79"/>
        </w:rPr>
        <w:t>性能与精度影响：</w:t>
      </w:r>
      <w:r>
        <w:rPr>
          <w:rFonts w:ascii="Calibri" w:hAnsi="Calibri" w:eastAsia="等线"/>
          <w:color w:val="1F1F1F"/>
        </w:rPr>
        <w:t>OSD小于带宽时延积会限制吞吐；以注入成功而非上游接受作为申请点会隐藏源端排队，必须在报告中固定统计口径。</w:t>
      </w:r>
    </w:p>
    <w:p>
      <w:pPr>
        <w:pStyle w:val="Heading2"/>
      </w:pPr>
      <w:r>
        <w:t>9.3 Target Credit机制</w:t>
      </w:r>
    </w:p>
    <w:p>
      <w:pPr>
        <w:pStyle w:val="Heading3"/>
      </w:pPr>
      <w:r>
        <w:t>Target Credit申请、占用与释放</w:t>
      </w:r>
    </w:p>
    <w:p>
      <w:pPr>
        <w:spacing w:after="80"/>
        <w:ind w:left="115"/>
      </w:pPr>
      <w:r>
        <w:rPr>
          <w:rFonts w:ascii="Calibri" w:hAnsi="Calibri" w:eastAsia="等线"/>
          <w:b/>
          <w:color w:val="1F4E79"/>
        </w:rPr>
        <w:t>触发条件：</w:t>
      </w:r>
      <w:r>
        <w:rPr>
          <w:rFonts w:ascii="Calibri" w:hAnsi="Calibri" w:eastAsia="等线"/>
          <w:color w:val="1F1F1F"/>
        </w:rPr>
        <w:t>请求到达Target网络接口，Target服务模型明确可以承诺命令/数据/上下文资源。</w:t>
      </w:r>
    </w:p>
    <w:p>
      <w:pPr>
        <w:spacing w:after="80"/>
        <w:ind w:left="115"/>
      </w:pPr>
      <w:r>
        <w:rPr>
          <w:rFonts w:ascii="Calibri" w:hAnsi="Calibri" w:eastAsia="等线"/>
          <w:b/>
          <w:color w:val="1F4E79"/>
        </w:rPr>
        <w:t>占用资源：</w:t>
      </w:r>
      <w:r>
        <w:rPr>
          <w:rFonts w:ascii="Calibri" w:hAnsi="Calibri" w:eastAsia="等线"/>
          <w:color w:val="1F1F1F"/>
        </w:rPr>
        <w:t>按Target、读写类型和可选Bank占用Credit；必要时同时占用服务队列表项。</w:t>
      </w:r>
    </w:p>
    <w:p>
      <w:pPr>
        <w:spacing w:after="80"/>
        <w:ind w:left="115"/>
      </w:pPr>
      <w:r>
        <w:rPr>
          <w:rFonts w:ascii="Calibri" w:hAnsi="Calibri" w:eastAsia="等线"/>
          <w:b/>
          <w:color w:val="1F4E79"/>
        </w:rPr>
        <w:t>状态变化：</w:t>
      </w:r>
      <w:r>
        <w:rPr>
          <w:rFonts w:ascii="Calibri" w:hAnsi="Calibri" w:eastAsia="等线"/>
          <w:color w:val="1F1F1F"/>
        </w:rPr>
        <w:t>Credit递减并在事务上下文记录credit_held；服务完成路径只允许执行一次release。</w:t>
      </w:r>
    </w:p>
    <w:p>
      <w:pPr>
        <w:spacing w:after="80"/>
        <w:ind w:left="115"/>
      </w:pPr>
      <w:r>
        <w:rPr>
          <w:rFonts w:ascii="Calibri" w:hAnsi="Calibri" w:eastAsia="等线"/>
          <w:b/>
          <w:color w:val="1F4E79"/>
        </w:rPr>
        <w:t>阻塞条件：</w:t>
      </w:r>
      <w:r>
        <w:rPr>
          <w:rFonts w:ascii="Calibri" w:hAnsi="Calibri" w:eastAsia="等线"/>
          <w:color w:val="1F1F1F"/>
        </w:rPr>
        <w:t>Credit为0、服务队列满、Bank冲突门控、数据缓冲不足或Target处于暂停状态。</w:t>
      </w:r>
    </w:p>
    <w:p>
      <w:pPr>
        <w:spacing w:after="80"/>
        <w:ind w:left="115"/>
      </w:pPr>
      <w:r>
        <w:rPr>
          <w:rFonts w:ascii="Calibri" w:hAnsi="Calibri" w:eastAsia="等线"/>
          <w:b/>
          <w:color w:val="1F4E79"/>
        </w:rPr>
        <w:t>资源释放条件：</w:t>
      </w:r>
      <w:r>
        <w:rPr>
          <w:rFonts w:ascii="Calibri" w:hAnsi="Calibri" w:eastAsia="等线"/>
          <w:color w:val="1F1F1F"/>
        </w:rPr>
        <w:t>在已确认的‘Target真实占用结束点’返还；默认不等待Master最终接收，除非响应数据仍占用同一资源。</w:t>
      </w:r>
    </w:p>
    <w:p>
      <w:pPr>
        <w:spacing w:after="80"/>
        <w:ind w:left="115"/>
      </w:pPr>
      <w:r>
        <w:rPr>
          <w:rFonts w:ascii="Calibri" w:hAnsi="Calibri" w:eastAsia="等线"/>
          <w:b/>
          <w:color w:val="1F4E79"/>
        </w:rPr>
        <w:t>边界场景：</w:t>
      </w:r>
      <w:r>
        <w:rPr>
          <w:rFonts w:ascii="Calibri" w:hAnsi="Calibri" w:eastAsia="等线"/>
          <w:color w:val="1F1F1F"/>
        </w:rPr>
        <w:t>多响应读、写Grant后无数据、Target错误、超时、取消与重放可能导致重复或遗漏释放，必须以credit_held不变量保护。</w:t>
      </w:r>
    </w:p>
    <w:p>
      <w:pPr>
        <w:spacing w:after="140"/>
        <w:ind w:left="115"/>
      </w:pPr>
      <w:r>
        <w:rPr>
          <w:rFonts w:ascii="Calibri" w:hAnsi="Calibri" w:eastAsia="等线"/>
          <w:b/>
          <w:color w:val="1F4E79"/>
        </w:rPr>
        <w:t>性能与精度影响：</w:t>
      </w:r>
      <w:r>
        <w:rPr>
          <w:rFonts w:ascii="Calibri" w:hAnsi="Calibri" w:eastAsia="等线"/>
          <w:color w:val="1F1F1F"/>
        </w:rPr>
        <w:t>Credit决定Target并发和队列位置；过早释放高估吞吐，过晚释放低估并行性，并可能错误地把响应拥塞表现为Target容量不足。</w:t>
      </w:r>
    </w:p>
    <w:p>
      <w:pPr>
        <w:pStyle w:val="Heading2"/>
      </w:pPr>
      <w:r>
        <w:t>9.4 FIFO、持续vld与自动重试</w:t>
      </w:r>
    </w:p>
    <w:p>
      <w:pPr>
        <w:pStyle w:val="Heading3"/>
      </w:pPr>
      <w:r>
        <w:t>FIFO反压与事件唤醒机制</w:t>
      </w:r>
    </w:p>
    <w:p>
      <w:pPr>
        <w:spacing w:after="80"/>
        <w:ind w:left="115"/>
      </w:pPr>
      <w:r>
        <w:rPr>
          <w:rFonts w:ascii="Calibri" w:hAnsi="Calibri" w:eastAsia="等线"/>
          <w:b/>
          <w:color w:val="1F4E79"/>
        </w:rPr>
        <w:t>触发条件：</w:t>
      </w:r>
      <w:r>
        <w:rPr>
          <w:rFonts w:ascii="Calibri" w:hAnsi="Calibri" w:eastAsia="等线"/>
          <w:color w:val="1F1F1F"/>
        </w:rPr>
        <w:t>上游队头vld，调度器评估下游ready、Credit和Link可用性；或任一相关状态从不可用转为可用。</w:t>
      </w:r>
    </w:p>
    <w:p>
      <w:pPr>
        <w:spacing w:after="80"/>
        <w:ind w:left="115"/>
      </w:pPr>
      <w:r>
        <w:rPr>
          <w:rFonts w:ascii="Calibri" w:hAnsi="Calibri" w:eastAsia="等线"/>
          <w:b/>
          <w:color w:val="1F4E79"/>
        </w:rPr>
        <w:t>占用资源：</w:t>
      </w:r>
      <w:r>
        <w:rPr>
          <w:rFonts w:ascii="Calibri" w:hAnsi="Calibri" w:eastAsia="等线"/>
          <w:color w:val="1F1F1F"/>
        </w:rPr>
        <w:t>占用上游FIFO表项；握手成功时原子占用下游FIFO/Link/Target资源。阻塞期间不额外复制payload。</w:t>
      </w:r>
    </w:p>
    <w:p>
      <w:pPr>
        <w:spacing w:after="80"/>
        <w:ind w:left="115"/>
      </w:pPr>
      <w:r>
        <w:rPr>
          <w:rFonts w:ascii="Calibri" w:hAnsi="Calibri" w:eastAsia="等线"/>
          <w:b/>
          <w:color w:val="1F4E79"/>
        </w:rPr>
        <w:t>状态变化：</w:t>
      </w:r>
      <w:r>
        <w:rPr>
          <w:rFonts w:ascii="Calibri" w:hAnsi="Calibri" w:eastAsia="等线"/>
          <w:color w:val="1F1F1F"/>
        </w:rPr>
        <w:t>成功则下游入队且上游出队；失败则队头、vld和payload保持不变，并登记唯一主阻塞原因。</w:t>
      </w:r>
    </w:p>
    <w:p>
      <w:pPr>
        <w:spacing w:after="80"/>
        <w:ind w:left="115"/>
      </w:pPr>
      <w:r>
        <w:rPr>
          <w:rFonts w:ascii="Calibri" w:hAnsi="Calibri" w:eastAsia="等线"/>
          <w:b/>
          <w:color w:val="1F4E79"/>
        </w:rPr>
        <w:t>阻塞条件：</w:t>
      </w:r>
      <w:r>
        <w:rPr>
          <w:rFonts w:ascii="Calibri" w:hAnsi="Calibri" w:eastAsia="等线"/>
          <w:color w:val="1F1F1F"/>
        </w:rPr>
        <w:t>下游FIFO满、接口ready=0、Link序列化窗口未到、Credit为0或仲裁失败。</w:t>
      </w:r>
    </w:p>
    <w:p>
      <w:pPr>
        <w:spacing w:after="80"/>
        <w:ind w:left="115"/>
      </w:pPr>
      <w:r>
        <w:rPr>
          <w:rFonts w:ascii="Calibri" w:hAnsi="Calibri" w:eastAsia="等线"/>
          <w:b/>
          <w:color w:val="1F4E79"/>
        </w:rPr>
        <w:t>资源释放条件：</w:t>
      </w:r>
      <w:r>
        <w:rPr>
          <w:rFonts w:ascii="Calibri" w:hAnsi="Calibri" w:eastAsia="等线"/>
          <w:color w:val="1F1F1F"/>
        </w:rPr>
        <w:t>上游FIFO仅在下游成功接受后释放；阻塞本身不释放或重建事务。</w:t>
      </w:r>
    </w:p>
    <w:p>
      <w:pPr>
        <w:spacing w:after="80"/>
        <w:ind w:left="115"/>
      </w:pPr>
      <w:r>
        <w:rPr>
          <w:rFonts w:ascii="Calibri" w:hAnsi="Calibri" w:eastAsia="等线"/>
          <w:b/>
          <w:color w:val="1F4E79"/>
        </w:rPr>
        <w:t>边界场景：</w:t>
      </w:r>
      <w:r>
        <w:rPr>
          <w:rFonts w:ascii="Calibri" w:hAnsi="Calibri" w:eastAsia="等线"/>
          <w:color w:val="1F1F1F"/>
        </w:rPr>
        <w:t>下游由满变非满、多个状态同周期恢复、长时间vld、队头被取消、复位/排空和无状态事件的时间门限。</w:t>
      </w:r>
    </w:p>
    <w:p>
      <w:pPr>
        <w:spacing w:after="140"/>
        <w:ind w:left="115"/>
      </w:pPr>
      <w:r>
        <w:rPr>
          <w:rFonts w:ascii="Calibri" w:hAnsi="Calibri" w:eastAsia="等线"/>
          <w:b/>
          <w:color w:val="1F4E79"/>
        </w:rPr>
        <w:t>性能与精度影响：</w:t>
      </w:r>
      <w:r>
        <w:rPr>
          <w:rFonts w:ascii="Calibri" w:hAnsi="Calibri" w:eastAsia="等线"/>
          <w:color w:val="1F1F1F"/>
        </w:rPr>
        <w:t>自动重试避免独立retry协议和重复包；必须确保所有可用性变化都发布唤醒，否则会形成‘包原地保留但永不前进’的模型死停。</w:t>
      </w:r>
    </w:p>
    <w:p>
      <w:pPr>
        <w:pStyle w:val="Heading2"/>
      </w:pPr>
      <w:r>
        <w:t>9.5 反压传播与进度保证</w:t>
      </w:r>
    </w:p>
    <w:p>
      <w:pPr>
        <w:keepLines w:val="0"/>
        <w:widowControl/>
        <w:spacing w:after="120"/>
      </w:pPr>
      <w:r>
        <w:rPr>
          <w:rFonts w:ascii="Calibri" w:hAnsi="Calibri" w:eastAsia="等线"/>
          <w:color w:val="1F1F1F"/>
        </w:rPr>
        <w:t>反压按依赖路径逐级传播：Target服务资源不足使Target网络接口请求FIFO停止出队；FIFO满使目的Router LOCAL出口不可接收；拥塞沿Link和上游Router输入扩散，最终使Master网络接口注入FIFO保持队头，必要时通过其ready阻止上游继续发出。响应路径使用同样语义。模型不需要把一个全局ready组合穿越所有模块，而通过有限队列和事件传播表达延迟的反压波。</w:t>
      </w:r>
    </w:p>
    <w:p>
      <w:pPr>
        <w:keepLines w:val="0"/>
        <w:widowControl/>
        <w:spacing w:after="120"/>
      </w:pPr>
      <w:r>
        <w:rPr>
          <w:rFonts w:ascii="Calibri" w:hAnsi="Calibri" w:eastAsia="等线"/>
          <w:color w:val="1F1F1F"/>
        </w:rPr>
        <w:t>进度保证包含三项：第一，所有导致ready变化的事件都能唤醒相邻发送方；第二，仲裁提供有限饥饿保护，终结响应具有不会被请求永久占满的逻辑队列或保留份额；第三，全局无进展监视器能够区分合法长Target服务与等待环。持续反压不是错误，但当反压解除后必须在有界的调度延迟内观察到一次重评估。</w:t>
      </w:r>
    </w:p>
    <w:p>
      <w:pPr>
        <w:pStyle w:val="Heading1"/>
      </w:pPr>
      <w:r>
        <w:t>10 延迟、带宽、排队及瓶颈模型</w:t>
      </w:r>
    </w:p>
    <w:p>
      <w:pPr>
        <w:pStyle w:val="Heading2"/>
      </w:pPr>
      <w:r>
        <w:t>10.1 延迟分解</w:t>
      </w:r>
    </w:p>
    <w:p>
      <w:pPr>
        <w:keepLines w:val="0"/>
        <w:widowControl/>
        <w:spacing w:after="120"/>
      </w:pPr>
      <w:r>
        <w:rPr>
          <w:rFonts w:ascii="Calibri" w:hAnsi="Calibri" w:eastAsia="等线"/>
          <w:color w:val="1F1F1F"/>
        </w:rPr>
        <w:t>端到端读延迟定义为READ_REQ被模型接受到最后READ_RSP被上游接受的cycle差；写延迟定义为WRITE_REQ被接受到WRITE_COMPLETE被上游接受的cycle差。模型同时记录零负载结构延迟和负载相关增量。建议使用以下分解：Ttotal=Tsrc_admission+Tinject_queue+Trequest_path+Ttarget_queue+Ttarget_service+Tresponse_path+Tupstream_accept，其中每条路径进一步分为Router固定流水、输出仲裁、FIFO等待、Link传播和Link序列化。</w:t>
      </w:r>
    </w:p>
    <w:p>
      <w:pPr>
        <w:keepLines w:val="0"/>
        <w:widowControl/>
        <w:spacing w:after="120"/>
      </w:pPr>
      <w:r>
        <w:rPr>
          <w:rFonts w:ascii="Calibri" w:hAnsi="Calibri" w:eastAsia="等线"/>
          <w:color w:val="1F1F1F"/>
        </w:rPr>
        <w:t>固定流水延迟在对应模块接收并承诺处理时只计一次；拓扑延迟是逐跳固定项的求和，不另加独立‘拓扑惩罚’；序列化由Link根据协议段计费字节和每cycle字节数计算占用窗口，不能同时在Router或Target端再次限速同一物理链路；排队延迟是实际入队到成功出队的时间差，不通过额外固定参数近似。Target服务延迟从Target接受请求或满足数据依赖开始，到Target完成并生成响应为止。</w:t>
      </w:r>
    </w:p>
    <w:p>
      <w:pPr>
        <w:pStyle w:val="Heading3"/>
      </w:pPr>
      <w:r>
        <w:t>图纸设计说明：图5</w:t>
      </w:r>
    </w:p>
    <w:p>
      <w:pPr>
        <w:spacing w:after="80"/>
        <w:ind w:left="115"/>
      </w:pPr>
      <w:r>
        <w:rPr>
          <w:rFonts w:ascii="Calibri" w:hAnsi="Calibri" w:eastAsia="等线"/>
          <w:b/>
          <w:color w:val="1F4E79"/>
        </w:rPr>
        <w:t>目的：</w:t>
      </w:r>
      <w:r>
        <w:rPr>
          <w:rFonts w:ascii="Calibri" w:hAnsi="Calibri" w:eastAsia="等线"/>
          <w:color w:val="1F1F1F"/>
        </w:rPr>
        <w:t>建立端到端延迟的唯一记账边界，并把源端、Ring最小割、Target和响应路径四类瓶颈与统计证据对应。</w:t>
      </w:r>
    </w:p>
    <w:p>
      <w:pPr>
        <w:spacing w:after="80"/>
        <w:ind w:left="115"/>
      </w:pPr>
      <w:r>
        <w:rPr>
          <w:rFonts w:ascii="Calibri" w:hAnsi="Calibri" w:eastAsia="等线"/>
          <w:b/>
          <w:color w:val="1F4E79"/>
        </w:rPr>
        <w:t>模块与端口：</w:t>
      </w:r>
      <w:r>
        <w:rPr>
          <w:rFonts w:ascii="Calibri" w:hAnsi="Calibri" w:eastAsia="等线"/>
          <w:color w:val="1F1F1F"/>
        </w:rPr>
        <w:t>源端准入、注入仲裁、逐跳Router、逐跳Link、Target入口、Target服务和响应回程构成串联路径；下方四个框表示容量上界。</w:t>
      </w:r>
    </w:p>
    <w:p>
      <w:pPr>
        <w:spacing w:after="80"/>
        <w:ind w:left="115"/>
      </w:pPr>
      <w:r>
        <w:rPr>
          <w:rFonts w:ascii="Calibri" w:hAnsi="Calibri" w:eastAsia="等线"/>
          <w:b/>
          <w:color w:val="1F4E79"/>
        </w:rPr>
        <w:t>箭头关系：</w:t>
      </w:r>
      <w:r>
        <w:rPr>
          <w:rFonts w:ascii="Calibri" w:hAnsi="Calibri" w:eastAsia="等线"/>
          <w:color w:val="1F1F1F"/>
        </w:rPr>
        <w:t>上方请求箭头表示时延累积；控制虚线把瓶颈框连接到对应资源；响应回程作为独立路径项计入。</w:t>
      </w:r>
    </w:p>
    <w:p>
      <w:pPr>
        <w:spacing w:after="80"/>
        <w:ind w:left="115"/>
      </w:pPr>
      <w:r>
        <w:rPr>
          <w:rFonts w:ascii="Calibri" w:hAnsi="Calibri" w:eastAsia="等线"/>
          <w:b/>
          <w:color w:val="1F4E79"/>
        </w:rPr>
        <w:t>颜色与线型：</w:t>
      </w:r>
      <w:r>
        <w:rPr>
          <w:rFonts w:ascii="Calibri" w:hAnsi="Calibri" w:eastAsia="等线"/>
          <w:color w:val="1F1F1F"/>
        </w:rPr>
        <w:t>蓝色为事务路径，灰色为统计映射，橙色框为可能的容量瓶颈。</w:t>
      </w:r>
    </w:p>
    <w:p>
      <w:pPr>
        <w:spacing w:after="120"/>
        <w:ind w:left="115"/>
      </w:pPr>
      <w:r>
        <w:rPr>
          <w:rFonts w:ascii="Calibri" w:hAnsi="Calibri" w:eastAsia="等线"/>
          <w:b/>
          <w:color w:val="1F4E79"/>
        </w:rPr>
        <w:t>专家确认问题：</w:t>
      </w:r>
      <w:r>
        <w:rPr>
          <w:rFonts w:ascii="Calibri" w:hAnsi="Calibri" w:eastAsia="等线"/>
          <w:color w:val="1F1F1F"/>
        </w:rPr>
        <w:t>硬件中Router与Link流水分界、协议头计费、全双工/半双工带宽，以及Target响应生成时点。</w:t>
      </w:r>
    </w:p>
    <w:p>
      <w:pPr>
        <w:keepLines/>
        <w:spacing w:after="0"/>
        <w:jc w:val="center"/>
      </w:pPr>
      <w:r>
        <w:drawing>
          <wp:inline xmlns:a="http://schemas.openxmlformats.org/drawingml/2006/main" xmlns:pic="http://schemas.openxmlformats.org/drawingml/2006/picture">
            <wp:extent cx="5870448" cy="3354542"/>
            <wp:docPr id="5" name="Picture 5"/>
            <wp:cNvGraphicFramePr>
              <a:graphicFrameLocks noChangeAspect="1"/>
            </wp:cNvGraphicFramePr>
            <a:graphic>
              <a:graphicData uri="http://schemas.openxmlformats.org/drawingml/2006/picture">
                <pic:pic>
                  <pic:nvPicPr>
                    <pic:cNvPr id="0" name="05_latency_bottlenecks.png"/>
                    <pic:cNvPicPr/>
                  </pic:nvPicPr>
                  <pic:blipFill>
                    <a:blip r:embed="rId15"/>
                    <a:stretch>
                      <a:fillRect/>
                    </a:stretch>
                  </pic:blipFill>
                  <pic:spPr>
                    <a:xfrm>
                      <a:off x="0" y="0"/>
                      <a:ext cx="5870448" cy="3354542"/>
                    </a:xfrm>
                    <a:prstGeom prst="rect"/>
                  </pic:spPr>
                </pic:pic>
              </a:graphicData>
            </a:graphic>
          </wp:inline>
        </w:drawing>
      </w:r>
    </w:p>
    <w:p>
      <w:pPr>
        <w:pStyle w:val="Caption"/>
      </w:pPr>
      <w:r>
        <w:rPr>
          <w:b/>
        </w:rPr>
        <w:t xml:space="preserve">图5  </w:t>
      </w:r>
      <w:r>
        <w:t>端到端延迟分解与关键瓶颈</w:t>
      </w:r>
      <w:r>
        <w:t>（可编辑源：editable_diagrams/05_latency_bottlenecks.svg）</w:t>
      </w:r>
    </w:p>
    <w:p>
      <w:pPr>
        <w:pStyle w:val="Heading2"/>
      </w:pPr>
      <w:r>
        <w:t>10.2 链路带宽与序列化</w:t>
      </w:r>
    </w:p>
    <w:p>
      <w:pPr>
        <w:keepLines w:val="0"/>
        <w:widowControl/>
        <w:spacing w:after="120"/>
      </w:pPr>
      <w:r>
        <w:rPr>
          <w:rFonts w:ascii="Calibri" w:hAnsi="Calibri" w:eastAsia="等线"/>
          <w:color w:val="1F1F1F"/>
        </w:rPr>
        <w:t>每条有向Ring Link拥有width_bytes_per_cycle、propagation_latency_cycles、max_inflight_segments和next_free_cycle。协议段计费字节packet_bytes=header_bytes+payload_bytes+optional_overhead_bytes；序列化周期Tser=max(1,ceil(packet_bytes/width_bytes_per_cycle))。当本段在cycle t提交时，链路下一次可启动时间更新为max(t,next_free_cycle)+Tser；段到达时间由提交起点加传播/流水延迟确定。该模型允许流水化链路在前一段尚未到达下一跳时启动后续段，但总启动速率受Tser限制。</w:t>
      </w:r>
    </w:p>
    <w:p>
      <w:pPr>
        <w:keepLines w:val="0"/>
        <w:widowControl/>
        <w:spacing w:after="120"/>
      </w:pPr>
      <w:r>
        <w:rPr>
          <w:rFonts w:ascii="Calibri" w:hAnsi="Calibri" w:eastAsia="等线"/>
          <w:color w:val="1F1F1F"/>
        </w:rPr>
        <w:t>若请求、写数据和响应共享一条物理等效链路，它们必须竞争同一个next_free_cycle和字节预算；若硬件使用独立子网，则每个子网可以拥有独立状态，但总面积/带宽比较必须使用一致口径。双向Ring的CW和CCW默认是两条独立有向资源；若物理上共享SerDes或端口，则需增加共享父级调度器。</w:t>
      </w:r>
    </w:p>
    <w:p>
      <w:pPr>
        <w:pStyle w:val="Heading3"/>
      </w:pPr>
      <w:r>
        <w:t>链路序列化与在途容量机制</w:t>
      </w:r>
    </w:p>
    <w:p>
      <w:pPr>
        <w:spacing w:after="80"/>
        <w:ind w:left="115"/>
      </w:pPr>
      <w:r>
        <w:rPr>
          <w:rFonts w:ascii="Calibri" w:hAnsi="Calibri" w:eastAsia="等线"/>
          <w:b/>
          <w:color w:val="1F4E79"/>
        </w:rPr>
        <w:t>触发条件：</w:t>
      </w:r>
      <w:r>
        <w:rPr>
          <w:rFonts w:ascii="Calibri" w:hAnsi="Calibri" w:eastAsia="等线"/>
          <w:color w:val="1F1F1F"/>
        </w:rPr>
        <w:t>Router输出winner准备提交，且目标Link方向和Traffic Class确定。</w:t>
      </w:r>
    </w:p>
    <w:p>
      <w:pPr>
        <w:spacing w:after="80"/>
        <w:ind w:left="115"/>
      </w:pPr>
      <w:r>
        <w:rPr>
          <w:rFonts w:ascii="Calibri" w:hAnsi="Calibri" w:eastAsia="等线"/>
          <w:b/>
          <w:color w:val="1F4E79"/>
        </w:rPr>
        <w:t>占用资源：</w:t>
      </w:r>
      <w:r>
        <w:rPr>
          <w:rFonts w:ascii="Calibri" w:hAnsi="Calibri" w:eastAsia="等线"/>
          <w:color w:val="1F1F1F"/>
        </w:rPr>
        <w:t>占用Link启动窗口Tser、一个in-flight表项及下游预留/到达事件。</w:t>
      </w:r>
    </w:p>
    <w:p>
      <w:pPr>
        <w:spacing w:after="80"/>
        <w:ind w:left="115"/>
      </w:pPr>
      <w:r>
        <w:rPr>
          <w:rFonts w:ascii="Calibri" w:hAnsi="Calibri" w:eastAsia="等线"/>
          <w:b/>
          <w:color w:val="1F4E79"/>
        </w:rPr>
        <w:t>状态变化：</w:t>
      </w:r>
      <w:r>
        <w:rPr>
          <w:rFonts w:ascii="Calibri" w:hAnsi="Calibri" w:eastAsia="等线"/>
          <w:color w:val="1F1F1F"/>
        </w:rPr>
        <w:t>next_free_cycle单调前移；段进入IN_FLIGHT并在到达时尝试写入下游FIFO。</w:t>
      </w:r>
    </w:p>
    <w:p>
      <w:pPr>
        <w:spacing w:after="80"/>
        <w:ind w:left="115"/>
      </w:pPr>
      <w:r>
        <w:rPr>
          <w:rFonts w:ascii="Calibri" w:hAnsi="Calibri" w:eastAsia="等线"/>
          <w:b/>
          <w:color w:val="1F4E79"/>
        </w:rPr>
        <w:t>阻塞条件：</w:t>
      </w:r>
      <w:r>
        <w:rPr>
          <w:rFonts w:ascii="Calibri" w:hAnsi="Calibri" w:eastAsia="等线"/>
          <w:color w:val="1F1F1F"/>
        </w:rPr>
        <w:t>当前cycle早于next_free_cycle、in-flight达到上限、下游预留策略失败或共享父级调度器未授权。</w:t>
      </w:r>
    </w:p>
    <w:p>
      <w:pPr>
        <w:spacing w:after="80"/>
        <w:ind w:left="115"/>
      </w:pPr>
      <w:r>
        <w:rPr>
          <w:rFonts w:ascii="Calibri" w:hAnsi="Calibri" w:eastAsia="等线"/>
          <w:b/>
          <w:color w:val="1F4E79"/>
        </w:rPr>
        <w:t>资源释放条件：</w:t>
      </w:r>
      <w:r>
        <w:rPr>
          <w:rFonts w:ascii="Calibri" w:hAnsi="Calibri" w:eastAsia="等线"/>
          <w:color w:val="1F1F1F"/>
        </w:rPr>
        <w:t>序列化窗口按时间到期；in-flight表项仅在下游成功接受后释放。</w:t>
      </w:r>
    </w:p>
    <w:p>
      <w:pPr>
        <w:spacing w:after="80"/>
        <w:ind w:left="115"/>
      </w:pPr>
      <w:r>
        <w:rPr>
          <w:rFonts w:ascii="Calibri" w:hAnsi="Calibri" w:eastAsia="等线"/>
          <w:b/>
          <w:color w:val="1F4E79"/>
        </w:rPr>
        <w:t>边界场景：</w:t>
      </w:r>
      <w:r>
        <w:rPr>
          <w:rFonts w:ascii="Calibri" w:hAnsi="Calibri" w:eastAsia="等线"/>
          <w:color w:val="1F1F1F"/>
        </w:rPr>
        <w:t>packet_bytes为0、超大段、传播时间小于Tser、到达时下游满、不同Traffic Class共享和双向物理耦合。</w:t>
      </w:r>
    </w:p>
    <w:p>
      <w:pPr>
        <w:spacing w:after="140"/>
        <w:ind w:left="115"/>
      </w:pPr>
      <w:r>
        <w:rPr>
          <w:rFonts w:ascii="Calibri" w:hAnsi="Calibri" w:eastAsia="等线"/>
          <w:b/>
          <w:color w:val="1F4E79"/>
        </w:rPr>
        <w:t>性能与精度影响：</w:t>
      </w:r>
      <w:r>
        <w:rPr>
          <w:rFonts w:ascii="Calibri" w:hAnsi="Calibri" w:eastAsia="等线"/>
          <w:color w:val="1F1F1F"/>
        </w:rPr>
        <w:t>宽度决定饱和吞吐，传播决定RTT和所需OSD；把传播与Tser相加为非流水占用会低估带宽，把两者都当带宽限制会重复计算。</w:t>
      </w:r>
    </w:p>
    <w:p>
      <w:pPr>
        <w:pStyle w:val="Heading2"/>
      </w:pPr>
      <w:r>
        <w:t>10.3 Router与Target延迟</w:t>
      </w:r>
    </w:p>
    <w:p>
      <w:pPr>
        <w:keepLines w:val="0"/>
        <w:widowControl/>
        <w:spacing w:after="120"/>
      </w:pPr>
      <w:r>
        <w:rPr>
          <w:rFonts w:ascii="Calibri" w:hAnsi="Calibri" w:eastAsia="等线"/>
          <w:color w:val="1F1F1F"/>
        </w:rPr>
        <w:t>Router固定延迟表示输入被接受到可参与输出提交的最少流水周期；输出仲裁等待和下游阻塞单独统计。Router可以配置cut-through等效模式，但若协议段仍以包级仲裁，则不得宣称模拟真实flit旁路。Target网络接口只计入口/出口整形和本地FIFO等待，不重复计Target内部服务时间。</w:t>
      </w:r>
    </w:p>
    <w:p>
      <w:pPr>
        <w:keepLines w:val="0"/>
        <w:widowControl/>
        <w:spacing w:after="120"/>
      </w:pPr>
      <w:r>
        <w:rPr>
          <w:rFonts w:ascii="Calibri" w:hAnsi="Calibri" w:eastAsia="等线"/>
          <w:color w:val="1F1F1F"/>
        </w:rPr>
        <w:t>Target服务模型至少具有base_latency_cycles、service_width_bytes_per_cycle、max_outstanding、request_queue_depth和读写独立/共享关系；可选增加Bank数、地址到Bank映射、row-hit/row-miss分布或经验延迟分布。L2和DDR不得共用一个未校准的固定延迟默认值。对正式性能运行，Target关键参数应显式配置且带来源；未提供时模型应拒绝运行或明确标识为non-signoff占位模式。</w:t>
      </w:r>
    </w:p>
    <w:p>
      <w:pPr>
        <w:pStyle w:val="Heading2"/>
      </w:pPr>
      <w:r>
        <w:t>10.4 热点和关键瓶颈形成</w:t>
      </w:r>
    </w:p>
    <w:p>
      <w:pPr>
        <w:keepLines w:val="0"/>
        <w:widowControl/>
        <w:spacing w:after="120"/>
      </w:pPr>
      <w:r>
        <w:rPr>
          <w:rFonts w:ascii="Calibri" w:hAnsi="Calibri" w:eastAsia="等线"/>
          <w:color w:val="1F1F1F"/>
        </w:rPr>
        <w:t>热点可以由地址分布、interleave粒度、端点布点和路由方向共同形成。多个Master访问同一Target时，流量在靠近该Target的Ring Link和Target网络接口汇聚；即使Target总带宽足够，路径上的最小割也可能先饱和。反之，均匀分布到多个Target的流量仍可能因Ring布点不均或响应数据量较大而在某个方向形成回程热点。模型必须按链路、方向、Traffic Class和Target统计，而不能只报告全局平均利用率。</w:t>
      </w:r>
    </w:p>
    <w:p>
      <w:pPr>
        <w:keepLines w:val="0"/>
        <w:widowControl/>
        <w:spacing w:after="120"/>
      </w:pPr>
      <w:r>
        <w:rPr>
          <w:rFonts w:ascii="Calibri" w:hAnsi="Calibri" w:eastAsia="等线"/>
          <w:color w:val="1F1F1F"/>
        </w:rPr>
        <w:t>有效带宽上界为min(BWsource_injection, BWring_min_cut, BWtarget_aggregate, BWrsp_path, OSD×useful_payload/average_RTT)。其中BWtarget_aggregate仅在地址分布与Target并行度允许时可相加；BWring_min_cut必须针对实际流量矩阵求和；OSD项体现带宽时延积。瓶颈判定采用证据链而不是单一高利用率：资源利用率接近上限、上游队列或等待时间持续增长、放宽该资源能显著改善KPI，三者同时成立才认定为主瓶颈。</w:t>
      </w:r>
    </w:p>
    <w:p>
      <w:pPr>
        <w:pStyle w:val="Heading2"/>
      </w:pPr>
      <w:r>
        <w:t>10.5 防止延迟和带宽重复计算</w:t>
      </w:r>
    </w:p>
    <w:tbl>
      <w:tblPr>
        <w:tblStyle w:val="TableGrid"/>
        <w:tblW w:type="dxa" w:w="9360"/>
        <w:jc w:val="left"/>
        <w:tblLayout w:type="fixed"/>
        <w:tblLook w:firstColumn="1" w:firstRow="1" w:lastColumn="0" w:lastRow="0" w:noHBand="0" w:noVBand="1" w:val="04A0"/>
        <w:tblInd w:w="120" w:type="dxa"/>
      </w:tblPr>
      <w:tblGrid>
        <w:gridCol w:w="1900"/>
        <w:gridCol w:w="1850"/>
        <w:gridCol w:w="3500"/>
        <w:gridCol w:w="2110"/>
      </w:tblGrid>
      <w:tr>
        <w:trPr>
          <w:cantSplit/>
          <w:tblHeader w:val="true"/>
        </w:trPr>
        <w:tc>
          <w:tcPr>
            <w:tcW w:type="dxa" w:w="19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物理/逻辑效应</w:t>
            </w:r>
          </w:p>
        </w:tc>
        <w:tc>
          <w:tcPr>
            <w:tcW w:type="dxa" w:w="185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唯一记账模块</w:t>
            </w:r>
          </w:p>
        </w:tc>
        <w:tc>
          <w:tcPr>
            <w:tcW w:type="dxa" w:w="35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禁止的重复表达</w:t>
            </w:r>
          </w:p>
        </w:tc>
        <w:tc>
          <w:tcPr>
            <w:tcW w:type="dxa" w:w="211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审计统计</w:t>
            </w:r>
          </w:p>
        </w:tc>
      </w:tr>
      <w:tr>
        <w:tc>
          <w:tcPr>
            <w:tcW w:type="dxa" w:w="1900"/>
          </w:tcPr>
          <w:p>
            <w:pPr>
              <w:spacing w:after="0" w:line="240" w:lineRule="auto"/>
            </w:pPr>
            <w:r>
              <w:rPr>
                <w:rFonts w:ascii="Calibri" w:hAnsi="Calibri" w:eastAsia="等线"/>
                <w:b/>
                <w:color w:val="1F1F1F"/>
                <w:sz w:val="16"/>
              </w:rPr>
              <w:t>Router固定流水</w:t>
            </w:r>
          </w:p>
        </w:tc>
        <w:tc>
          <w:tcPr>
            <w:tcW w:type="dxa" w:w="1850"/>
          </w:tcPr>
          <w:p>
            <w:pPr>
              <w:spacing w:after="0" w:line="240" w:lineRule="auto"/>
            </w:pPr>
            <w:r>
              <w:rPr>
                <w:rFonts w:ascii="Calibri" w:hAnsi="Calibri" w:eastAsia="等线"/>
                <w:b w:val="0"/>
                <w:color w:val="1F1F1F"/>
                <w:sz w:val="16"/>
              </w:rPr>
              <w:t>Ring Router</w:t>
            </w:r>
          </w:p>
        </w:tc>
        <w:tc>
          <w:tcPr>
            <w:tcW w:type="dxa" w:w="3500"/>
          </w:tcPr>
          <w:p>
            <w:pPr>
              <w:spacing w:after="0" w:line="240" w:lineRule="auto"/>
            </w:pPr>
            <w:r>
              <w:rPr>
                <w:rFonts w:ascii="Calibri" w:hAnsi="Calibri" w:eastAsia="等线"/>
                <w:b w:val="0"/>
                <w:color w:val="1F1F1F"/>
                <w:sz w:val="16"/>
              </w:rPr>
              <w:t>Link传播或全局bus_latency再次叠加</w:t>
            </w:r>
          </w:p>
        </w:tc>
        <w:tc>
          <w:tcPr>
            <w:tcW w:type="dxa" w:w="2110"/>
          </w:tcPr>
          <w:p>
            <w:pPr>
              <w:spacing w:after="0" w:line="240" w:lineRule="auto"/>
            </w:pPr>
            <w:r>
              <w:rPr>
                <w:rFonts w:ascii="Calibri" w:hAnsi="Calibri" w:eastAsia="等线"/>
                <w:b w:val="0"/>
                <w:color w:val="1F1F1F"/>
                <w:sz w:val="16"/>
              </w:rPr>
              <w:t>router_fixed_cycles</w:t>
            </w:r>
          </w:p>
        </w:tc>
      </w:tr>
      <w:tr>
        <w:tc>
          <w:tcPr>
            <w:tcW w:type="dxa" w:w="1900"/>
          </w:tcPr>
          <w:p>
            <w:pPr>
              <w:spacing w:after="0" w:line="240" w:lineRule="auto"/>
            </w:pPr>
            <w:r>
              <w:rPr>
                <w:rFonts w:ascii="Calibri" w:hAnsi="Calibri" w:eastAsia="等线"/>
                <w:b/>
                <w:color w:val="1F1F1F"/>
                <w:sz w:val="16"/>
              </w:rPr>
              <w:t>输出仲裁等待</w:t>
            </w:r>
          </w:p>
        </w:tc>
        <w:tc>
          <w:tcPr>
            <w:tcW w:type="dxa" w:w="1850"/>
          </w:tcPr>
          <w:p>
            <w:pPr>
              <w:spacing w:after="0" w:line="240" w:lineRule="auto"/>
            </w:pPr>
            <w:r>
              <w:rPr>
                <w:rFonts w:ascii="Calibri" w:hAnsi="Calibri" w:eastAsia="等线"/>
                <w:b w:val="0"/>
                <w:color w:val="1F1F1F"/>
                <w:sz w:val="16"/>
              </w:rPr>
              <w:t>Ring Router</w:t>
            </w:r>
          </w:p>
        </w:tc>
        <w:tc>
          <w:tcPr>
            <w:tcW w:type="dxa" w:w="3500"/>
          </w:tcPr>
          <w:p>
            <w:pPr>
              <w:spacing w:after="0" w:line="240" w:lineRule="auto"/>
            </w:pPr>
            <w:r>
              <w:rPr>
                <w:rFonts w:ascii="Calibri" w:hAnsi="Calibri" w:eastAsia="等线"/>
                <w:b w:val="0"/>
                <w:color w:val="1F1F1F"/>
                <w:sz w:val="16"/>
              </w:rPr>
              <w:t>以随机拥塞惩罚再加一次</w:t>
            </w:r>
          </w:p>
        </w:tc>
        <w:tc>
          <w:tcPr>
            <w:tcW w:type="dxa" w:w="2110"/>
          </w:tcPr>
          <w:p>
            <w:pPr>
              <w:spacing w:after="0" w:line="240" w:lineRule="auto"/>
            </w:pPr>
            <w:r>
              <w:rPr>
                <w:rFonts w:ascii="Calibri" w:hAnsi="Calibri" w:eastAsia="等线"/>
                <w:b w:val="0"/>
                <w:color w:val="1F1F1F"/>
                <w:sz w:val="16"/>
              </w:rPr>
              <w:t>arb_wait_hist/max</w:t>
            </w:r>
          </w:p>
        </w:tc>
      </w:tr>
      <w:tr>
        <w:tc>
          <w:tcPr>
            <w:tcW w:type="dxa" w:w="1900"/>
          </w:tcPr>
          <w:p>
            <w:pPr>
              <w:spacing w:after="0" w:line="240" w:lineRule="auto"/>
            </w:pPr>
            <w:r>
              <w:rPr>
                <w:rFonts w:ascii="Calibri" w:hAnsi="Calibri" w:eastAsia="等线"/>
                <w:b/>
                <w:color w:val="1F1F1F"/>
                <w:sz w:val="16"/>
              </w:rPr>
              <w:t>Link传播</w:t>
            </w:r>
          </w:p>
        </w:tc>
        <w:tc>
          <w:tcPr>
            <w:tcW w:type="dxa" w:w="1850"/>
          </w:tcPr>
          <w:p>
            <w:pPr>
              <w:spacing w:after="0" w:line="240" w:lineRule="auto"/>
            </w:pPr>
            <w:r>
              <w:rPr>
                <w:rFonts w:ascii="Calibri" w:hAnsi="Calibri" w:eastAsia="等线"/>
                <w:b w:val="0"/>
                <w:color w:val="1F1F1F"/>
                <w:sz w:val="16"/>
              </w:rPr>
              <w:t>Ring Link</w:t>
            </w:r>
          </w:p>
        </w:tc>
        <w:tc>
          <w:tcPr>
            <w:tcW w:type="dxa" w:w="3500"/>
          </w:tcPr>
          <w:p>
            <w:pPr>
              <w:spacing w:after="0" w:line="240" w:lineRule="auto"/>
            </w:pPr>
            <w:r>
              <w:rPr>
                <w:rFonts w:ascii="Calibri" w:hAnsi="Calibri" w:eastAsia="等线"/>
                <w:b w:val="0"/>
                <w:color w:val="1F1F1F"/>
                <w:sz w:val="16"/>
              </w:rPr>
              <w:t>按hop另加拓扑惩罚</w:t>
            </w:r>
          </w:p>
        </w:tc>
        <w:tc>
          <w:tcPr>
            <w:tcW w:type="dxa" w:w="2110"/>
          </w:tcPr>
          <w:p>
            <w:pPr>
              <w:spacing w:after="0" w:line="240" w:lineRule="auto"/>
            </w:pPr>
            <w:r>
              <w:rPr>
                <w:rFonts w:ascii="Calibri" w:hAnsi="Calibri" w:eastAsia="等线"/>
                <w:b w:val="0"/>
                <w:color w:val="1F1F1F"/>
                <w:sz w:val="16"/>
              </w:rPr>
              <w:t>link_prop_cycles</w:t>
            </w:r>
          </w:p>
        </w:tc>
      </w:tr>
      <w:tr>
        <w:tc>
          <w:tcPr>
            <w:tcW w:type="dxa" w:w="1900"/>
          </w:tcPr>
          <w:p>
            <w:pPr>
              <w:spacing w:after="0" w:line="240" w:lineRule="auto"/>
            </w:pPr>
            <w:r>
              <w:rPr>
                <w:rFonts w:ascii="Calibri" w:hAnsi="Calibri" w:eastAsia="等线"/>
                <w:b/>
                <w:color w:val="1F1F1F"/>
                <w:sz w:val="16"/>
              </w:rPr>
              <w:t>Link序列化</w:t>
            </w:r>
          </w:p>
        </w:tc>
        <w:tc>
          <w:tcPr>
            <w:tcW w:type="dxa" w:w="1850"/>
          </w:tcPr>
          <w:p>
            <w:pPr>
              <w:spacing w:after="0" w:line="240" w:lineRule="auto"/>
            </w:pPr>
            <w:r>
              <w:rPr>
                <w:rFonts w:ascii="Calibri" w:hAnsi="Calibri" w:eastAsia="等线"/>
                <w:b w:val="0"/>
                <w:color w:val="1F1F1F"/>
                <w:sz w:val="16"/>
              </w:rPr>
              <w:t>Ring Link</w:t>
            </w:r>
          </w:p>
        </w:tc>
        <w:tc>
          <w:tcPr>
            <w:tcW w:type="dxa" w:w="3500"/>
          </w:tcPr>
          <w:p>
            <w:pPr>
              <w:spacing w:after="0" w:line="240" w:lineRule="auto"/>
            </w:pPr>
            <w:r>
              <w:rPr>
                <w:rFonts w:ascii="Calibri" w:hAnsi="Calibri" w:eastAsia="等线"/>
                <w:b w:val="0"/>
                <w:color w:val="1F1F1F"/>
                <w:sz w:val="16"/>
              </w:rPr>
              <w:t>Router端口和Target端口同时按同宽度限速</w:t>
            </w:r>
          </w:p>
        </w:tc>
        <w:tc>
          <w:tcPr>
            <w:tcW w:type="dxa" w:w="2110"/>
          </w:tcPr>
          <w:p>
            <w:pPr>
              <w:spacing w:after="0" w:line="240" w:lineRule="auto"/>
            </w:pPr>
            <w:r>
              <w:rPr>
                <w:rFonts w:ascii="Calibri" w:hAnsi="Calibri" w:eastAsia="等线"/>
                <w:b w:val="0"/>
                <w:color w:val="1F1F1F"/>
                <w:sz w:val="16"/>
              </w:rPr>
              <w:t>link_busy_cycles/bytes</w:t>
            </w:r>
          </w:p>
        </w:tc>
      </w:tr>
      <w:tr>
        <w:tc>
          <w:tcPr>
            <w:tcW w:type="dxa" w:w="1900"/>
          </w:tcPr>
          <w:p>
            <w:pPr>
              <w:spacing w:after="0" w:line="240" w:lineRule="auto"/>
            </w:pPr>
            <w:r>
              <w:rPr>
                <w:rFonts w:ascii="Calibri" w:hAnsi="Calibri" w:eastAsia="等线"/>
                <w:b/>
                <w:color w:val="1F1F1F"/>
                <w:sz w:val="16"/>
              </w:rPr>
              <w:t>FIFO排队</w:t>
            </w:r>
          </w:p>
        </w:tc>
        <w:tc>
          <w:tcPr>
            <w:tcW w:type="dxa" w:w="1850"/>
          </w:tcPr>
          <w:p>
            <w:pPr>
              <w:spacing w:after="0" w:line="240" w:lineRule="auto"/>
            </w:pPr>
            <w:r>
              <w:rPr>
                <w:rFonts w:ascii="Calibri" w:hAnsi="Calibri" w:eastAsia="等线"/>
                <w:b w:val="0"/>
                <w:color w:val="1F1F1F"/>
                <w:sz w:val="16"/>
              </w:rPr>
              <w:t>拥有该FIFO的模块</w:t>
            </w:r>
          </w:p>
        </w:tc>
        <w:tc>
          <w:tcPr>
            <w:tcW w:type="dxa" w:w="3500"/>
          </w:tcPr>
          <w:p>
            <w:pPr>
              <w:spacing w:after="0" w:line="240" w:lineRule="auto"/>
            </w:pPr>
            <w:r>
              <w:rPr>
                <w:rFonts w:ascii="Calibri" w:hAnsi="Calibri" w:eastAsia="等线"/>
                <w:b w:val="0"/>
                <w:color w:val="1F1F1F"/>
                <w:sz w:val="16"/>
              </w:rPr>
              <w:t>固定queue_penalty</w:t>
            </w:r>
          </w:p>
        </w:tc>
        <w:tc>
          <w:tcPr>
            <w:tcW w:type="dxa" w:w="2110"/>
          </w:tcPr>
          <w:p>
            <w:pPr>
              <w:spacing w:after="0" w:line="240" w:lineRule="auto"/>
            </w:pPr>
            <w:r>
              <w:rPr>
                <w:rFonts w:ascii="Calibri" w:hAnsi="Calibri" w:eastAsia="等线"/>
                <w:b w:val="0"/>
                <w:color w:val="1F1F1F"/>
                <w:sz w:val="16"/>
              </w:rPr>
              <w:t>queue_wait/occupancy</w:t>
            </w:r>
          </w:p>
        </w:tc>
      </w:tr>
      <w:tr>
        <w:tc>
          <w:tcPr>
            <w:tcW w:type="dxa" w:w="1900"/>
          </w:tcPr>
          <w:p>
            <w:pPr>
              <w:spacing w:after="0" w:line="240" w:lineRule="auto"/>
            </w:pPr>
            <w:r>
              <w:rPr>
                <w:rFonts w:ascii="Calibri" w:hAnsi="Calibri" w:eastAsia="等线"/>
                <w:b/>
                <w:color w:val="1F1F1F"/>
                <w:sz w:val="16"/>
              </w:rPr>
              <w:t>Target服务</w:t>
            </w:r>
          </w:p>
        </w:tc>
        <w:tc>
          <w:tcPr>
            <w:tcW w:type="dxa" w:w="1850"/>
          </w:tcPr>
          <w:p>
            <w:pPr>
              <w:spacing w:after="0" w:line="240" w:lineRule="auto"/>
            </w:pPr>
            <w:r>
              <w:rPr>
                <w:rFonts w:ascii="Calibri" w:hAnsi="Calibri" w:eastAsia="等线"/>
                <w:b w:val="0"/>
                <w:color w:val="1F1F1F"/>
                <w:sz w:val="16"/>
              </w:rPr>
              <w:t>Target服务模型</w:t>
            </w:r>
          </w:p>
        </w:tc>
        <w:tc>
          <w:tcPr>
            <w:tcW w:type="dxa" w:w="3500"/>
          </w:tcPr>
          <w:p>
            <w:pPr>
              <w:spacing w:after="0" w:line="240" w:lineRule="auto"/>
            </w:pPr>
            <w:r>
              <w:rPr>
                <w:rFonts w:ascii="Calibri" w:hAnsi="Calibri" w:eastAsia="等线"/>
                <w:b w:val="0"/>
                <w:color w:val="1F1F1F"/>
                <w:sz w:val="16"/>
              </w:rPr>
              <w:t>Target网络接口固定响应延迟重复叠加</w:t>
            </w:r>
          </w:p>
        </w:tc>
        <w:tc>
          <w:tcPr>
            <w:tcW w:type="dxa" w:w="2110"/>
          </w:tcPr>
          <w:p>
            <w:pPr>
              <w:spacing w:after="0" w:line="240" w:lineRule="auto"/>
            </w:pPr>
            <w:r>
              <w:rPr>
                <w:rFonts w:ascii="Calibri" w:hAnsi="Calibri" w:eastAsia="等线"/>
                <w:b w:val="0"/>
                <w:color w:val="1F1F1F"/>
                <w:sz w:val="16"/>
              </w:rPr>
              <w:t>service_latency/busy</w:t>
            </w:r>
          </w:p>
        </w:tc>
      </w:tr>
      <w:tr>
        <w:tc>
          <w:tcPr>
            <w:tcW w:type="dxa" w:w="1900"/>
          </w:tcPr>
          <w:p>
            <w:pPr>
              <w:spacing w:after="0" w:line="240" w:lineRule="auto"/>
            </w:pPr>
            <w:r>
              <w:rPr>
                <w:rFonts w:ascii="Calibri" w:hAnsi="Calibri" w:eastAsia="等线"/>
                <w:b/>
                <w:color w:val="1F1F1F"/>
                <w:sz w:val="16"/>
              </w:rPr>
              <w:t>OSD/Credit阻塞</w:t>
            </w:r>
          </w:p>
        </w:tc>
        <w:tc>
          <w:tcPr>
            <w:tcW w:type="dxa" w:w="1850"/>
          </w:tcPr>
          <w:p>
            <w:pPr>
              <w:spacing w:after="0" w:line="240" w:lineRule="auto"/>
            </w:pPr>
            <w:r>
              <w:rPr>
                <w:rFonts w:ascii="Calibri" w:hAnsi="Calibri" w:eastAsia="等线"/>
                <w:b w:val="0"/>
                <w:color w:val="1F1F1F"/>
                <w:sz w:val="16"/>
              </w:rPr>
              <w:t>对应资源所有者</w:t>
            </w:r>
          </w:p>
        </w:tc>
        <w:tc>
          <w:tcPr>
            <w:tcW w:type="dxa" w:w="3500"/>
          </w:tcPr>
          <w:p>
            <w:pPr>
              <w:spacing w:after="0" w:line="240" w:lineRule="auto"/>
            </w:pPr>
            <w:r>
              <w:rPr>
                <w:rFonts w:ascii="Calibri" w:hAnsi="Calibri" w:eastAsia="等线"/>
                <w:b w:val="0"/>
                <w:color w:val="1F1F1F"/>
                <w:sz w:val="16"/>
              </w:rPr>
              <w:t>同时作为额外固定延迟</w:t>
            </w:r>
          </w:p>
        </w:tc>
        <w:tc>
          <w:tcPr>
            <w:tcW w:type="dxa" w:w="2110"/>
          </w:tcPr>
          <w:p>
            <w:pPr>
              <w:spacing w:after="0" w:line="240" w:lineRule="auto"/>
            </w:pPr>
            <w:r>
              <w:rPr>
                <w:rFonts w:ascii="Calibri" w:hAnsi="Calibri" w:eastAsia="等线"/>
                <w:b w:val="0"/>
                <w:color w:val="1F1F1F"/>
                <w:sz w:val="16"/>
              </w:rPr>
              <w:t>stall_cycles_by_reason</w:t>
            </w:r>
          </w:p>
        </w:tc>
      </w:tr>
    </w:tbl>
    <w:p>
      <w:pPr>
        <w:spacing w:after="0"/>
      </w:pPr>
    </w:p>
    <w:p>
      <w:pPr>
        <w:pStyle w:val="Heading1"/>
      </w:pPr>
      <w:r>
        <w:t>11 配置和统计设计</w:t>
      </w:r>
    </w:p>
    <w:p>
      <w:pPr>
        <w:pStyle w:val="Heading2"/>
      </w:pPr>
      <w:r>
        <w:t>11.1 配置原则与生效链</w:t>
      </w:r>
    </w:p>
    <w:p>
      <w:pPr>
        <w:keepLines w:val="0"/>
        <w:widowControl/>
        <w:spacing w:after="120"/>
      </w:pPr>
      <w:r>
        <w:rPr>
          <w:rFonts w:ascii="Calibri" w:hAnsi="Calibri" w:eastAsia="等线"/>
          <w:color w:val="1F1F1F"/>
        </w:rPr>
        <w:t>配置采用版本化Schema，按全局、拓扑、Master、Router/Link、Target和运行控制分层。加载顺序建议为‘Schema默认→平台基线→端点类型模板→实例覆盖→场景覆盖’，每个最终值保留来源、单位和覆盖路径。模型启动前生成规范化配置快照及指纹，并输出‘参数→资源所有者→状态变量/调度器→预期统计’的生效清单；任何未知字段、单位冲突、地址重叠或逻辑冲突默认报错，不允许静默忽略。</w:t>
      </w:r>
    </w:p>
    <w:p>
      <w:pPr>
        <w:keepLines w:val="0"/>
        <w:widowControl/>
        <w:spacing w:after="120"/>
      </w:pPr>
      <w:r>
        <w:rPr>
          <w:rFonts w:ascii="Calibri" w:hAnsi="Calibri" w:eastAsia="等线"/>
          <w:color w:val="1F1F1F"/>
        </w:rPr>
        <w:t>建议默认值仅用于可运行的架构探索，不代表硬件事实。对Target服务延迟、带宽、物理通道共享和协议头开销等签核敏感参数，正式模式要求显式配置或从经批准的平台模板继承；缺失时模型应拒绝进入signoff运行。运行中原则上不允许修改影响事务语义或资源容量的参数，必要的动态频率、带宽节流或Target暂停应作为带时间戳的控制事件记录。</w:t>
      </w:r>
    </w:p>
    <w:p>
      <w:pPr>
        <w:pStyle w:val="Heading2"/>
      </w:pPr>
      <w:r>
        <w:t>11.2 参数配置表</w:t>
      </w:r>
    </w:p>
    <w:p>
      <w:pPr>
        <w:keepLines w:val="0"/>
        <w:widowControl/>
        <w:spacing w:after="120"/>
      </w:pPr>
      <w:r>
        <w:rPr>
          <w:rFonts w:ascii="Calibri" w:hAnsi="Calibri" w:eastAsia="等线"/>
          <w:color w:val="1F1F1F"/>
        </w:rPr>
        <w:t>下表范围是模型建议支持范围，用于输入校验和容量规划；不是硬件承诺。‘建议默认’标为MANDATORY的项目在正式性能运行中必须显式给出。</w:t>
      </w:r>
    </w:p>
    <w:p>
      <w:pPr>
        <w:pStyle w:val="Heading3"/>
      </w:pPr>
      <w:r>
        <w:t>11.2.1 全局、拓扑与路由参数</w:t>
      </w:r>
    </w:p>
    <w:tbl>
      <w:tblPr>
        <w:tblStyle w:val="TableGrid"/>
        <w:tblW w:type="dxa" w:w="9360"/>
        <w:jc w:val="left"/>
        <w:tblLayout w:type="fixed"/>
        <w:tblLook w:firstColumn="1" w:firstRow="1" w:lastColumn="0" w:lastRow="0" w:noHBand="0" w:noVBand="1" w:val="04A0"/>
        <w:tblInd w:w="120" w:type="dxa"/>
      </w:tblPr>
      <w:tblGrid>
        <w:gridCol w:w="1650"/>
        <w:gridCol w:w="1900"/>
        <w:gridCol w:w="1450"/>
        <w:gridCol w:w="1650"/>
        <w:gridCol w:w="2710"/>
      </w:tblGrid>
      <w:tr>
        <w:trPr>
          <w:cantSplit/>
          <w:tblHeader w:val="true"/>
        </w:trPr>
        <w:tc>
          <w:tcPr>
            <w:tcW w:type="dxa" w:w="165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参数</w:t>
            </w:r>
          </w:p>
        </w:tc>
        <w:tc>
          <w:tcPr>
            <w:tcW w:type="dxa" w:w="190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定义/单位</w:t>
            </w:r>
          </w:p>
        </w:tc>
        <w:tc>
          <w:tcPr>
            <w:tcW w:type="dxa" w:w="145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建议默认</w:t>
            </w:r>
          </w:p>
        </w:tc>
        <w:tc>
          <w:tcPr>
            <w:tcW w:type="dxa" w:w="165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建议范围</w:t>
            </w:r>
          </w:p>
        </w:tc>
        <w:tc>
          <w:tcPr>
            <w:tcW w:type="dxa" w:w="271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作用位置与性能影响</w:t>
            </w:r>
          </w:p>
        </w:tc>
      </w:tr>
      <w:tr>
        <w:tc>
          <w:tcPr>
            <w:tcW w:type="dxa" w:w="1650"/>
          </w:tcPr>
          <w:p>
            <w:pPr>
              <w:spacing w:after="0" w:line="240" w:lineRule="auto"/>
            </w:pPr>
            <w:r>
              <w:rPr>
                <w:rFonts w:ascii="Calibri" w:hAnsi="Calibri" w:eastAsia="等线"/>
                <w:b/>
                <w:color w:val="1F1F1F"/>
                <w:sz w:val="15"/>
              </w:rPr>
              <w:t>schema_version</w:t>
            </w:r>
          </w:p>
        </w:tc>
        <w:tc>
          <w:tcPr>
            <w:tcW w:type="dxa" w:w="1900"/>
          </w:tcPr>
          <w:p>
            <w:pPr>
              <w:spacing w:after="0" w:line="240" w:lineRule="auto"/>
            </w:pPr>
            <w:r>
              <w:rPr>
                <w:rFonts w:ascii="Calibri" w:hAnsi="Calibri" w:eastAsia="等线"/>
                <w:b w:val="0"/>
                <w:color w:val="1F1F1F"/>
                <w:sz w:val="15"/>
              </w:rPr>
              <w:t>配置Schema版本/字符串</w:t>
            </w:r>
          </w:p>
        </w:tc>
        <w:tc>
          <w:tcPr>
            <w:tcW w:type="dxa" w:w="1450"/>
          </w:tcPr>
          <w:p>
            <w:pPr>
              <w:spacing w:after="0" w:line="240" w:lineRule="auto"/>
            </w:pPr>
            <w:r>
              <w:rPr>
                <w:rFonts w:ascii="Calibri" w:hAnsi="Calibri" w:eastAsia="等线"/>
                <w:b w:val="0"/>
                <w:color w:val="1F1F1F"/>
                <w:sz w:val="15"/>
              </w:rPr>
              <w:t>1.0</w:t>
            </w:r>
          </w:p>
        </w:tc>
        <w:tc>
          <w:tcPr>
            <w:tcW w:type="dxa" w:w="1650"/>
          </w:tcPr>
          <w:p>
            <w:pPr>
              <w:spacing w:after="0" w:line="240" w:lineRule="auto"/>
            </w:pPr>
            <w:r>
              <w:rPr>
                <w:rFonts w:ascii="Calibri" w:hAnsi="Calibri" w:eastAsia="等线"/>
                <w:b w:val="0"/>
                <w:color w:val="1F1F1F"/>
                <w:sz w:val="15"/>
              </w:rPr>
              <w:t>受版本管理</w:t>
            </w:r>
          </w:p>
        </w:tc>
        <w:tc>
          <w:tcPr>
            <w:tcW w:type="dxa" w:w="2710"/>
          </w:tcPr>
          <w:p>
            <w:pPr>
              <w:spacing w:after="0" w:line="240" w:lineRule="auto"/>
            </w:pPr>
            <w:r>
              <w:rPr>
                <w:rFonts w:ascii="Calibri" w:hAnsi="Calibri" w:eastAsia="等线"/>
                <w:b w:val="0"/>
                <w:color w:val="1F1F1F"/>
                <w:sz w:val="15"/>
              </w:rPr>
              <w:t>配置与约束管理；决定字段解释和兼容策略。</w:t>
            </w:r>
          </w:p>
        </w:tc>
      </w:tr>
      <w:tr>
        <w:tc>
          <w:tcPr>
            <w:tcW w:type="dxa" w:w="1650"/>
          </w:tcPr>
          <w:p>
            <w:pPr>
              <w:spacing w:after="0" w:line="240" w:lineRule="auto"/>
            </w:pPr>
            <w:r>
              <w:rPr>
                <w:rFonts w:ascii="Calibri" w:hAnsi="Calibri" w:eastAsia="等线"/>
                <w:b/>
                <w:color w:val="1F1F1F"/>
                <w:sz w:val="15"/>
              </w:rPr>
              <w:t>clock_frequency</w:t>
            </w:r>
          </w:p>
        </w:tc>
        <w:tc>
          <w:tcPr>
            <w:tcW w:type="dxa" w:w="1900"/>
          </w:tcPr>
          <w:p>
            <w:pPr>
              <w:spacing w:after="0" w:line="240" w:lineRule="auto"/>
            </w:pPr>
            <w:r>
              <w:rPr>
                <w:rFonts w:ascii="Calibri" w:hAnsi="Calibri" w:eastAsia="等线"/>
                <w:b w:val="0"/>
                <w:color w:val="1F1F1F"/>
                <w:sz w:val="15"/>
              </w:rPr>
              <w:t>模型时钟/GHz</w:t>
            </w:r>
          </w:p>
        </w:tc>
        <w:tc>
          <w:tcPr>
            <w:tcW w:type="dxa" w:w="1450"/>
          </w:tcPr>
          <w:p>
            <w:pPr>
              <w:spacing w:after="0" w:line="240" w:lineRule="auto"/>
            </w:pPr>
            <w:r>
              <w:rPr>
                <w:rFonts w:ascii="Calibri" w:hAnsi="Calibri" w:eastAsia="等线"/>
                <w:b w:val="0"/>
                <w:color w:val="1F1F1F"/>
                <w:sz w:val="15"/>
              </w:rPr>
              <w:t>1.0（探索）</w:t>
            </w:r>
          </w:p>
        </w:tc>
        <w:tc>
          <w:tcPr>
            <w:tcW w:type="dxa" w:w="1650"/>
          </w:tcPr>
          <w:p>
            <w:pPr>
              <w:spacing w:after="0" w:line="240" w:lineRule="auto"/>
            </w:pPr>
            <w:r>
              <w:rPr>
                <w:rFonts w:ascii="Calibri" w:hAnsi="Calibri" w:eastAsia="等线"/>
                <w:b w:val="0"/>
                <w:color w:val="1F1F1F"/>
                <w:sz w:val="15"/>
              </w:rPr>
              <w:t>0.2–4.0</w:t>
            </w:r>
          </w:p>
        </w:tc>
        <w:tc>
          <w:tcPr>
            <w:tcW w:type="dxa" w:w="2710"/>
          </w:tcPr>
          <w:p>
            <w:pPr>
              <w:spacing w:after="0" w:line="240" w:lineRule="auto"/>
            </w:pPr>
            <w:r>
              <w:rPr>
                <w:rFonts w:ascii="Calibri" w:hAnsi="Calibri" w:eastAsia="等线"/>
                <w:b w:val="0"/>
                <w:color w:val="1F1F1F"/>
                <w:sz w:val="15"/>
              </w:rPr>
              <w:t>仅用于cycle与时间/带宽换算；不改变以cycle配置的事件顺序。</w:t>
            </w:r>
          </w:p>
        </w:tc>
      </w:tr>
      <w:tr>
        <w:tc>
          <w:tcPr>
            <w:tcW w:type="dxa" w:w="1650"/>
          </w:tcPr>
          <w:p>
            <w:pPr>
              <w:spacing w:after="0" w:line="240" w:lineRule="auto"/>
            </w:pPr>
            <w:r>
              <w:rPr>
                <w:rFonts w:ascii="Calibri" w:hAnsi="Calibri" w:eastAsia="等线"/>
                <w:b/>
                <w:color w:val="1F1F1F"/>
                <w:sz w:val="15"/>
              </w:rPr>
              <w:t>topology_type</w:t>
            </w:r>
          </w:p>
        </w:tc>
        <w:tc>
          <w:tcPr>
            <w:tcW w:type="dxa" w:w="1900"/>
          </w:tcPr>
          <w:p>
            <w:pPr>
              <w:spacing w:after="0" w:line="240" w:lineRule="auto"/>
            </w:pPr>
            <w:r>
              <w:rPr>
                <w:rFonts w:ascii="Calibri" w:hAnsi="Calibri" w:eastAsia="等线"/>
                <w:b w:val="0"/>
                <w:color w:val="1F1F1F"/>
                <w:sz w:val="15"/>
              </w:rPr>
              <w:t>互连拓扑/枚举</w:t>
            </w:r>
          </w:p>
        </w:tc>
        <w:tc>
          <w:tcPr>
            <w:tcW w:type="dxa" w:w="1450"/>
          </w:tcPr>
          <w:p>
            <w:pPr>
              <w:spacing w:after="0" w:line="240" w:lineRule="auto"/>
            </w:pPr>
            <w:r>
              <w:rPr>
                <w:rFonts w:ascii="Calibri" w:hAnsi="Calibri" w:eastAsia="等线"/>
                <w:b w:val="0"/>
                <w:color w:val="1F1F1F"/>
                <w:sz w:val="15"/>
              </w:rPr>
              <w:t>BIDIR_RING</w:t>
            </w:r>
          </w:p>
        </w:tc>
        <w:tc>
          <w:tcPr>
            <w:tcW w:type="dxa" w:w="1650"/>
          </w:tcPr>
          <w:p>
            <w:pPr>
              <w:spacing w:after="0" w:line="240" w:lineRule="auto"/>
            </w:pPr>
            <w:r>
              <w:rPr>
                <w:rFonts w:ascii="Calibri" w:hAnsi="Calibri" w:eastAsia="等线"/>
                <w:b w:val="0"/>
                <w:color w:val="1F1F1F"/>
                <w:sz w:val="15"/>
              </w:rPr>
              <w:t>BUS/RING/XBAR/MESH</w:t>
            </w:r>
          </w:p>
        </w:tc>
        <w:tc>
          <w:tcPr>
            <w:tcW w:type="dxa" w:w="2710"/>
          </w:tcPr>
          <w:p>
            <w:pPr>
              <w:spacing w:after="0" w:line="240" w:lineRule="auto"/>
            </w:pPr>
            <w:r>
              <w:rPr>
                <w:rFonts w:ascii="Calibri" w:hAnsi="Calibri" w:eastAsia="等线"/>
                <w:b w:val="0"/>
                <w:color w:val="1F1F1F"/>
                <w:sz w:val="15"/>
              </w:rPr>
              <w:t>选择传输平面；端点事务接口不变。</w:t>
            </w:r>
          </w:p>
        </w:tc>
      </w:tr>
      <w:tr>
        <w:tc>
          <w:tcPr>
            <w:tcW w:type="dxa" w:w="1650"/>
          </w:tcPr>
          <w:p>
            <w:pPr>
              <w:spacing w:after="0" w:line="240" w:lineRule="auto"/>
            </w:pPr>
            <w:r>
              <w:rPr>
                <w:rFonts w:ascii="Calibri" w:hAnsi="Calibri" w:eastAsia="等线"/>
                <w:b/>
                <w:color w:val="1F1F1F"/>
                <w:sz w:val="15"/>
              </w:rPr>
              <w:t>master_count</w:t>
            </w:r>
          </w:p>
        </w:tc>
        <w:tc>
          <w:tcPr>
            <w:tcW w:type="dxa" w:w="1900"/>
          </w:tcPr>
          <w:p>
            <w:pPr>
              <w:spacing w:after="0" w:line="240" w:lineRule="auto"/>
            </w:pPr>
            <w:r>
              <w:rPr>
                <w:rFonts w:ascii="Calibri" w:hAnsi="Calibri" w:eastAsia="等线"/>
                <w:b w:val="0"/>
                <w:color w:val="1F1F1F"/>
                <w:sz w:val="15"/>
              </w:rPr>
              <w:t>Master实例数/个</w:t>
            </w:r>
          </w:p>
        </w:tc>
        <w:tc>
          <w:tcPr>
            <w:tcW w:type="dxa" w:w="1450"/>
          </w:tcPr>
          <w:p>
            <w:pPr>
              <w:spacing w:after="0" w:line="240" w:lineRule="auto"/>
            </w:pPr>
            <w:r>
              <w:rPr>
                <w:rFonts w:ascii="Calibri" w:hAnsi="Calibri" w:eastAsia="等线"/>
                <w:b w:val="0"/>
                <w:color w:val="1F1F1F"/>
                <w:sz w:val="15"/>
              </w:rPr>
              <w:t>4（探索）</w:t>
            </w:r>
          </w:p>
        </w:tc>
        <w:tc>
          <w:tcPr>
            <w:tcW w:type="dxa" w:w="1650"/>
          </w:tcPr>
          <w:p>
            <w:pPr>
              <w:spacing w:after="0" w:line="240" w:lineRule="auto"/>
            </w:pPr>
            <w:r>
              <w:rPr>
                <w:rFonts w:ascii="Calibri" w:hAnsi="Calibri" w:eastAsia="等线"/>
                <w:b w:val="0"/>
                <w:color w:val="1F1F1F"/>
                <w:sz w:val="15"/>
              </w:rPr>
              <w:t>1–64</w:t>
            </w:r>
          </w:p>
        </w:tc>
        <w:tc>
          <w:tcPr>
            <w:tcW w:type="dxa" w:w="2710"/>
          </w:tcPr>
          <w:p>
            <w:pPr>
              <w:spacing w:after="0" w:line="240" w:lineRule="auto"/>
            </w:pPr>
            <w:r>
              <w:rPr>
                <w:rFonts w:ascii="Calibri" w:hAnsi="Calibri" w:eastAsia="等线"/>
                <w:b w:val="0"/>
                <w:color w:val="1F1F1F"/>
                <w:sz w:val="15"/>
              </w:rPr>
              <w:t>决定注入端数量、ID宽度和竞争规模。</w:t>
            </w:r>
          </w:p>
        </w:tc>
      </w:tr>
      <w:tr>
        <w:tc>
          <w:tcPr>
            <w:tcW w:type="dxa" w:w="1650"/>
          </w:tcPr>
          <w:p>
            <w:pPr>
              <w:spacing w:after="0" w:line="240" w:lineRule="auto"/>
            </w:pPr>
            <w:r>
              <w:rPr>
                <w:rFonts w:ascii="Calibri" w:hAnsi="Calibri" w:eastAsia="等线"/>
                <w:b/>
                <w:color w:val="1F1F1F"/>
                <w:sz w:val="15"/>
              </w:rPr>
              <w:t>target_count</w:t>
            </w:r>
          </w:p>
        </w:tc>
        <w:tc>
          <w:tcPr>
            <w:tcW w:type="dxa" w:w="1900"/>
          </w:tcPr>
          <w:p>
            <w:pPr>
              <w:spacing w:after="0" w:line="240" w:lineRule="auto"/>
            </w:pPr>
            <w:r>
              <w:rPr>
                <w:rFonts w:ascii="Calibri" w:hAnsi="Calibri" w:eastAsia="等线"/>
                <w:b w:val="0"/>
                <w:color w:val="1F1F1F"/>
                <w:sz w:val="15"/>
              </w:rPr>
              <w:t>Target实例数/个</w:t>
            </w:r>
          </w:p>
        </w:tc>
        <w:tc>
          <w:tcPr>
            <w:tcW w:type="dxa" w:w="1450"/>
          </w:tcPr>
          <w:p>
            <w:pPr>
              <w:spacing w:after="0" w:line="240" w:lineRule="auto"/>
            </w:pPr>
            <w:r>
              <w:rPr>
                <w:rFonts w:ascii="Calibri" w:hAnsi="Calibri" w:eastAsia="等线"/>
                <w:b w:val="0"/>
                <w:color w:val="1F1F1F"/>
                <w:sz w:val="15"/>
              </w:rPr>
              <w:t>4（探索）</w:t>
            </w:r>
          </w:p>
        </w:tc>
        <w:tc>
          <w:tcPr>
            <w:tcW w:type="dxa" w:w="1650"/>
          </w:tcPr>
          <w:p>
            <w:pPr>
              <w:spacing w:after="0" w:line="240" w:lineRule="auto"/>
            </w:pPr>
            <w:r>
              <w:rPr>
                <w:rFonts w:ascii="Calibri" w:hAnsi="Calibri" w:eastAsia="等线"/>
                <w:b w:val="0"/>
                <w:color w:val="1F1F1F"/>
                <w:sz w:val="15"/>
              </w:rPr>
              <w:t>1–32</w:t>
            </w:r>
          </w:p>
        </w:tc>
        <w:tc>
          <w:tcPr>
            <w:tcW w:type="dxa" w:w="2710"/>
          </w:tcPr>
          <w:p>
            <w:pPr>
              <w:spacing w:after="0" w:line="240" w:lineRule="auto"/>
            </w:pPr>
            <w:r>
              <w:rPr>
                <w:rFonts w:ascii="Calibri" w:hAnsi="Calibri" w:eastAsia="等线"/>
                <w:b w:val="0"/>
                <w:color w:val="1F1F1F"/>
                <w:sz w:val="15"/>
              </w:rPr>
              <w:t>决定地址分布、服务并行度和节点规模。</w:t>
            </w:r>
          </w:p>
        </w:tc>
      </w:tr>
      <w:tr>
        <w:tc>
          <w:tcPr>
            <w:tcW w:type="dxa" w:w="1650"/>
          </w:tcPr>
          <w:p>
            <w:pPr>
              <w:spacing w:after="0" w:line="240" w:lineRule="auto"/>
            </w:pPr>
            <w:r>
              <w:rPr>
                <w:rFonts w:ascii="Calibri" w:hAnsi="Calibri" w:eastAsia="等线"/>
                <w:b/>
                <w:color w:val="1F1F1F"/>
                <w:sz w:val="15"/>
              </w:rPr>
              <w:t>ring_node_count</w:t>
            </w:r>
          </w:p>
        </w:tc>
        <w:tc>
          <w:tcPr>
            <w:tcW w:type="dxa" w:w="1900"/>
          </w:tcPr>
          <w:p>
            <w:pPr>
              <w:spacing w:after="0" w:line="240" w:lineRule="auto"/>
            </w:pPr>
            <w:r>
              <w:rPr>
                <w:rFonts w:ascii="Calibri" w:hAnsi="Calibri" w:eastAsia="等线"/>
                <w:b w:val="0"/>
                <w:color w:val="1F1F1F"/>
                <w:sz w:val="15"/>
              </w:rPr>
              <w:t>Ring节点数/个</w:t>
            </w:r>
          </w:p>
        </w:tc>
        <w:tc>
          <w:tcPr>
            <w:tcW w:type="dxa" w:w="1450"/>
          </w:tcPr>
          <w:p>
            <w:pPr>
              <w:spacing w:after="0" w:line="240" w:lineRule="auto"/>
            </w:pPr>
            <w:r>
              <w:rPr>
                <w:rFonts w:ascii="Calibri" w:hAnsi="Calibri" w:eastAsia="等线"/>
                <w:b w:val="0"/>
                <w:color w:val="1F1F1F"/>
                <w:sz w:val="15"/>
              </w:rPr>
              <w:t>自动≥端点布点</w:t>
            </w:r>
          </w:p>
        </w:tc>
        <w:tc>
          <w:tcPr>
            <w:tcW w:type="dxa" w:w="1650"/>
          </w:tcPr>
          <w:p>
            <w:pPr>
              <w:spacing w:after="0" w:line="240" w:lineRule="auto"/>
            </w:pPr>
            <w:r>
              <w:rPr>
                <w:rFonts w:ascii="Calibri" w:hAnsi="Calibri" w:eastAsia="等线"/>
                <w:b w:val="0"/>
                <w:color w:val="1F1F1F"/>
                <w:sz w:val="15"/>
              </w:rPr>
              <w:t>2–128</w:t>
            </w:r>
          </w:p>
        </w:tc>
        <w:tc>
          <w:tcPr>
            <w:tcW w:type="dxa" w:w="2710"/>
          </w:tcPr>
          <w:p>
            <w:pPr>
              <w:spacing w:after="0" w:line="240" w:lineRule="auto"/>
            </w:pPr>
            <w:r>
              <w:rPr>
                <w:rFonts w:ascii="Calibri" w:hAnsi="Calibri" w:eastAsia="等线"/>
                <w:b w:val="0"/>
                <w:color w:val="1F1F1F"/>
                <w:sz w:val="15"/>
              </w:rPr>
              <w:t>决定跳数、链路数量和平均RTT。</w:t>
            </w:r>
          </w:p>
        </w:tc>
      </w:tr>
      <w:tr>
        <w:tc>
          <w:tcPr>
            <w:tcW w:type="dxa" w:w="1650"/>
          </w:tcPr>
          <w:p>
            <w:pPr>
              <w:spacing w:after="0" w:line="240" w:lineRule="auto"/>
            </w:pPr>
            <w:r>
              <w:rPr>
                <w:rFonts w:ascii="Calibri" w:hAnsi="Calibri" w:eastAsia="等线"/>
                <w:b/>
                <w:color w:val="1F1F1F"/>
                <w:sz w:val="15"/>
              </w:rPr>
              <w:t>endpoint_placement</w:t>
            </w:r>
          </w:p>
        </w:tc>
        <w:tc>
          <w:tcPr>
            <w:tcW w:type="dxa" w:w="1900"/>
          </w:tcPr>
          <w:p>
            <w:pPr>
              <w:spacing w:after="0" w:line="240" w:lineRule="auto"/>
            </w:pPr>
            <w:r>
              <w:rPr>
                <w:rFonts w:ascii="Calibri" w:hAnsi="Calibri" w:eastAsia="等线"/>
                <w:b w:val="0"/>
                <w:color w:val="1F1F1F"/>
                <w:sz w:val="15"/>
              </w:rPr>
              <w:t>端点到节点映射/表</w:t>
            </w:r>
          </w:p>
        </w:tc>
        <w:tc>
          <w:tcPr>
            <w:tcW w:type="dxa" w:w="1450"/>
          </w:tcPr>
          <w:p>
            <w:pPr>
              <w:spacing w:after="0" w:line="240" w:lineRule="auto"/>
            </w:pPr>
            <w:r>
              <w:rPr>
                <w:rFonts w:ascii="Calibri" w:hAnsi="Calibri" w:eastAsia="等线"/>
                <w:b w:val="0"/>
                <w:color w:val="1F1F1F"/>
                <w:sz w:val="15"/>
              </w:rPr>
              <w:t>均匀分散（探索）</w:t>
            </w:r>
          </w:p>
        </w:tc>
        <w:tc>
          <w:tcPr>
            <w:tcW w:type="dxa" w:w="1650"/>
          </w:tcPr>
          <w:p>
            <w:pPr>
              <w:spacing w:after="0" w:line="240" w:lineRule="auto"/>
            </w:pPr>
            <w:r>
              <w:rPr>
                <w:rFonts w:ascii="Calibri" w:hAnsi="Calibri" w:eastAsia="等线"/>
                <w:b w:val="0"/>
                <w:color w:val="1F1F1F"/>
                <w:sz w:val="15"/>
              </w:rPr>
              <w:t>完整显式映射</w:t>
            </w:r>
          </w:p>
        </w:tc>
        <w:tc>
          <w:tcPr>
            <w:tcW w:type="dxa" w:w="2710"/>
          </w:tcPr>
          <w:p>
            <w:pPr>
              <w:spacing w:after="0" w:line="240" w:lineRule="auto"/>
            </w:pPr>
            <w:r>
              <w:rPr>
                <w:rFonts w:ascii="Calibri" w:hAnsi="Calibri" w:eastAsia="等线"/>
                <w:b w:val="0"/>
                <w:color w:val="1F1F1F"/>
                <w:sz w:val="15"/>
              </w:rPr>
              <w:t>直接影响路径重叠和热点；正式运行建议显式。</w:t>
            </w:r>
          </w:p>
        </w:tc>
      </w:tr>
      <w:tr>
        <w:tc>
          <w:tcPr>
            <w:tcW w:type="dxa" w:w="1650"/>
          </w:tcPr>
          <w:p>
            <w:pPr>
              <w:spacing w:after="0" w:line="240" w:lineRule="auto"/>
            </w:pPr>
            <w:r>
              <w:rPr>
                <w:rFonts w:ascii="Calibri" w:hAnsi="Calibri" w:eastAsia="等线"/>
                <w:b/>
                <w:color w:val="1F1F1F"/>
                <w:sz w:val="15"/>
              </w:rPr>
              <w:t>route_policy</w:t>
            </w:r>
          </w:p>
        </w:tc>
        <w:tc>
          <w:tcPr>
            <w:tcW w:type="dxa" w:w="1900"/>
          </w:tcPr>
          <w:p>
            <w:pPr>
              <w:spacing w:after="0" w:line="240" w:lineRule="auto"/>
            </w:pPr>
            <w:r>
              <w:rPr>
                <w:rFonts w:ascii="Calibri" w:hAnsi="Calibri" w:eastAsia="等线"/>
                <w:b w:val="0"/>
                <w:color w:val="1F1F1F"/>
                <w:sz w:val="15"/>
              </w:rPr>
              <w:t>路径策略/枚举</w:t>
            </w:r>
          </w:p>
        </w:tc>
        <w:tc>
          <w:tcPr>
            <w:tcW w:type="dxa" w:w="1450"/>
          </w:tcPr>
          <w:p>
            <w:pPr>
              <w:spacing w:after="0" w:line="240" w:lineRule="auto"/>
            </w:pPr>
            <w:r>
              <w:rPr>
                <w:rFonts w:ascii="Calibri" w:hAnsi="Calibri" w:eastAsia="等线"/>
                <w:b w:val="0"/>
                <w:color w:val="1F1F1F"/>
                <w:sz w:val="15"/>
              </w:rPr>
              <w:t>SHORTEST_HASH_TIE</w:t>
            </w:r>
          </w:p>
        </w:tc>
        <w:tc>
          <w:tcPr>
            <w:tcW w:type="dxa" w:w="1650"/>
          </w:tcPr>
          <w:p>
            <w:pPr>
              <w:spacing w:after="0" w:line="240" w:lineRule="auto"/>
            </w:pPr>
            <w:r>
              <w:rPr>
                <w:rFonts w:ascii="Calibri" w:hAnsi="Calibri" w:eastAsia="等线"/>
                <w:b w:val="0"/>
                <w:color w:val="1F1F1F"/>
                <w:sz w:val="15"/>
              </w:rPr>
              <w:t>CW/CCW/SHORTEST_*</w:t>
            </w:r>
          </w:p>
        </w:tc>
        <w:tc>
          <w:tcPr>
            <w:tcW w:type="dxa" w:w="2710"/>
          </w:tcPr>
          <w:p>
            <w:pPr>
              <w:spacing w:after="0" w:line="240" w:lineRule="auto"/>
            </w:pPr>
            <w:r>
              <w:rPr>
                <w:rFonts w:ascii="Calibri" w:hAnsi="Calibri" w:eastAsia="等线"/>
                <w:b w:val="0"/>
                <w:color w:val="1F1F1F"/>
                <w:sz w:val="15"/>
              </w:rPr>
              <w:t>影响方向利用率、顺序与可复现性。</w:t>
            </w:r>
          </w:p>
        </w:tc>
      </w:tr>
      <w:tr>
        <w:tc>
          <w:tcPr>
            <w:tcW w:type="dxa" w:w="1650"/>
          </w:tcPr>
          <w:p>
            <w:pPr>
              <w:spacing w:after="0" w:line="240" w:lineRule="auto"/>
            </w:pPr>
            <w:r>
              <w:rPr>
                <w:rFonts w:ascii="Calibri" w:hAnsi="Calibri" w:eastAsia="等线"/>
                <w:b/>
                <w:color w:val="1F1F1F"/>
                <w:sz w:val="15"/>
              </w:rPr>
              <w:t>interleave_mode</w:t>
            </w:r>
          </w:p>
        </w:tc>
        <w:tc>
          <w:tcPr>
            <w:tcW w:type="dxa" w:w="1900"/>
          </w:tcPr>
          <w:p>
            <w:pPr>
              <w:spacing w:after="0" w:line="240" w:lineRule="auto"/>
            </w:pPr>
            <w:r>
              <w:rPr>
                <w:rFonts w:ascii="Calibri" w:hAnsi="Calibri" w:eastAsia="等线"/>
                <w:b w:val="0"/>
                <w:color w:val="1F1F1F"/>
                <w:sz w:val="15"/>
              </w:rPr>
              <w:t>交织策略/枚举</w:t>
            </w:r>
          </w:p>
        </w:tc>
        <w:tc>
          <w:tcPr>
            <w:tcW w:type="dxa" w:w="1450"/>
          </w:tcPr>
          <w:p>
            <w:pPr>
              <w:spacing w:after="0" w:line="240" w:lineRule="auto"/>
            </w:pPr>
            <w:r>
              <w:rPr>
                <w:rFonts w:ascii="Calibri" w:hAnsi="Calibri" w:eastAsia="等线"/>
                <w:b w:val="0"/>
                <w:color w:val="1F1F1F"/>
                <w:sz w:val="15"/>
              </w:rPr>
              <w:t>LINEAR</w:t>
            </w:r>
          </w:p>
        </w:tc>
        <w:tc>
          <w:tcPr>
            <w:tcW w:type="dxa" w:w="1650"/>
          </w:tcPr>
          <w:p>
            <w:pPr>
              <w:spacing w:after="0" w:line="240" w:lineRule="auto"/>
            </w:pPr>
            <w:r>
              <w:rPr>
                <w:rFonts w:ascii="Calibri" w:hAnsi="Calibri" w:eastAsia="等线"/>
                <w:b w:val="0"/>
                <w:color w:val="1F1F1F"/>
                <w:sz w:val="15"/>
              </w:rPr>
              <w:t>NONE/LINEAR/XOR</w:t>
            </w:r>
          </w:p>
        </w:tc>
        <w:tc>
          <w:tcPr>
            <w:tcW w:type="dxa" w:w="2710"/>
          </w:tcPr>
          <w:p>
            <w:pPr>
              <w:spacing w:after="0" w:line="240" w:lineRule="auto"/>
            </w:pPr>
            <w:r>
              <w:rPr>
                <w:rFonts w:ascii="Calibri" w:hAnsi="Calibri" w:eastAsia="等线"/>
                <w:b w:val="0"/>
                <w:color w:val="1F1F1F"/>
                <w:sz w:val="15"/>
              </w:rPr>
              <w:t>决定Target负载和地址局部性。</w:t>
            </w:r>
          </w:p>
        </w:tc>
      </w:tr>
      <w:tr>
        <w:tc>
          <w:tcPr>
            <w:tcW w:type="dxa" w:w="1650"/>
          </w:tcPr>
          <w:p>
            <w:pPr>
              <w:spacing w:after="0" w:line="240" w:lineRule="auto"/>
            </w:pPr>
            <w:r>
              <w:rPr>
                <w:rFonts w:ascii="Calibri" w:hAnsi="Calibri" w:eastAsia="等线"/>
                <w:b/>
                <w:color w:val="1F1F1F"/>
                <w:sz w:val="15"/>
              </w:rPr>
              <w:t>interleave_granule</w:t>
            </w:r>
          </w:p>
        </w:tc>
        <w:tc>
          <w:tcPr>
            <w:tcW w:type="dxa" w:w="1900"/>
          </w:tcPr>
          <w:p>
            <w:pPr>
              <w:spacing w:after="0" w:line="240" w:lineRule="auto"/>
            </w:pPr>
            <w:r>
              <w:rPr>
                <w:rFonts w:ascii="Calibri" w:hAnsi="Calibri" w:eastAsia="等线"/>
                <w:b w:val="0"/>
                <w:color w:val="1F1F1F"/>
                <w:sz w:val="15"/>
              </w:rPr>
              <w:t>交织粒度/Byte</w:t>
            </w:r>
          </w:p>
        </w:tc>
        <w:tc>
          <w:tcPr>
            <w:tcW w:type="dxa" w:w="1450"/>
          </w:tcPr>
          <w:p>
            <w:pPr>
              <w:spacing w:after="0" w:line="240" w:lineRule="auto"/>
            </w:pPr>
            <w:r>
              <w:rPr>
                <w:rFonts w:ascii="Calibri" w:hAnsi="Calibri" w:eastAsia="等线"/>
                <w:b w:val="0"/>
                <w:color w:val="1F1F1F"/>
                <w:sz w:val="15"/>
              </w:rPr>
              <w:t>128（探索）</w:t>
            </w:r>
          </w:p>
        </w:tc>
        <w:tc>
          <w:tcPr>
            <w:tcW w:type="dxa" w:w="1650"/>
          </w:tcPr>
          <w:p>
            <w:pPr>
              <w:spacing w:after="0" w:line="240" w:lineRule="auto"/>
            </w:pPr>
            <w:r>
              <w:rPr>
                <w:rFonts w:ascii="Calibri" w:hAnsi="Calibri" w:eastAsia="等线"/>
                <w:b w:val="0"/>
                <w:color w:val="1F1F1F"/>
                <w:sz w:val="15"/>
              </w:rPr>
              <w:t>64–4096，2的幂</w:t>
            </w:r>
          </w:p>
        </w:tc>
        <w:tc>
          <w:tcPr>
            <w:tcW w:type="dxa" w:w="2710"/>
          </w:tcPr>
          <w:p>
            <w:pPr>
              <w:spacing w:after="0" w:line="240" w:lineRule="auto"/>
            </w:pPr>
            <w:r>
              <w:rPr>
                <w:rFonts w:ascii="Calibri" w:hAnsi="Calibri" w:eastAsia="等线"/>
                <w:b w:val="0"/>
                <w:color w:val="1F1F1F"/>
                <w:sz w:val="15"/>
              </w:rPr>
              <w:t>小粒度提高均衡但增加分段；必须≥最小传输对齐。</w:t>
            </w:r>
          </w:p>
        </w:tc>
      </w:tr>
      <w:tr>
        <w:tc>
          <w:tcPr>
            <w:tcW w:type="dxa" w:w="1650"/>
          </w:tcPr>
          <w:p>
            <w:pPr>
              <w:spacing w:after="0" w:line="240" w:lineRule="auto"/>
            </w:pPr>
            <w:r>
              <w:rPr>
                <w:rFonts w:ascii="Calibri" w:hAnsi="Calibri" w:eastAsia="等线"/>
                <w:b/>
                <w:color w:val="1F1F1F"/>
                <w:sz w:val="15"/>
              </w:rPr>
              <w:t>address_map</w:t>
            </w:r>
          </w:p>
        </w:tc>
        <w:tc>
          <w:tcPr>
            <w:tcW w:type="dxa" w:w="1900"/>
          </w:tcPr>
          <w:p>
            <w:pPr>
              <w:spacing w:after="0" w:line="240" w:lineRule="auto"/>
            </w:pPr>
            <w:r>
              <w:rPr>
                <w:rFonts w:ascii="Calibri" w:hAnsi="Calibri" w:eastAsia="等线"/>
                <w:b w:val="0"/>
                <w:color w:val="1F1F1F"/>
                <w:sz w:val="15"/>
              </w:rPr>
              <w:t>地址域/结构</w:t>
            </w:r>
          </w:p>
        </w:tc>
        <w:tc>
          <w:tcPr>
            <w:tcW w:type="dxa" w:w="1450"/>
          </w:tcPr>
          <w:p>
            <w:pPr>
              <w:spacing w:after="0" w:line="240" w:lineRule="auto"/>
            </w:pPr>
            <w:r>
              <w:rPr>
                <w:rFonts w:ascii="Calibri" w:hAnsi="Calibri" w:eastAsia="等线"/>
                <w:b w:val="0"/>
                <w:color w:val="1F1F1F"/>
                <w:sz w:val="15"/>
              </w:rPr>
              <w:t>MANDATORY</w:t>
            </w:r>
          </w:p>
        </w:tc>
        <w:tc>
          <w:tcPr>
            <w:tcW w:type="dxa" w:w="1650"/>
          </w:tcPr>
          <w:p>
            <w:pPr>
              <w:spacing w:after="0" w:line="240" w:lineRule="auto"/>
            </w:pPr>
            <w:r>
              <w:rPr>
                <w:rFonts w:ascii="Calibri" w:hAnsi="Calibri" w:eastAsia="等线"/>
                <w:b w:val="0"/>
                <w:color w:val="1F1F1F"/>
                <w:sz w:val="15"/>
              </w:rPr>
              <w:t>不重叠、完整定义</w:t>
            </w:r>
          </w:p>
        </w:tc>
        <w:tc>
          <w:tcPr>
            <w:tcW w:type="dxa" w:w="2710"/>
          </w:tcPr>
          <w:p>
            <w:pPr>
              <w:spacing w:after="0" w:line="240" w:lineRule="auto"/>
            </w:pPr>
            <w:r>
              <w:rPr>
                <w:rFonts w:ascii="Calibri" w:hAnsi="Calibri" w:eastAsia="等线"/>
                <w:b w:val="0"/>
                <w:color w:val="1F1F1F"/>
                <w:sz w:val="15"/>
              </w:rPr>
              <w:t>地址映射与交织引擎；非法/空洞地址默认报错。</w:t>
            </w:r>
          </w:p>
        </w:tc>
      </w:tr>
    </w:tbl>
    <w:p>
      <w:pPr>
        <w:spacing w:after="0"/>
      </w:pPr>
    </w:p>
    <w:p>
      <w:pPr>
        <w:pStyle w:val="Heading3"/>
      </w:pPr>
      <w:r>
        <w:t>11.2.2 Master、Router与Link参数</w:t>
      </w:r>
    </w:p>
    <w:tbl>
      <w:tblPr>
        <w:tblStyle w:val="TableGrid"/>
        <w:tblW w:type="dxa" w:w="9360"/>
        <w:jc w:val="left"/>
        <w:tblLayout w:type="fixed"/>
        <w:tblLook w:firstColumn="1" w:firstRow="1" w:lastColumn="0" w:lastRow="0" w:noHBand="0" w:noVBand="1" w:val="04A0"/>
        <w:tblInd w:w="120" w:type="dxa"/>
      </w:tblPr>
      <w:tblGrid>
        <w:gridCol w:w="1650"/>
        <w:gridCol w:w="1900"/>
        <w:gridCol w:w="1450"/>
        <w:gridCol w:w="1650"/>
        <w:gridCol w:w="2710"/>
      </w:tblGrid>
      <w:tr>
        <w:trPr>
          <w:cantSplit/>
          <w:tblHeader w:val="true"/>
        </w:trPr>
        <w:tc>
          <w:tcPr>
            <w:tcW w:type="dxa" w:w="1650"/>
            <w:tcMar>
              <w:top w:w="80" w:type="dxa"/>
              <w:start w:w="120" w:type="dxa"/>
              <w:bottom w:w="80" w:type="dxa"/>
              <w:end w:w="120" w:type="dxa"/>
            </w:tcMar>
            <w:vAlign w:val="center"/>
            <w:shd w:fill="F2F4F7"/>
          </w:tcPr>
          <w:p>
            <w:pPr>
              <w:spacing w:after="0"/>
              <w:jc w:val="left"/>
            </w:pPr>
            <w:r>
              <w:rPr>
                <w:rFonts w:ascii="Calibri" w:hAnsi="Calibri" w:eastAsia="等线"/>
                <w:b/>
                <w:color w:val="1F4E79"/>
                <w:sz w:val="14"/>
              </w:rPr>
              <w:t>参数</w:t>
            </w:r>
          </w:p>
        </w:tc>
        <w:tc>
          <w:tcPr>
            <w:tcW w:type="dxa" w:w="1900"/>
            <w:tcMar>
              <w:top w:w="80" w:type="dxa"/>
              <w:start w:w="120" w:type="dxa"/>
              <w:bottom w:w="80" w:type="dxa"/>
              <w:end w:w="120" w:type="dxa"/>
            </w:tcMar>
            <w:vAlign w:val="center"/>
            <w:shd w:fill="F2F4F7"/>
          </w:tcPr>
          <w:p>
            <w:pPr>
              <w:spacing w:after="0"/>
              <w:jc w:val="left"/>
            </w:pPr>
            <w:r>
              <w:rPr>
                <w:rFonts w:ascii="Calibri" w:hAnsi="Calibri" w:eastAsia="等线"/>
                <w:b/>
                <w:color w:val="1F4E79"/>
                <w:sz w:val="14"/>
              </w:rPr>
              <w:t>定义/单位</w:t>
            </w:r>
          </w:p>
        </w:tc>
        <w:tc>
          <w:tcPr>
            <w:tcW w:type="dxa" w:w="1450"/>
            <w:tcMar>
              <w:top w:w="80" w:type="dxa"/>
              <w:start w:w="120" w:type="dxa"/>
              <w:bottom w:w="80" w:type="dxa"/>
              <w:end w:w="120" w:type="dxa"/>
            </w:tcMar>
            <w:vAlign w:val="center"/>
            <w:shd w:fill="F2F4F7"/>
          </w:tcPr>
          <w:p>
            <w:pPr>
              <w:spacing w:after="0"/>
              <w:jc w:val="left"/>
            </w:pPr>
            <w:r>
              <w:rPr>
                <w:rFonts w:ascii="Calibri" w:hAnsi="Calibri" w:eastAsia="等线"/>
                <w:b/>
                <w:color w:val="1F4E79"/>
                <w:sz w:val="14"/>
              </w:rPr>
              <w:t>建议默认</w:t>
            </w:r>
          </w:p>
        </w:tc>
        <w:tc>
          <w:tcPr>
            <w:tcW w:type="dxa" w:w="1650"/>
            <w:tcMar>
              <w:top w:w="80" w:type="dxa"/>
              <w:start w:w="120" w:type="dxa"/>
              <w:bottom w:w="80" w:type="dxa"/>
              <w:end w:w="120" w:type="dxa"/>
            </w:tcMar>
            <w:vAlign w:val="center"/>
            <w:shd w:fill="F2F4F7"/>
          </w:tcPr>
          <w:p>
            <w:pPr>
              <w:spacing w:after="0"/>
              <w:jc w:val="left"/>
            </w:pPr>
            <w:r>
              <w:rPr>
                <w:rFonts w:ascii="Calibri" w:hAnsi="Calibri" w:eastAsia="等线"/>
                <w:b/>
                <w:color w:val="1F4E79"/>
                <w:sz w:val="14"/>
              </w:rPr>
              <w:t>建议范围</w:t>
            </w:r>
          </w:p>
        </w:tc>
        <w:tc>
          <w:tcPr>
            <w:tcW w:type="dxa" w:w="2710"/>
            <w:tcMar>
              <w:top w:w="80" w:type="dxa"/>
              <w:start w:w="120" w:type="dxa"/>
              <w:bottom w:w="80" w:type="dxa"/>
              <w:end w:w="120" w:type="dxa"/>
            </w:tcMar>
            <w:vAlign w:val="center"/>
            <w:shd w:fill="F2F4F7"/>
          </w:tcPr>
          <w:p>
            <w:pPr>
              <w:spacing w:after="0"/>
              <w:jc w:val="left"/>
            </w:pPr>
            <w:r>
              <w:rPr>
                <w:rFonts w:ascii="Calibri" w:hAnsi="Calibri" w:eastAsia="等线"/>
                <w:b/>
                <w:color w:val="1F4E79"/>
                <w:sz w:val="14"/>
              </w:rPr>
              <w:t>作用位置与性能影响</w:t>
            </w:r>
          </w:p>
        </w:tc>
      </w:tr>
      <w:tr>
        <w:tc>
          <w:tcPr>
            <w:tcW w:type="dxa" w:w="1650"/>
          </w:tcPr>
          <w:p>
            <w:pPr>
              <w:spacing w:after="0" w:line="240" w:lineRule="auto"/>
            </w:pPr>
            <w:r>
              <w:rPr>
                <w:rFonts w:ascii="Calibri" w:hAnsi="Calibri" w:eastAsia="等线"/>
                <w:b/>
                <w:color w:val="1F1F1F"/>
                <w:sz w:val="14"/>
              </w:rPr>
              <w:t>master_read_osd</w:t>
            </w:r>
          </w:p>
        </w:tc>
        <w:tc>
          <w:tcPr>
            <w:tcW w:type="dxa" w:w="1900"/>
          </w:tcPr>
          <w:p>
            <w:pPr>
              <w:spacing w:after="0" w:line="240" w:lineRule="auto"/>
            </w:pPr>
            <w:r>
              <w:rPr>
                <w:rFonts w:ascii="Calibri" w:hAnsi="Calibri" w:eastAsia="等线"/>
                <w:b w:val="0"/>
                <w:color w:val="1F1F1F"/>
                <w:sz w:val="14"/>
              </w:rPr>
              <w:t>每Master读Outstanding/事务</w:t>
            </w:r>
          </w:p>
        </w:tc>
        <w:tc>
          <w:tcPr>
            <w:tcW w:type="dxa" w:w="1450"/>
          </w:tcPr>
          <w:p>
            <w:pPr>
              <w:spacing w:after="0" w:line="240" w:lineRule="auto"/>
            </w:pPr>
            <w:r>
              <w:rPr>
                <w:rFonts w:ascii="Calibri" w:hAnsi="Calibri" w:eastAsia="等线"/>
                <w:b w:val="0"/>
                <w:color w:val="1F1F1F"/>
                <w:sz w:val="14"/>
              </w:rPr>
              <w:t>16（探索）</w:t>
            </w:r>
          </w:p>
        </w:tc>
        <w:tc>
          <w:tcPr>
            <w:tcW w:type="dxa" w:w="1650"/>
          </w:tcPr>
          <w:p>
            <w:pPr>
              <w:spacing w:after="0" w:line="240" w:lineRule="auto"/>
            </w:pPr>
            <w:r>
              <w:rPr>
                <w:rFonts w:ascii="Calibri" w:hAnsi="Calibri" w:eastAsia="等线"/>
                <w:b w:val="0"/>
                <w:color w:val="1F1F1F"/>
                <w:sz w:val="14"/>
              </w:rPr>
              <w:t>1–256</w:t>
            </w:r>
          </w:p>
        </w:tc>
        <w:tc>
          <w:tcPr>
            <w:tcW w:type="dxa" w:w="2710"/>
          </w:tcPr>
          <w:p>
            <w:pPr>
              <w:spacing w:after="0" w:line="240" w:lineRule="auto"/>
            </w:pPr>
            <w:r>
              <w:rPr>
                <w:rFonts w:ascii="Calibri" w:hAnsi="Calibri" w:eastAsia="等线"/>
                <w:b w:val="0"/>
                <w:color w:val="1F1F1F"/>
                <w:sz w:val="14"/>
              </w:rPr>
              <w:t>Master网络接口；过小限制带宽时延积，过大增加拥塞。</w:t>
            </w:r>
          </w:p>
        </w:tc>
      </w:tr>
      <w:tr>
        <w:tc>
          <w:tcPr>
            <w:tcW w:type="dxa" w:w="1650"/>
          </w:tcPr>
          <w:p>
            <w:pPr>
              <w:spacing w:after="0" w:line="240" w:lineRule="auto"/>
            </w:pPr>
            <w:r>
              <w:rPr>
                <w:rFonts w:ascii="Calibri" w:hAnsi="Calibri" w:eastAsia="等线"/>
                <w:b/>
                <w:color w:val="1F1F1F"/>
                <w:sz w:val="14"/>
              </w:rPr>
              <w:t>master_write_osd</w:t>
            </w:r>
          </w:p>
        </w:tc>
        <w:tc>
          <w:tcPr>
            <w:tcW w:type="dxa" w:w="1900"/>
          </w:tcPr>
          <w:p>
            <w:pPr>
              <w:spacing w:after="0" w:line="240" w:lineRule="auto"/>
            </w:pPr>
            <w:r>
              <w:rPr>
                <w:rFonts w:ascii="Calibri" w:hAnsi="Calibri" w:eastAsia="等线"/>
                <w:b w:val="0"/>
                <w:color w:val="1F1F1F"/>
                <w:sz w:val="14"/>
              </w:rPr>
              <w:t>每Master写Outstanding/事务</w:t>
            </w:r>
          </w:p>
        </w:tc>
        <w:tc>
          <w:tcPr>
            <w:tcW w:type="dxa" w:w="1450"/>
          </w:tcPr>
          <w:p>
            <w:pPr>
              <w:spacing w:after="0" w:line="240" w:lineRule="auto"/>
            </w:pPr>
            <w:r>
              <w:rPr>
                <w:rFonts w:ascii="Calibri" w:hAnsi="Calibri" w:eastAsia="等线"/>
                <w:b w:val="0"/>
                <w:color w:val="1F1F1F"/>
                <w:sz w:val="14"/>
              </w:rPr>
              <w:t>16（探索）</w:t>
            </w:r>
          </w:p>
        </w:tc>
        <w:tc>
          <w:tcPr>
            <w:tcW w:type="dxa" w:w="1650"/>
          </w:tcPr>
          <w:p>
            <w:pPr>
              <w:spacing w:after="0" w:line="240" w:lineRule="auto"/>
            </w:pPr>
            <w:r>
              <w:rPr>
                <w:rFonts w:ascii="Calibri" w:hAnsi="Calibri" w:eastAsia="等线"/>
                <w:b w:val="0"/>
                <w:color w:val="1F1F1F"/>
                <w:sz w:val="14"/>
              </w:rPr>
              <w:t>1–256</w:t>
            </w:r>
          </w:p>
        </w:tc>
        <w:tc>
          <w:tcPr>
            <w:tcW w:type="dxa" w:w="2710"/>
          </w:tcPr>
          <w:p>
            <w:pPr>
              <w:spacing w:after="0" w:line="240" w:lineRule="auto"/>
            </w:pPr>
            <w:r>
              <w:rPr>
                <w:rFonts w:ascii="Calibri" w:hAnsi="Calibri" w:eastAsia="等线"/>
                <w:b w:val="0"/>
                <w:color w:val="1F1F1F"/>
                <w:sz w:val="14"/>
              </w:rPr>
              <w:t>覆盖请求至最终完成的写生命周期。</w:t>
            </w:r>
          </w:p>
        </w:tc>
      </w:tr>
      <w:tr>
        <w:tc>
          <w:tcPr>
            <w:tcW w:type="dxa" w:w="1650"/>
          </w:tcPr>
          <w:p>
            <w:pPr>
              <w:spacing w:after="0" w:line="240" w:lineRule="auto"/>
            </w:pPr>
            <w:r>
              <w:rPr>
                <w:rFonts w:ascii="Calibri" w:hAnsi="Calibri" w:eastAsia="等线"/>
                <w:b/>
                <w:color w:val="1F1F1F"/>
                <w:sz w:val="14"/>
              </w:rPr>
              <w:t>master_req_fifo_depth</w:t>
            </w:r>
          </w:p>
        </w:tc>
        <w:tc>
          <w:tcPr>
            <w:tcW w:type="dxa" w:w="1900"/>
          </w:tcPr>
          <w:p>
            <w:pPr>
              <w:spacing w:after="0" w:line="240" w:lineRule="auto"/>
            </w:pPr>
            <w:r>
              <w:rPr>
                <w:rFonts w:ascii="Calibri" w:hAnsi="Calibri" w:eastAsia="等线"/>
                <w:b w:val="0"/>
                <w:color w:val="1F1F1F"/>
                <w:sz w:val="14"/>
              </w:rPr>
              <w:t>请求FIFO/段</w:t>
            </w:r>
          </w:p>
        </w:tc>
        <w:tc>
          <w:tcPr>
            <w:tcW w:type="dxa" w:w="1450"/>
          </w:tcPr>
          <w:p>
            <w:pPr>
              <w:spacing w:after="0" w:line="240" w:lineRule="auto"/>
            </w:pPr>
            <w:r>
              <w:rPr>
                <w:rFonts w:ascii="Calibri" w:hAnsi="Calibri" w:eastAsia="等线"/>
                <w:b w:val="0"/>
                <w:color w:val="1F1F1F"/>
                <w:sz w:val="14"/>
              </w:rPr>
              <w:t>8</w:t>
            </w:r>
          </w:p>
        </w:tc>
        <w:tc>
          <w:tcPr>
            <w:tcW w:type="dxa" w:w="1650"/>
          </w:tcPr>
          <w:p>
            <w:pPr>
              <w:spacing w:after="0" w:line="240" w:lineRule="auto"/>
            </w:pPr>
            <w:r>
              <w:rPr>
                <w:rFonts w:ascii="Calibri" w:hAnsi="Calibri" w:eastAsia="等线"/>
                <w:b w:val="0"/>
                <w:color w:val="1F1F1F"/>
                <w:sz w:val="14"/>
              </w:rPr>
              <w:t>1–256</w:t>
            </w:r>
          </w:p>
        </w:tc>
        <w:tc>
          <w:tcPr>
            <w:tcW w:type="dxa" w:w="2710"/>
          </w:tcPr>
          <w:p>
            <w:pPr>
              <w:spacing w:after="0" w:line="240" w:lineRule="auto"/>
            </w:pPr>
            <w:r>
              <w:rPr>
                <w:rFonts w:ascii="Calibri" w:hAnsi="Calibri" w:eastAsia="等线"/>
                <w:b w:val="0"/>
                <w:color w:val="1F1F1F"/>
                <w:sz w:val="14"/>
              </w:rPr>
              <w:t>吸收源端突发；不替代OSD。</w:t>
            </w:r>
          </w:p>
        </w:tc>
      </w:tr>
      <w:tr>
        <w:tc>
          <w:tcPr>
            <w:tcW w:type="dxa" w:w="1650"/>
          </w:tcPr>
          <w:p>
            <w:pPr>
              <w:spacing w:after="0" w:line="240" w:lineRule="auto"/>
            </w:pPr>
            <w:r>
              <w:rPr>
                <w:rFonts w:ascii="Calibri" w:hAnsi="Calibri" w:eastAsia="等线"/>
                <w:b/>
                <w:color w:val="1F1F1F"/>
                <w:sz w:val="14"/>
              </w:rPr>
              <w:t>master_wdata_fifo_depth</w:t>
            </w:r>
          </w:p>
        </w:tc>
        <w:tc>
          <w:tcPr>
            <w:tcW w:type="dxa" w:w="1900"/>
          </w:tcPr>
          <w:p>
            <w:pPr>
              <w:spacing w:after="0" w:line="240" w:lineRule="auto"/>
            </w:pPr>
            <w:r>
              <w:rPr>
                <w:rFonts w:ascii="Calibri" w:hAnsi="Calibri" w:eastAsia="等线"/>
                <w:b w:val="0"/>
                <w:color w:val="1F1F1F"/>
                <w:sz w:val="14"/>
              </w:rPr>
              <w:t>写数据FIFO/段</w:t>
            </w:r>
          </w:p>
        </w:tc>
        <w:tc>
          <w:tcPr>
            <w:tcW w:type="dxa" w:w="1450"/>
          </w:tcPr>
          <w:p>
            <w:pPr>
              <w:spacing w:after="0" w:line="240" w:lineRule="auto"/>
            </w:pPr>
            <w:r>
              <w:rPr>
                <w:rFonts w:ascii="Calibri" w:hAnsi="Calibri" w:eastAsia="等线"/>
                <w:b w:val="0"/>
                <w:color w:val="1F1F1F"/>
                <w:sz w:val="14"/>
              </w:rPr>
              <w:t>8</w:t>
            </w:r>
          </w:p>
        </w:tc>
        <w:tc>
          <w:tcPr>
            <w:tcW w:type="dxa" w:w="1650"/>
          </w:tcPr>
          <w:p>
            <w:pPr>
              <w:spacing w:after="0" w:line="240" w:lineRule="auto"/>
            </w:pPr>
            <w:r>
              <w:rPr>
                <w:rFonts w:ascii="Calibri" w:hAnsi="Calibri" w:eastAsia="等线"/>
                <w:b w:val="0"/>
                <w:color w:val="1F1F1F"/>
                <w:sz w:val="14"/>
              </w:rPr>
              <w:t>1–256</w:t>
            </w:r>
          </w:p>
        </w:tc>
        <w:tc>
          <w:tcPr>
            <w:tcW w:type="dxa" w:w="2710"/>
          </w:tcPr>
          <w:p>
            <w:pPr>
              <w:spacing w:after="0" w:line="240" w:lineRule="auto"/>
            </w:pPr>
            <w:r>
              <w:rPr>
                <w:rFonts w:ascii="Calibri" w:hAnsi="Calibri" w:eastAsia="等线"/>
                <w:b w:val="0"/>
                <w:color w:val="1F1F1F"/>
                <w:sz w:val="14"/>
              </w:rPr>
              <w:t>影响Grant后数据供应和头数据解耦。</w:t>
            </w:r>
          </w:p>
        </w:tc>
      </w:tr>
      <w:tr>
        <w:tc>
          <w:tcPr>
            <w:tcW w:type="dxa" w:w="1650"/>
          </w:tcPr>
          <w:p>
            <w:pPr>
              <w:spacing w:after="0" w:line="240" w:lineRule="auto"/>
            </w:pPr>
            <w:r>
              <w:rPr>
                <w:rFonts w:ascii="Calibri" w:hAnsi="Calibri" w:eastAsia="等线"/>
                <w:b/>
                <w:color w:val="1F1F1F"/>
                <w:sz w:val="14"/>
              </w:rPr>
              <w:t>router_input_fifo_depth</w:t>
            </w:r>
          </w:p>
        </w:tc>
        <w:tc>
          <w:tcPr>
            <w:tcW w:type="dxa" w:w="1900"/>
          </w:tcPr>
          <w:p>
            <w:pPr>
              <w:spacing w:after="0" w:line="240" w:lineRule="auto"/>
            </w:pPr>
            <w:r>
              <w:rPr>
                <w:rFonts w:ascii="Calibri" w:hAnsi="Calibri" w:eastAsia="等线"/>
                <w:b w:val="0"/>
                <w:color w:val="1F1F1F"/>
                <w:sz w:val="14"/>
              </w:rPr>
              <w:t>每端口每逻辑类/段</w:t>
            </w:r>
          </w:p>
        </w:tc>
        <w:tc>
          <w:tcPr>
            <w:tcW w:type="dxa" w:w="1450"/>
          </w:tcPr>
          <w:p>
            <w:pPr>
              <w:spacing w:after="0" w:line="240" w:lineRule="auto"/>
            </w:pPr>
            <w:r>
              <w:rPr>
                <w:rFonts w:ascii="Calibri" w:hAnsi="Calibri" w:eastAsia="等线"/>
                <w:b w:val="0"/>
                <w:color w:val="1F1F1F"/>
                <w:sz w:val="14"/>
              </w:rPr>
              <w:t>4</w:t>
            </w:r>
          </w:p>
        </w:tc>
        <w:tc>
          <w:tcPr>
            <w:tcW w:type="dxa" w:w="1650"/>
          </w:tcPr>
          <w:p>
            <w:pPr>
              <w:spacing w:after="0" w:line="240" w:lineRule="auto"/>
            </w:pPr>
            <w:r>
              <w:rPr>
                <w:rFonts w:ascii="Calibri" w:hAnsi="Calibri" w:eastAsia="等线"/>
                <w:b w:val="0"/>
                <w:color w:val="1F1F1F"/>
                <w:sz w:val="14"/>
              </w:rPr>
              <w:t>1–64</w:t>
            </w:r>
          </w:p>
        </w:tc>
        <w:tc>
          <w:tcPr>
            <w:tcW w:type="dxa" w:w="2710"/>
          </w:tcPr>
          <w:p>
            <w:pPr>
              <w:spacing w:after="0" w:line="240" w:lineRule="auto"/>
            </w:pPr>
            <w:r>
              <w:rPr>
                <w:rFonts w:ascii="Calibri" w:hAnsi="Calibri" w:eastAsia="等线"/>
                <w:b w:val="0"/>
                <w:color w:val="1F1F1F"/>
                <w:sz w:val="14"/>
              </w:rPr>
              <w:t>决定局部突发吸收和HOL；过深会增加缓冲延迟。</w:t>
            </w:r>
          </w:p>
        </w:tc>
      </w:tr>
      <w:tr>
        <w:tc>
          <w:tcPr>
            <w:tcW w:type="dxa" w:w="1650"/>
          </w:tcPr>
          <w:p>
            <w:pPr>
              <w:spacing w:after="0" w:line="240" w:lineRule="auto"/>
            </w:pPr>
            <w:r>
              <w:rPr>
                <w:rFonts w:ascii="Calibri" w:hAnsi="Calibri" w:eastAsia="等线"/>
                <w:b/>
                <w:color w:val="1F1F1F"/>
                <w:sz w:val="14"/>
              </w:rPr>
              <w:t>router_pipeline_latency</w:t>
            </w:r>
          </w:p>
        </w:tc>
        <w:tc>
          <w:tcPr>
            <w:tcW w:type="dxa" w:w="1900"/>
          </w:tcPr>
          <w:p>
            <w:pPr>
              <w:spacing w:after="0" w:line="240" w:lineRule="auto"/>
            </w:pPr>
            <w:r>
              <w:rPr>
                <w:rFonts w:ascii="Calibri" w:hAnsi="Calibri" w:eastAsia="等线"/>
                <w:b w:val="0"/>
                <w:color w:val="1F1F1F"/>
                <w:sz w:val="14"/>
              </w:rPr>
              <w:t>Router固定流水/cycle</w:t>
            </w:r>
          </w:p>
        </w:tc>
        <w:tc>
          <w:tcPr>
            <w:tcW w:type="dxa" w:w="1450"/>
          </w:tcPr>
          <w:p>
            <w:pPr>
              <w:spacing w:after="0" w:line="240" w:lineRule="auto"/>
            </w:pPr>
            <w:r>
              <w:rPr>
                <w:rFonts w:ascii="Calibri" w:hAnsi="Calibri" w:eastAsia="等线"/>
                <w:b w:val="0"/>
                <w:color w:val="1F1F1F"/>
                <w:sz w:val="14"/>
              </w:rPr>
              <w:t>1（探索）</w:t>
            </w:r>
          </w:p>
        </w:tc>
        <w:tc>
          <w:tcPr>
            <w:tcW w:type="dxa" w:w="1650"/>
          </w:tcPr>
          <w:p>
            <w:pPr>
              <w:spacing w:after="0" w:line="240" w:lineRule="auto"/>
            </w:pPr>
            <w:r>
              <w:rPr>
                <w:rFonts w:ascii="Calibri" w:hAnsi="Calibri" w:eastAsia="等线"/>
                <w:b w:val="0"/>
                <w:color w:val="1F1F1F"/>
                <w:sz w:val="14"/>
              </w:rPr>
              <w:t>0–8</w:t>
            </w:r>
          </w:p>
        </w:tc>
        <w:tc>
          <w:tcPr>
            <w:tcW w:type="dxa" w:w="2710"/>
          </w:tcPr>
          <w:p>
            <w:pPr>
              <w:spacing w:after="0" w:line="240" w:lineRule="auto"/>
            </w:pPr>
            <w:r>
              <w:rPr>
                <w:rFonts w:ascii="Calibri" w:hAnsi="Calibri" w:eastAsia="等线"/>
                <w:b w:val="0"/>
                <w:color w:val="1F1F1F"/>
                <w:sz w:val="14"/>
              </w:rPr>
              <w:t>每跳唯一固定项；0仅用于理想敏感度。</w:t>
            </w:r>
          </w:p>
        </w:tc>
      </w:tr>
      <w:tr>
        <w:tc>
          <w:tcPr>
            <w:tcW w:type="dxa" w:w="1650"/>
          </w:tcPr>
          <w:p>
            <w:pPr>
              <w:spacing w:after="0" w:line="240" w:lineRule="auto"/>
            </w:pPr>
            <w:r>
              <w:rPr>
                <w:rFonts w:ascii="Calibri" w:hAnsi="Calibri" w:eastAsia="等线"/>
                <w:b/>
                <w:color w:val="1F1F1F"/>
                <w:sz w:val="14"/>
              </w:rPr>
              <w:t>arbitration_policy</w:t>
            </w:r>
          </w:p>
        </w:tc>
        <w:tc>
          <w:tcPr>
            <w:tcW w:type="dxa" w:w="1900"/>
          </w:tcPr>
          <w:p>
            <w:pPr>
              <w:spacing w:after="0" w:line="240" w:lineRule="auto"/>
            </w:pPr>
            <w:r>
              <w:rPr>
                <w:rFonts w:ascii="Calibri" w:hAnsi="Calibri" w:eastAsia="等线"/>
                <w:b w:val="0"/>
                <w:color w:val="1F1F1F"/>
                <w:sz w:val="14"/>
              </w:rPr>
              <w:t>输出仲裁/枚举</w:t>
            </w:r>
          </w:p>
        </w:tc>
        <w:tc>
          <w:tcPr>
            <w:tcW w:type="dxa" w:w="1450"/>
          </w:tcPr>
          <w:p>
            <w:pPr>
              <w:spacing w:after="0" w:line="240" w:lineRule="auto"/>
            </w:pPr>
            <w:r>
              <w:rPr>
                <w:rFonts w:ascii="Calibri" w:hAnsi="Calibri" w:eastAsia="等线"/>
                <w:b w:val="0"/>
                <w:color w:val="1F1F1F"/>
                <w:sz w:val="14"/>
              </w:rPr>
              <w:t>RR_WITH_AGE</w:t>
            </w:r>
          </w:p>
        </w:tc>
        <w:tc>
          <w:tcPr>
            <w:tcW w:type="dxa" w:w="1650"/>
          </w:tcPr>
          <w:p>
            <w:pPr>
              <w:spacing w:after="0" w:line="240" w:lineRule="auto"/>
            </w:pPr>
            <w:r>
              <w:rPr>
                <w:rFonts w:ascii="Calibri" w:hAnsi="Calibri" w:eastAsia="等线"/>
                <w:b w:val="0"/>
                <w:color w:val="1F1F1F"/>
                <w:sz w:val="14"/>
              </w:rPr>
              <w:t>RR/WRR/FIXED/AGE</w:t>
            </w:r>
          </w:p>
        </w:tc>
        <w:tc>
          <w:tcPr>
            <w:tcW w:type="dxa" w:w="2710"/>
          </w:tcPr>
          <w:p>
            <w:pPr>
              <w:spacing w:after="0" w:line="240" w:lineRule="auto"/>
            </w:pPr>
            <w:r>
              <w:rPr>
                <w:rFonts w:ascii="Calibri" w:hAnsi="Calibri" w:eastAsia="等线"/>
                <w:b w:val="0"/>
                <w:color w:val="1F1F1F"/>
                <w:sz w:val="14"/>
              </w:rPr>
              <w:t>决定服务份额、公平性和尾延迟。</w:t>
            </w:r>
          </w:p>
        </w:tc>
      </w:tr>
      <w:tr>
        <w:tc>
          <w:tcPr>
            <w:tcW w:type="dxa" w:w="1650"/>
          </w:tcPr>
          <w:p>
            <w:pPr>
              <w:spacing w:after="0" w:line="240" w:lineRule="auto"/>
            </w:pPr>
            <w:r>
              <w:rPr>
                <w:rFonts w:ascii="Calibri" w:hAnsi="Calibri" w:eastAsia="等线"/>
                <w:b/>
                <w:color w:val="1F1F1F"/>
                <w:sz w:val="14"/>
              </w:rPr>
              <w:t>traffic_class_weights</w:t>
            </w:r>
          </w:p>
        </w:tc>
        <w:tc>
          <w:tcPr>
            <w:tcW w:type="dxa" w:w="1900"/>
          </w:tcPr>
          <w:p>
            <w:pPr>
              <w:spacing w:after="0" w:line="240" w:lineRule="auto"/>
            </w:pPr>
            <w:r>
              <w:rPr>
                <w:rFonts w:ascii="Calibri" w:hAnsi="Calibri" w:eastAsia="等线"/>
                <w:b w:val="0"/>
                <w:color w:val="1F1F1F"/>
                <w:sz w:val="14"/>
              </w:rPr>
              <w:t>流量类权重/无量纲</w:t>
            </w:r>
          </w:p>
        </w:tc>
        <w:tc>
          <w:tcPr>
            <w:tcW w:type="dxa" w:w="1450"/>
          </w:tcPr>
          <w:p>
            <w:pPr>
              <w:spacing w:after="0" w:line="240" w:lineRule="auto"/>
            </w:pPr>
            <w:r>
              <w:rPr>
                <w:rFonts w:ascii="Calibri" w:hAnsi="Calibri" w:eastAsia="等线"/>
                <w:b w:val="0"/>
                <w:color w:val="1F1F1F"/>
                <w:sz w:val="14"/>
              </w:rPr>
              <w:t>1:1:1</w:t>
            </w:r>
          </w:p>
        </w:tc>
        <w:tc>
          <w:tcPr>
            <w:tcW w:type="dxa" w:w="1650"/>
          </w:tcPr>
          <w:p>
            <w:pPr>
              <w:spacing w:after="0" w:line="240" w:lineRule="auto"/>
            </w:pPr>
            <w:r>
              <w:rPr>
                <w:rFonts w:ascii="Calibri" w:hAnsi="Calibri" w:eastAsia="等线"/>
                <w:b w:val="0"/>
                <w:color w:val="1F1F1F"/>
                <w:sz w:val="14"/>
              </w:rPr>
              <w:t>1–255/类</w:t>
            </w:r>
          </w:p>
        </w:tc>
        <w:tc>
          <w:tcPr>
            <w:tcW w:type="dxa" w:w="2710"/>
          </w:tcPr>
          <w:p>
            <w:pPr>
              <w:spacing w:after="0" w:line="240" w:lineRule="auto"/>
            </w:pPr>
            <w:r>
              <w:rPr>
                <w:rFonts w:ascii="Calibri" w:hAnsi="Calibri" w:eastAsia="等线"/>
                <w:b w:val="0"/>
                <w:color w:val="1F1F1F"/>
                <w:sz w:val="14"/>
              </w:rPr>
              <w:t>共享链路时分配请求、写数据、响应份额。</w:t>
            </w:r>
          </w:p>
        </w:tc>
      </w:tr>
      <w:tr>
        <w:tc>
          <w:tcPr>
            <w:tcW w:type="dxa" w:w="1650"/>
          </w:tcPr>
          <w:p>
            <w:pPr>
              <w:spacing w:after="0" w:line="240" w:lineRule="auto"/>
            </w:pPr>
            <w:r>
              <w:rPr>
                <w:rFonts w:ascii="Calibri" w:hAnsi="Calibri" w:eastAsia="等线"/>
                <w:b/>
                <w:color w:val="1F1F1F"/>
                <w:sz w:val="14"/>
              </w:rPr>
              <w:t>starvation_threshold</w:t>
            </w:r>
          </w:p>
        </w:tc>
        <w:tc>
          <w:tcPr>
            <w:tcW w:type="dxa" w:w="1900"/>
          </w:tcPr>
          <w:p>
            <w:pPr>
              <w:spacing w:after="0" w:line="240" w:lineRule="auto"/>
            </w:pPr>
            <w:r>
              <w:rPr>
                <w:rFonts w:ascii="Calibri" w:hAnsi="Calibri" w:eastAsia="等线"/>
                <w:b w:val="0"/>
                <w:color w:val="1F1F1F"/>
                <w:sz w:val="14"/>
              </w:rPr>
              <w:t>年龄逃逸阈值/cycle</w:t>
            </w:r>
          </w:p>
        </w:tc>
        <w:tc>
          <w:tcPr>
            <w:tcW w:type="dxa" w:w="1450"/>
          </w:tcPr>
          <w:p>
            <w:pPr>
              <w:spacing w:after="0" w:line="240" w:lineRule="auto"/>
            </w:pPr>
            <w:r>
              <w:rPr>
                <w:rFonts w:ascii="Calibri" w:hAnsi="Calibri" w:eastAsia="等线"/>
                <w:b w:val="0"/>
                <w:color w:val="1F1F1F"/>
                <w:sz w:val="14"/>
              </w:rPr>
              <w:t>1024（探索）</w:t>
            </w:r>
          </w:p>
        </w:tc>
        <w:tc>
          <w:tcPr>
            <w:tcW w:type="dxa" w:w="1650"/>
          </w:tcPr>
          <w:p>
            <w:pPr>
              <w:spacing w:after="0" w:line="240" w:lineRule="auto"/>
            </w:pPr>
            <w:r>
              <w:rPr>
                <w:rFonts w:ascii="Calibri" w:hAnsi="Calibri" w:eastAsia="等线"/>
                <w:b w:val="0"/>
                <w:color w:val="1F1F1F"/>
                <w:sz w:val="14"/>
              </w:rPr>
              <w:t>16–1,000,000</w:t>
            </w:r>
          </w:p>
        </w:tc>
        <w:tc>
          <w:tcPr>
            <w:tcW w:type="dxa" w:w="2710"/>
          </w:tcPr>
          <w:p>
            <w:pPr>
              <w:spacing w:after="0" w:line="240" w:lineRule="auto"/>
            </w:pPr>
            <w:r>
              <w:rPr>
                <w:rFonts w:ascii="Calibri" w:hAnsi="Calibri" w:eastAsia="等线"/>
                <w:b w:val="0"/>
                <w:color w:val="1F1F1F"/>
                <w:sz w:val="14"/>
              </w:rPr>
              <w:t>限制最长等待；过低会破坏QoS权重。</w:t>
            </w:r>
          </w:p>
        </w:tc>
      </w:tr>
      <w:tr>
        <w:tc>
          <w:tcPr>
            <w:tcW w:type="dxa" w:w="1650"/>
          </w:tcPr>
          <w:p>
            <w:pPr>
              <w:spacing w:after="0" w:line="240" w:lineRule="auto"/>
            </w:pPr>
            <w:r>
              <w:rPr>
                <w:rFonts w:ascii="Calibri" w:hAnsi="Calibri" w:eastAsia="等线"/>
                <w:b/>
                <w:color w:val="1F1F1F"/>
                <w:sz w:val="14"/>
              </w:rPr>
              <w:t>link_width</w:t>
            </w:r>
          </w:p>
        </w:tc>
        <w:tc>
          <w:tcPr>
            <w:tcW w:type="dxa" w:w="1900"/>
          </w:tcPr>
          <w:p>
            <w:pPr>
              <w:spacing w:after="0" w:line="240" w:lineRule="auto"/>
            </w:pPr>
            <w:r>
              <w:rPr>
                <w:rFonts w:ascii="Calibri" w:hAnsi="Calibri" w:eastAsia="等线"/>
                <w:b w:val="0"/>
                <w:color w:val="1F1F1F"/>
                <w:sz w:val="14"/>
              </w:rPr>
              <w:t>每有向链路宽度/Byte per cycle</w:t>
            </w:r>
          </w:p>
        </w:tc>
        <w:tc>
          <w:tcPr>
            <w:tcW w:type="dxa" w:w="1450"/>
          </w:tcPr>
          <w:p>
            <w:pPr>
              <w:spacing w:after="0" w:line="240" w:lineRule="auto"/>
            </w:pPr>
            <w:r>
              <w:rPr>
                <w:rFonts w:ascii="Calibri" w:hAnsi="Calibri" w:eastAsia="等线"/>
                <w:b w:val="0"/>
                <w:color w:val="1F1F1F"/>
                <w:sz w:val="14"/>
              </w:rPr>
              <w:t>32（探索）</w:t>
            </w:r>
          </w:p>
        </w:tc>
        <w:tc>
          <w:tcPr>
            <w:tcW w:type="dxa" w:w="1650"/>
          </w:tcPr>
          <w:p>
            <w:pPr>
              <w:spacing w:after="0" w:line="240" w:lineRule="auto"/>
            </w:pPr>
            <w:r>
              <w:rPr>
                <w:rFonts w:ascii="Calibri" w:hAnsi="Calibri" w:eastAsia="等线"/>
                <w:b w:val="0"/>
                <w:color w:val="1F1F1F"/>
                <w:sz w:val="14"/>
              </w:rPr>
              <w:t>8–256</w:t>
            </w:r>
          </w:p>
        </w:tc>
        <w:tc>
          <w:tcPr>
            <w:tcW w:type="dxa" w:w="2710"/>
          </w:tcPr>
          <w:p>
            <w:pPr>
              <w:spacing w:after="0" w:line="240" w:lineRule="auto"/>
            </w:pPr>
            <w:r>
              <w:rPr>
                <w:rFonts w:ascii="Calibri" w:hAnsi="Calibri" w:eastAsia="等线"/>
                <w:b w:val="0"/>
                <w:color w:val="1F1F1F"/>
                <w:sz w:val="14"/>
              </w:rPr>
              <w:t>Ring Link序列化吞吐的唯一宽度参数。</w:t>
            </w:r>
          </w:p>
        </w:tc>
      </w:tr>
      <w:tr>
        <w:tc>
          <w:tcPr>
            <w:tcW w:type="dxa" w:w="1650"/>
          </w:tcPr>
          <w:p>
            <w:pPr>
              <w:spacing w:after="0" w:line="240" w:lineRule="auto"/>
            </w:pPr>
            <w:r>
              <w:rPr>
                <w:rFonts w:ascii="Calibri" w:hAnsi="Calibri" w:eastAsia="等线"/>
                <w:b/>
                <w:color w:val="1F1F1F"/>
                <w:sz w:val="14"/>
              </w:rPr>
              <w:t>link_propagation_latency</w:t>
            </w:r>
          </w:p>
        </w:tc>
        <w:tc>
          <w:tcPr>
            <w:tcW w:type="dxa" w:w="1900"/>
          </w:tcPr>
          <w:p>
            <w:pPr>
              <w:spacing w:after="0" w:line="240" w:lineRule="auto"/>
            </w:pPr>
            <w:r>
              <w:rPr>
                <w:rFonts w:ascii="Calibri" w:hAnsi="Calibri" w:eastAsia="等线"/>
                <w:b w:val="0"/>
                <w:color w:val="1F1F1F"/>
                <w:sz w:val="14"/>
              </w:rPr>
              <w:t>每跳传播/cycle</w:t>
            </w:r>
          </w:p>
        </w:tc>
        <w:tc>
          <w:tcPr>
            <w:tcW w:type="dxa" w:w="1450"/>
          </w:tcPr>
          <w:p>
            <w:pPr>
              <w:spacing w:after="0" w:line="240" w:lineRule="auto"/>
            </w:pPr>
            <w:r>
              <w:rPr>
                <w:rFonts w:ascii="Calibri" w:hAnsi="Calibri" w:eastAsia="等线"/>
                <w:b w:val="0"/>
                <w:color w:val="1F1F1F"/>
                <w:sz w:val="14"/>
              </w:rPr>
              <w:t>1（探索）</w:t>
            </w:r>
          </w:p>
        </w:tc>
        <w:tc>
          <w:tcPr>
            <w:tcW w:type="dxa" w:w="1650"/>
          </w:tcPr>
          <w:p>
            <w:pPr>
              <w:spacing w:after="0" w:line="240" w:lineRule="auto"/>
            </w:pPr>
            <w:r>
              <w:rPr>
                <w:rFonts w:ascii="Calibri" w:hAnsi="Calibri" w:eastAsia="等线"/>
                <w:b w:val="0"/>
                <w:color w:val="1F1F1F"/>
                <w:sz w:val="14"/>
              </w:rPr>
              <w:t>1–16</w:t>
            </w:r>
          </w:p>
        </w:tc>
        <w:tc>
          <w:tcPr>
            <w:tcW w:type="dxa" w:w="2710"/>
          </w:tcPr>
          <w:p>
            <w:pPr>
              <w:spacing w:after="0" w:line="240" w:lineRule="auto"/>
            </w:pPr>
            <w:r>
              <w:rPr>
                <w:rFonts w:ascii="Calibri" w:hAnsi="Calibri" w:eastAsia="等线"/>
                <w:b w:val="0"/>
                <w:color w:val="1F1F1F"/>
                <w:sz w:val="14"/>
              </w:rPr>
              <w:t>影响零负载RTT和所需OSD，不直接降低流水吞吐。</w:t>
            </w:r>
          </w:p>
        </w:tc>
      </w:tr>
      <w:tr>
        <w:tc>
          <w:tcPr>
            <w:tcW w:type="dxa" w:w="1650"/>
          </w:tcPr>
          <w:p>
            <w:pPr>
              <w:spacing w:after="0" w:line="240" w:lineRule="auto"/>
            </w:pPr>
            <w:r>
              <w:rPr>
                <w:rFonts w:ascii="Calibri" w:hAnsi="Calibri" w:eastAsia="等线"/>
                <w:b/>
                <w:color w:val="1F1F1F"/>
                <w:sz w:val="14"/>
              </w:rPr>
              <w:t>link_max_inflight</w:t>
            </w:r>
          </w:p>
        </w:tc>
        <w:tc>
          <w:tcPr>
            <w:tcW w:type="dxa" w:w="1900"/>
          </w:tcPr>
          <w:p>
            <w:pPr>
              <w:spacing w:after="0" w:line="240" w:lineRule="auto"/>
            </w:pPr>
            <w:r>
              <w:rPr>
                <w:rFonts w:ascii="Calibri" w:hAnsi="Calibri" w:eastAsia="等线"/>
                <w:b w:val="0"/>
                <w:color w:val="1F1F1F"/>
                <w:sz w:val="14"/>
              </w:rPr>
              <w:t>每链路在途段/段</w:t>
            </w:r>
          </w:p>
        </w:tc>
        <w:tc>
          <w:tcPr>
            <w:tcW w:type="dxa" w:w="1450"/>
          </w:tcPr>
          <w:p>
            <w:pPr>
              <w:spacing w:after="0" w:line="240" w:lineRule="auto"/>
            </w:pPr>
            <w:r>
              <w:rPr>
                <w:rFonts w:ascii="Calibri" w:hAnsi="Calibri" w:eastAsia="等线"/>
                <w:b w:val="0"/>
                <w:color w:val="1F1F1F"/>
                <w:sz w:val="14"/>
              </w:rPr>
              <w:t>16</w:t>
            </w:r>
          </w:p>
        </w:tc>
        <w:tc>
          <w:tcPr>
            <w:tcW w:type="dxa" w:w="1650"/>
          </w:tcPr>
          <w:p>
            <w:pPr>
              <w:spacing w:after="0" w:line="240" w:lineRule="auto"/>
            </w:pPr>
            <w:r>
              <w:rPr>
                <w:rFonts w:ascii="Calibri" w:hAnsi="Calibri" w:eastAsia="等线"/>
                <w:b w:val="0"/>
                <w:color w:val="1F1F1F"/>
                <w:sz w:val="14"/>
              </w:rPr>
              <w:t>1–512</w:t>
            </w:r>
          </w:p>
        </w:tc>
        <w:tc>
          <w:tcPr>
            <w:tcW w:type="dxa" w:w="2710"/>
          </w:tcPr>
          <w:p>
            <w:pPr>
              <w:spacing w:after="0" w:line="240" w:lineRule="auto"/>
            </w:pPr>
            <w:r>
              <w:rPr>
                <w:rFonts w:ascii="Calibri" w:hAnsi="Calibri" w:eastAsia="等线"/>
                <w:b w:val="0"/>
                <w:color w:val="1F1F1F"/>
                <w:sz w:val="14"/>
              </w:rPr>
              <w:t>限制传播管线容量；应覆盖带宽×传播时间。</w:t>
            </w:r>
          </w:p>
        </w:tc>
      </w:tr>
      <w:tr>
        <w:tc>
          <w:tcPr>
            <w:tcW w:type="dxa" w:w="1650"/>
          </w:tcPr>
          <w:p>
            <w:pPr>
              <w:spacing w:after="0" w:line="240" w:lineRule="auto"/>
            </w:pPr>
            <w:r>
              <w:rPr>
                <w:rFonts w:ascii="Calibri" w:hAnsi="Calibri" w:eastAsia="等线"/>
                <w:b/>
                <w:color w:val="1F1F1F"/>
                <w:sz w:val="14"/>
              </w:rPr>
              <w:t>channel_share_mode</w:t>
            </w:r>
          </w:p>
        </w:tc>
        <w:tc>
          <w:tcPr>
            <w:tcW w:type="dxa" w:w="1900"/>
          </w:tcPr>
          <w:p>
            <w:pPr>
              <w:spacing w:after="0" w:line="240" w:lineRule="auto"/>
            </w:pPr>
            <w:r>
              <w:rPr>
                <w:rFonts w:ascii="Calibri" w:hAnsi="Calibri" w:eastAsia="等线"/>
                <w:b w:val="0"/>
                <w:color w:val="1F1F1F"/>
                <w:sz w:val="14"/>
              </w:rPr>
              <w:t>三类流量资源关系/枚举</w:t>
            </w:r>
          </w:p>
        </w:tc>
        <w:tc>
          <w:tcPr>
            <w:tcW w:type="dxa" w:w="1450"/>
          </w:tcPr>
          <w:p>
            <w:pPr>
              <w:spacing w:after="0" w:line="240" w:lineRule="auto"/>
            </w:pPr>
            <w:r>
              <w:rPr>
                <w:rFonts w:ascii="Calibri" w:hAnsi="Calibri" w:eastAsia="等线"/>
                <w:b w:val="0"/>
                <w:color w:val="1F1F1F"/>
                <w:sz w:val="14"/>
              </w:rPr>
              <w:t>SHARED</w:t>
            </w:r>
          </w:p>
        </w:tc>
        <w:tc>
          <w:tcPr>
            <w:tcW w:type="dxa" w:w="1650"/>
          </w:tcPr>
          <w:p>
            <w:pPr>
              <w:spacing w:after="0" w:line="240" w:lineRule="auto"/>
            </w:pPr>
            <w:r>
              <w:rPr>
                <w:rFonts w:ascii="Calibri" w:hAnsi="Calibri" w:eastAsia="等线"/>
                <w:b w:val="0"/>
                <w:color w:val="1F1F1F"/>
                <w:sz w:val="14"/>
              </w:rPr>
              <w:t>SHARED/SPLIT_REQ_RSP/FULL_SPLIT</w:t>
            </w:r>
          </w:p>
        </w:tc>
        <w:tc>
          <w:tcPr>
            <w:tcW w:type="dxa" w:w="2710"/>
          </w:tcPr>
          <w:p>
            <w:pPr>
              <w:spacing w:after="0" w:line="240" w:lineRule="auto"/>
            </w:pPr>
            <w:r>
              <w:rPr>
                <w:rFonts w:ascii="Calibri" w:hAnsi="Calibri" w:eastAsia="等线"/>
                <w:b w:val="0"/>
                <w:color w:val="1F1F1F"/>
                <w:sz w:val="14"/>
              </w:rPr>
              <w:t>P0参数；直接决定读写互扰和总吞吐。</w:t>
            </w:r>
          </w:p>
        </w:tc>
      </w:tr>
    </w:tbl>
    <w:p>
      <w:pPr>
        <w:spacing w:after="0"/>
      </w:pPr>
    </w:p>
    <w:p>
      <w:pPr>
        <w:pStyle w:val="Heading3"/>
      </w:pPr>
      <w:r>
        <w:t>11.2.3 Target与协议参数</w:t>
      </w:r>
    </w:p>
    <w:tbl>
      <w:tblPr>
        <w:tblStyle w:val="TableGrid"/>
        <w:tblW w:type="dxa" w:w="9360"/>
        <w:jc w:val="left"/>
        <w:tblLayout w:type="fixed"/>
        <w:tblLook w:firstColumn="1" w:firstRow="1" w:lastColumn="0" w:lastRow="0" w:noHBand="0" w:noVBand="1" w:val="04A0"/>
        <w:tblInd w:w="120" w:type="dxa"/>
      </w:tblPr>
      <w:tblGrid>
        <w:gridCol w:w="1650"/>
        <w:gridCol w:w="1900"/>
        <w:gridCol w:w="1450"/>
        <w:gridCol w:w="1650"/>
        <w:gridCol w:w="2710"/>
      </w:tblGrid>
      <w:tr>
        <w:trPr>
          <w:cantSplit/>
          <w:tblHeader w:val="true"/>
        </w:trPr>
        <w:tc>
          <w:tcPr>
            <w:tcW w:type="dxa" w:w="1650"/>
            <w:tcMar>
              <w:top w:w="80" w:type="dxa"/>
              <w:start w:w="120" w:type="dxa"/>
              <w:bottom w:w="80" w:type="dxa"/>
              <w:end w:w="120" w:type="dxa"/>
            </w:tcMar>
            <w:vAlign w:val="center"/>
            <w:shd w:fill="F2F4F7"/>
          </w:tcPr>
          <w:p>
            <w:pPr>
              <w:spacing w:after="0"/>
              <w:jc w:val="left"/>
            </w:pPr>
            <w:r>
              <w:rPr>
                <w:rFonts w:ascii="Calibri" w:hAnsi="Calibri" w:eastAsia="等线"/>
                <w:b/>
                <w:color w:val="1F4E79"/>
                <w:sz w:val="14"/>
              </w:rPr>
              <w:t>参数</w:t>
            </w:r>
          </w:p>
        </w:tc>
        <w:tc>
          <w:tcPr>
            <w:tcW w:type="dxa" w:w="1900"/>
            <w:tcMar>
              <w:top w:w="80" w:type="dxa"/>
              <w:start w:w="120" w:type="dxa"/>
              <w:bottom w:w="80" w:type="dxa"/>
              <w:end w:w="120" w:type="dxa"/>
            </w:tcMar>
            <w:vAlign w:val="center"/>
            <w:shd w:fill="F2F4F7"/>
          </w:tcPr>
          <w:p>
            <w:pPr>
              <w:spacing w:after="0"/>
              <w:jc w:val="left"/>
            </w:pPr>
            <w:r>
              <w:rPr>
                <w:rFonts w:ascii="Calibri" w:hAnsi="Calibri" w:eastAsia="等线"/>
                <w:b/>
                <w:color w:val="1F4E79"/>
                <w:sz w:val="14"/>
              </w:rPr>
              <w:t>定义/单位</w:t>
            </w:r>
          </w:p>
        </w:tc>
        <w:tc>
          <w:tcPr>
            <w:tcW w:type="dxa" w:w="1450"/>
            <w:tcMar>
              <w:top w:w="80" w:type="dxa"/>
              <w:start w:w="120" w:type="dxa"/>
              <w:bottom w:w="80" w:type="dxa"/>
              <w:end w:w="120" w:type="dxa"/>
            </w:tcMar>
            <w:vAlign w:val="center"/>
            <w:shd w:fill="F2F4F7"/>
          </w:tcPr>
          <w:p>
            <w:pPr>
              <w:spacing w:after="0"/>
              <w:jc w:val="left"/>
            </w:pPr>
            <w:r>
              <w:rPr>
                <w:rFonts w:ascii="Calibri" w:hAnsi="Calibri" w:eastAsia="等线"/>
                <w:b/>
                <w:color w:val="1F4E79"/>
                <w:sz w:val="14"/>
              </w:rPr>
              <w:t>建议默认</w:t>
            </w:r>
          </w:p>
        </w:tc>
        <w:tc>
          <w:tcPr>
            <w:tcW w:type="dxa" w:w="1650"/>
            <w:tcMar>
              <w:top w:w="80" w:type="dxa"/>
              <w:start w:w="120" w:type="dxa"/>
              <w:bottom w:w="80" w:type="dxa"/>
              <w:end w:w="120" w:type="dxa"/>
            </w:tcMar>
            <w:vAlign w:val="center"/>
            <w:shd w:fill="F2F4F7"/>
          </w:tcPr>
          <w:p>
            <w:pPr>
              <w:spacing w:after="0"/>
              <w:jc w:val="left"/>
            </w:pPr>
            <w:r>
              <w:rPr>
                <w:rFonts w:ascii="Calibri" w:hAnsi="Calibri" w:eastAsia="等线"/>
                <w:b/>
                <w:color w:val="1F4E79"/>
                <w:sz w:val="14"/>
              </w:rPr>
              <w:t>建议范围</w:t>
            </w:r>
          </w:p>
        </w:tc>
        <w:tc>
          <w:tcPr>
            <w:tcW w:type="dxa" w:w="2710"/>
            <w:tcMar>
              <w:top w:w="80" w:type="dxa"/>
              <w:start w:w="120" w:type="dxa"/>
              <w:bottom w:w="80" w:type="dxa"/>
              <w:end w:w="120" w:type="dxa"/>
            </w:tcMar>
            <w:vAlign w:val="center"/>
            <w:shd w:fill="F2F4F7"/>
          </w:tcPr>
          <w:p>
            <w:pPr>
              <w:spacing w:after="0"/>
              <w:jc w:val="left"/>
            </w:pPr>
            <w:r>
              <w:rPr>
                <w:rFonts w:ascii="Calibri" w:hAnsi="Calibri" w:eastAsia="等线"/>
                <w:b/>
                <w:color w:val="1F4E79"/>
                <w:sz w:val="14"/>
              </w:rPr>
              <w:t>作用位置与性能影响</w:t>
            </w:r>
          </w:p>
        </w:tc>
      </w:tr>
      <w:tr>
        <w:tc>
          <w:tcPr>
            <w:tcW w:type="dxa" w:w="1650"/>
          </w:tcPr>
          <w:p>
            <w:pPr>
              <w:spacing w:after="0" w:line="240" w:lineRule="auto"/>
            </w:pPr>
            <w:r>
              <w:rPr>
                <w:rFonts w:ascii="Calibri" w:hAnsi="Calibri" w:eastAsia="等线"/>
                <w:b/>
                <w:color w:val="1F1F1F"/>
                <w:sz w:val="14"/>
              </w:rPr>
              <w:t>target_credit</w:t>
            </w:r>
          </w:p>
        </w:tc>
        <w:tc>
          <w:tcPr>
            <w:tcW w:type="dxa" w:w="1900"/>
          </w:tcPr>
          <w:p>
            <w:pPr>
              <w:spacing w:after="0" w:line="240" w:lineRule="auto"/>
            </w:pPr>
            <w:r>
              <w:rPr>
                <w:rFonts w:ascii="Calibri" w:hAnsi="Calibri" w:eastAsia="等线"/>
                <w:b w:val="0"/>
                <w:color w:val="1F1F1F"/>
                <w:sz w:val="14"/>
              </w:rPr>
              <w:t>每Target可占用上下文/事务</w:t>
            </w:r>
          </w:p>
        </w:tc>
        <w:tc>
          <w:tcPr>
            <w:tcW w:type="dxa" w:w="1450"/>
          </w:tcPr>
          <w:p>
            <w:pPr>
              <w:spacing w:after="0" w:line="240" w:lineRule="auto"/>
            </w:pPr>
            <w:r>
              <w:rPr>
                <w:rFonts w:ascii="Calibri" w:hAnsi="Calibri" w:eastAsia="等线"/>
                <w:b w:val="0"/>
                <w:color w:val="1F1F1F"/>
                <w:sz w:val="14"/>
              </w:rPr>
              <w:t>MANDATORY</w:t>
            </w:r>
          </w:p>
        </w:tc>
        <w:tc>
          <w:tcPr>
            <w:tcW w:type="dxa" w:w="1650"/>
          </w:tcPr>
          <w:p>
            <w:pPr>
              <w:spacing w:after="0" w:line="240" w:lineRule="auto"/>
            </w:pPr>
            <w:r>
              <w:rPr>
                <w:rFonts w:ascii="Calibri" w:hAnsi="Calibri" w:eastAsia="等线"/>
                <w:b w:val="0"/>
                <w:color w:val="1F1F1F"/>
                <w:sz w:val="14"/>
              </w:rPr>
              <w:t>1–1024</w:t>
            </w:r>
          </w:p>
        </w:tc>
        <w:tc>
          <w:tcPr>
            <w:tcW w:type="dxa" w:w="2710"/>
          </w:tcPr>
          <w:p>
            <w:pPr>
              <w:spacing w:after="0" w:line="240" w:lineRule="auto"/>
            </w:pPr>
            <w:r>
              <w:rPr>
                <w:rFonts w:ascii="Calibri" w:hAnsi="Calibri" w:eastAsia="等线"/>
                <w:b w:val="0"/>
                <w:color w:val="1F1F1F"/>
                <w:sz w:val="14"/>
              </w:rPr>
              <w:t>Target网络接口；限制并发准入。</w:t>
            </w:r>
          </w:p>
        </w:tc>
      </w:tr>
      <w:tr>
        <w:tc>
          <w:tcPr>
            <w:tcW w:type="dxa" w:w="1650"/>
          </w:tcPr>
          <w:p>
            <w:pPr>
              <w:spacing w:after="0" w:line="240" w:lineRule="auto"/>
            </w:pPr>
            <w:r>
              <w:rPr>
                <w:rFonts w:ascii="Calibri" w:hAnsi="Calibri" w:eastAsia="等线"/>
                <w:b/>
                <w:color w:val="1F1F1F"/>
                <w:sz w:val="14"/>
              </w:rPr>
              <w:t>target_req_fifo_depth</w:t>
            </w:r>
          </w:p>
        </w:tc>
        <w:tc>
          <w:tcPr>
            <w:tcW w:type="dxa" w:w="1900"/>
          </w:tcPr>
          <w:p>
            <w:pPr>
              <w:spacing w:after="0" w:line="240" w:lineRule="auto"/>
            </w:pPr>
            <w:r>
              <w:rPr>
                <w:rFonts w:ascii="Calibri" w:hAnsi="Calibri" w:eastAsia="等线"/>
                <w:b w:val="0"/>
                <w:color w:val="1F1F1F"/>
                <w:sz w:val="14"/>
              </w:rPr>
              <w:t>Target入口FIFO/段</w:t>
            </w:r>
          </w:p>
        </w:tc>
        <w:tc>
          <w:tcPr>
            <w:tcW w:type="dxa" w:w="1450"/>
          </w:tcPr>
          <w:p>
            <w:pPr>
              <w:spacing w:after="0" w:line="240" w:lineRule="auto"/>
            </w:pPr>
            <w:r>
              <w:rPr>
                <w:rFonts w:ascii="Calibri" w:hAnsi="Calibri" w:eastAsia="等线"/>
                <w:b w:val="0"/>
                <w:color w:val="1F1F1F"/>
                <w:sz w:val="14"/>
              </w:rPr>
              <w:t>8（探索）</w:t>
            </w:r>
          </w:p>
        </w:tc>
        <w:tc>
          <w:tcPr>
            <w:tcW w:type="dxa" w:w="1650"/>
          </w:tcPr>
          <w:p>
            <w:pPr>
              <w:spacing w:after="0" w:line="240" w:lineRule="auto"/>
            </w:pPr>
            <w:r>
              <w:rPr>
                <w:rFonts w:ascii="Calibri" w:hAnsi="Calibri" w:eastAsia="等线"/>
                <w:b w:val="0"/>
                <w:color w:val="1F1F1F"/>
                <w:sz w:val="14"/>
              </w:rPr>
              <w:t>1–512</w:t>
            </w:r>
          </w:p>
        </w:tc>
        <w:tc>
          <w:tcPr>
            <w:tcW w:type="dxa" w:w="2710"/>
          </w:tcPr>
          <w:p>
            <w:pPr>
              <w:spacing w:after="0" w:line="240" w:lineRule="auto"/>
            </w:pPr>
            <w:r>
              <w:rPr>
                <w:rFonts w:ascii="Calibri" w:hAnsi="Calibri" w:eastAsia="等线"/>
                <w:b w:val="0"/>
                <w:color w:val="1F1F1F"/>
                <w:sz w:val="14"/>
              </w:rPr>
              <w:t>吸收Ring突发并形成可见排队。</w:t>
            </w:r>
          </w:p>
        </w:tc>
      </w:tr>
      <w:tr>
        <w:tc>
          <w:tcPr>
            <w:tcW w:type="dxa" w:w="1650"/>
          </w:tcPr>
          <w:p>
            <w:pPr>
              <w:spacing w:after="0" w:line="240" w:lineRule="auto"/>
            </w:pPr>
            <w:r>
              <w:rPr>
                <w:rFonts w:ascii="Calibri" w:hAnsi="Calibri" w:eastAsia="等线"/>
                <w:b/>
                <w:color w:val="1F1F1F"/>
                <w:sz w:val="14"/>
              </w:rPr>
              <w:t>target_rsp_fifo_depth</w:t>
            </w:r>
          </w:p>
        </w:tc>
        <w:tc>
          <w:tcPr>
            <w:tcW w:type="dxa" w:w="1900"/>
          </w:tcPr>
          <w:p>
            <w:pPr>
              <w:spacing w:after="0" w:line="240" w:lineRule="auto"/>
            </w:pPr>
            <w:r>
              <w:rPr>
                <w:rFonts w:ascii="Calibri" w:hAnsi="Calibri" w:eastAsia="等线"/>
                <w:b w:val="0"/>
                <w:color w:val="1F1F1F"/>
                <w:sz w:val="14"/>
              </w:rPr>
              <w:t>Target响应FIFO/段</w:t>
            </w:r>
          </w:p>
        </w:tc>
        <w:tc>
          <w:tcPr>
            <w:tcW w:type="dxa" w:w="1450"/>
          </w:tcPr>
          <w:p>
            <w:pPr>
              <w:spacing w:after="0" w:line="240" w:lineRule="auto"/>
            </w:pPr>
            <w:r>
              <w:rPr>
                <w:rFonts w:ascii="Calibri" w:hAnsi="Calibri" w:eastAsia="等线"/>
                <w:b w:val="0"/>
                <w:color w:val="1F1F1F"/>
                <w:sz w:val="14"/>
              </w:rPr>
              <w:t>8（探索）</w:t>
            </w:r>
          </w:p>
        </w:tc>
        <w:tc>
          <w:tcPr>
            <w:tcW w:type="dxa" w:w="1650"/>
          </w:tcPr>
          <w:p>
            <w:pPr>
              <w:spacing w:after="0" w:line="240" w:lineRule="auto"/>
            </w:pPr>
            <w:r>
              <w:rPr>
                <w:rFonts w:ascii="Calibri" w:hAnsi="Calibri" w:eastAsia="等线"/>
                <w:b w:val="0"/>
                <w:color w:val="1F1F1F"/>
                <w:sz w:val="14"/>
              </w:rPr>
              <w:t>1–512</w:t>
            </w:r>
          </w:p>
        </w:tc>
        <w:tc>
          <w:tcPr>
            <w:tcW w:type="dxa" w:w="2710"/>
          </w:tcPr>
          <w:p>
            <w:pPr>
              <w:spacing w:after="0" w:line="240" w:lineRule="auto"/>
            </w:pPr>
            <w:r>
              <w:rPr>
                <w:rFonts w:ascii="Calibri" w:hAnsi="Calibri" w:eastAsia="等线"/>
                <w:b w:val="0"/>
                <w:color w:val="1F1F1F"/>
                <w:sz w:val="14"/>
              </w:rPr>
              <w:t>吸收回程阻塞；决定Credit是否需保留。</w:t>
            </w:r>
          </w:p>
        </w:tc>
      </w:tr>
      <w:tr>
        <w:tc>
          <w:tcPr>
            <w:tcW w:type="dxa" w:w="1650"/>
          </w:tcPr>
          <w:p>
            <w:pPr>
              <w:spacing w:after="0" w:line="240" w:lineRule="auto"/>
            </w:pPr>
            <w:r>
              <w:rPr>
                <w:rFonts w:ascii="Calibri" w:hAnsi="Calibri" w:eastAsia="等线"/>
                <w:b/>
                <w:color w:val="1F1F1F"/>
                <w:sz w:val="14"/>
              </w:rPr>
              <w:t>target_base_latency</w:t>
            </w:r>
          </w:p>
        </w:tc>
        <w:tc>
          <w:tcPr>
            <w:tcW w:type="dxa" w:w="1900"/>
          </w:tcPr>
          <w:p>
            <w:pPr>
              <w:spacing w:after="0" w:line="240" w:lineRule="auto"/>
            </w:pPr>
            <w:r>
              <w:rPr>
                <w:rFonts w:ascii="Calibri" w:hAnsi="Calibri" w:eastAsia="等线"/>
                <w:b w:val="0"/>
                <w:color w:val="1F1F1F"/>
                <w:sz w:val="14"/>
              </w:rPr>
              <w:t>基础服务延迟/cycle</w:t>
            </w:r>
          </w:p>
        </w:tc>
        <w:tc>
          <w:tcPr>
            <w:tcW w:type="dxa" w:w="1450"/>
          </w:tcPr>
          <w:p>
            <w:pPr>
              <w:spacing w:after="0" w:line="240" w:lineRule="auto"/>
            </w:pPr>
            <w:r>
              <w:rPr>
                <w:rFonts w:ascii="Calibri" w:hAnsi="Calibri" w:eastAsia="等线"/>
                <w:b w:val="0"/>
                <w:color w:val="1F1F1F"/>
                <w:sz w:val="14"/>
              </w:rPr>
              <w:t>MANDATORY</w:t>
            </w:r>
          </w:p>
        </w:tc>
        <w:tc>
          <w:tcPr>
            <w:tcW w:type="dxa" w:w="1650"/>
          </w:tcPr>
          <w:p>
            <w:pPr>
              <w:spacing w:after="0" w:line="240" w:lineRule="auto"/>
            </w:pPr>
            <w:r>
              <w:rPr>
                <w:rFonts w:ascii="Calibri" w:hAnsi="Calibri" w:eastAsia="等线"/>
                <w:b w:val="0"/>
                <w:color w:val="1F1F1F"/>
                <w:sz w:val="14"/>
              </w:rPr>
              <w:t>≥0</w:t>
            </w:r>
          </w:p>
        </w:tc>
        <w:tc>
          <w:tcPr>
            <w:tcW w:type="dxa" w:w="2710"/>
          </w:tcPr>
          <w:p>
            <w:pPr>
              <w:spacing w:after="0" w:line="240" w:lineRule="auto"/>
            </w:pPr>
            <w:r>
              <w:rPr>
                <w:rFonts w:ascii="Calibri" w:hAnsi="Calibri" w:eastAsia="等线"/>
                <w:b w:val="0"/>
                <w:color w:val="1F1F1F"/>
                <w:sz w:val="14"/>
              </w:rPr>
              <w:t>Target服务模型；L2/DDR必须分别配置。</w:t>
            </w:r>
          </w:p>
        </w:tc>
      </w:tr>
      <w:tr>
        <w:tc>
          <w:tcPr>
            <w:tcW w:type="dxa" w:w="1650"/>
          </w:tcPr>
          <w:p>
            <w:pPr>
              <w:spacing w:after="0" w:line="240" w:lineRule="auto"/>
            </w:pPr>
            <w:r>
              <w:rPr>
                <w:rFonts w:ascii="Calibri" w:hAnsi="Calibri" w:eastAsia="等线"/>
                <w:b/>
                <w:color w:val="1F1F1F"/>
                <w:sz w:val="14"/>
              </w:rPr>
              <w:t>target_service_width</w:t>
            </w:r>
          </w:p>
        </w:tc>
        <w:tc>
          <w:tcPr>
            <w:tcW w:type="dxa" w:w="1900"/>
          </w:tcPr>
          <w:p>
            <w:pPr>
              <w:spacing w:after="0" w:line="240" w:lineRule="auto"/>
            </w:pPr>
            <w:r>
              <w:rPr>
                <w:rFonts w:ascii="Calibri" w:hAnsi="Calibri" w:eastAsia="等线"/>
                <w:b w:val="0"/>
                <w:color w:val="1F1F1F"/>
                <w:sz w:val="14"/>
              </w:rPr>
              <w:t>有效服务宽度/Byte per cycle</w:t>
            </w:r>
          </w:p>
        </w:tc>
        <w:tc>
          <w:tcPr>
            <w:tcW w:type="dxa" w:w="1450"/>
          </w:tcPr>
          <w:p>
            <w:pPr>
              <w:spacing w:after="0" w:line="240" w:lineRule="auto"/>
            </w:pPr>
            <w:r>
              <w:rPr>
                <w:rFonts w:ascii="Calibri" w:hAnsi="Calibri" w:eastAsia="等线"/>
                <w:b w:val="0"/>
                <w:color w:val="1F1F1F"/>
                <w:sz w:val="14"/>
              </w:rPr>
              <w:t>MANDATORY</w:t>
            </w:r>
          </w:p>
        </w:tc>
        <w:tc>
          <w:tcPr>
            <w:tcW w:type="dxa" w:w="1650"/>
          </w:tcPr>
          <w:p>
            <w:pPr>
              <w:spacing w:after="0" w:line="240" w:lineRule="auto"/>
            </w:pPr>
            <w:r>
              <w:rPr>
                <w:rFonts w:ascii="Calibri" w:hAnsi="Calibri" w:eastAsia="等线"/>
                <w:b w:val="0"/>
                <w:color w:val="1F1F1F"/>
                <w:sz w:val="14"/>
              </w:rPr>
              <w:t>&gt;0</w:t>
            </w:r>
          </w:p>
        </w:tc>
        <w:tc>
          <w:tcPr>
            <w:tcW w:type="dxa" w:w="2710"/>
          </w:tcPr>
          <w:p>
            <w:pPr>
              <w:spacing w:after="0" w:line="240" w:lineRule="auto"/>
            </w:pPr>
            <w:r>
              <w:rPr>
                <w:rFonts w:ascii="Calibri" w:hAnsi="Calibri" w:eastAsia="等线"/>
                <w:b w:val="0"/>
                <w:color w:val="1F1F1F"/>
                <w:sz w:val="14"/>
              </w:rPr>
              <w:t>Target长期吞吐上限；不得与Ring宽度混用。</w:t>
            </w:r>
          </w:p>
        </w:tc>
      </w:tr>
      <w:tr>
        <w:tc>
          <w:tcPr>
            <w:tcW w:type="dxa" w:w="1650"/>
          </w:tcPr>
          <w:p>
            <w:pPr>
              <w:spacing w:after="0" w:line="240" w:lineRule="auto"/>
            </w:pPr>
            <w:r>
              <w:rPr>
                <w:rFonts w:ascii="Calibri" w:hAnsi="Calibri" w:eastAsia="等线"/>
                <w:b/>
                <w:color w:val="1F1F1F"/>
                <w:sz w:val="14"/>
              </w:rPr>
              <w:t>target_max_outstanding</w:t>
            </w:r>
          </w:p>
        </w:tc>
        <w:tc>
          <w:tcPr>
            <w:tcW w:type="dxa" w:w="1900"/>
          </w:tcPr>
          <w:p>
            <w:pPr>
              <w:spacing w:after="0" w:line="240" w:lineRule="auto"/>
            </w:pPr>
            <w:r>
              <w:rPr>
                <w:rFonts w:ascii="Calibri" w:hAnsi="Calibri" w:eastAsia="等线"/>
                <w:b w:val="0"/>
                <w:color w:val="1F1F1F"/>
                <w:sz w:val="14"/>
              </w:rPr>
              <w:t>Target内部并发/事务</w:t>
            </w:r>
          </w:p>
        </w:tc>
        <w:tc>
          <w:tcPr>
            <w:tcW w:type="dxa" w:w="1450"/>
          </w:tcPr>
          <w:p>
            <w:pPr>
              <w:spacing w:after="0" w:line="240" w:lineRule="auto"/>
            </w:pPr>
            <w:r>
              <w:rPr>
                <w:rFonts w:ascii="Calibri" w:hAnsi="Calibri" w:eastAsia="等线"/>
                <w:b w:val="0"/>
                <w:color w:val="1F1F1F"/>
                <w:sz w:val="14"/>
              </w:rPr>
              <w:t>MANDATORY</w:t>
            </w:r>
          </w:p>
        </w:tc>
        <w:tc>
          <w:tcPr>
            <w:tcW w:type="dxa" w:w="1650"/>
          </w:tcPr>
          <w:p>
            <w:pPr>
              <w:spacing w:after="0" w:line="240" w:lineRule="auto"/>
            </w:pPr>
            <w:r>
              <w:rPr>
                <w:rFonts w:ascii="Calibri" w:hAnsi="Calibri" w:eastAsia="等线"/>
                <w:b w:val="0"/>
                <w:color w:val="1F1F1F"/>
                <w:sz w:val="14"/>
              </w:rPr>
              <w:t>1–4096</w:t>
            </w:r>
          </w:p>
        </w:tc>
        <w:tc>
          <w:tcPr>
            <w:tcW w:type="dxa" w:w="2710"/>
          </w:tcPr>
          <w:p>
            <w:pPr>
              <w:spacing w:after="0" w:line="240" w:lineRule="auto"/>
            </w:pPr>
            <w:r>
              <w:rPr>
                <w:rFonts w:ascii="Calibri" w:hAnsi="Calibri" w:eastAsia="等线"/>
                <w:b w:val="0"/>
                <w:color w:val="1F1F1F"/>
                <w:sz w:val="14"/>
              </w:rPr>
              <w:t>服务模型内部并发，可能与外部Credit相等或更小。</w:t>
            </w:r>
          </w:p>
        </w:tc>
      </w:tr>
      <w:tr>
        <w:tc>
          <w:tcPr>
            <w:tcW w:type="dxa" w:w="1650"/>
          </w:tcPr>
          <w:p>
            <w:pPr>
              <w:spacing w:after="0" w:line="240" w:lineRule="auto"/>
            </w:pPr>
            <w:r>
              <w:rPr>
                <w:rFonts w:ascii="Calibri" w:hAnsi="Calibri" w:eastAsia="等线"/>
                <w:b/>
                <w:color w:val="1F1F1F"/>
                <w:sz w:val="14"/>
              </w:rPr>
              <w:t>target_bank_count</w:t>
            </w:r>
          </w:p>
        </w:tc>
        <w:tc>
          <w:tcPr>
            <w:tcW w:type="dxa" w:w="1900"/>
          </w:tcPr>
          <w:p>
            <w:pPr>
              <w:spacing w:after="0" w:line="240" w:lineRule="auto"/>
            </w:pPr>
            <w:r>
              <w:rPr>
                <w:rFonts w:ascii="Calibri" w:hAnsi="Calibri" w:eastAsia="等线"/>
                <w:b w:val="0"/>
                <w:color w:val="1F1F1F"/>
                <w:sz w:val="14"/>
              </w:rPr>
              <w:t>可选Bank数/个</w:t>
            </w:r>
          </w:p>
        </w:tc>
        <w:tc>
          <w:tcPr>
            <w:tcW w:type="dxa" w:w="1450"/>
          </w:tcPr>
          <w:p>
            <w:pPr>
              <w:spacing w:after="0" w:line="240" w:lineRule="auto"/>
            </w:pPr>
            <w:r>
              <w:rPr>
                <w:rFonts w:ascii="Calibri" w:hAnsi="Calibri" w:eastAsia="等线"/>
                <w:b w:val="0"/>
                <w:color w:val="1F1F1F"/>
                <w:sz w:val="14"/>
              </w:rPr>
              <w:t>1（抽象）</w:t>
            </w:r>
          </w:p>
        </w:tc>
        <w:tc>
          <w:tcPr>
            <w:tcW w:type="dxa" w:w="1650"/>
          </w:tcPr>
          <w:p>
            <w:pPr>
              <w:spacing w:after="0" w:line="240" w:lineRule="auto"/>
            </w:pPr>
            <w:r>
              <w:rPr>
                <w:rFonts w:ascii="Calibri" w:hAnsi="Calibri" w:eastAsia="等线"/>
                <w:b w:val="0"/>
                <w:color w:val="1F1F1F"/>
                <w:sz w:val="14"/>
              </w:rPr>
              <w:t>1–256</w:t>
            </w:r>
          </w:p>
        </w:tc>
        <w:tc>
          <w:tcPr>
            <w:tcW w:type="dxa" w:w="2710"/>
          </w:tcPr>
          <w:p>
            <w:pPr>
              <w:spacing w:after="0" w:line="240" w:lineRule="auto"/>
            </w:pPr>
            <w:r>
              <w:rPr>
                <w:rFonts w:ascii="Calibri" w:hAnsi="Calibri" w:eastAsia="等线"/>
                <w:b w:val="0"/>
                <w:color w:val="1F1F1F"/>
                <w:sz w:val="14"/>
              </w:rPr>
              <w:t>用于表达Bank并行和冲突；未校准时保持1。</w:t>
            </w:r>
          </w:p>
        </w:tc>
      </w:tr>
      <w:tr>
        <w:tc>
          <w:tcPr>
            <w:tcW w:type="dxa" w:w="1650"/>
          </w:tcPr>
          <w:p>
            <w:pPr>
              <w:spacing w:after="0" w:line="240" w:lineRule="auto"/>
            </w:pPr>
            <w:r>
              <w:rPr>
                <w:rFonts w:ascii="Calibri" w:hAnsi="Calibri" w:eastAsia="等线"/>
                <w:b/>
                <w:color w:val="1F1F1F"/>
                <w:sz w:val="14"/>
              </w:rPr>
              <w:t>target_latency_distribution</w:t>
            </w:r>
          </w:p>
        </w:tc>
        <w:tc>
          <w:tcPr>
            <w:tcW w:type="dxa" w:w="1900"/>
          </w:tcPr>
          <w:p>
            <w:pPr>
              <w:spacing w:after="0" w:line="240" w:lineRule="auto"/>
            </w:pPr>
            <w:r>
              <w:rPr>
                <w:rFonts w:ascii="Calibri" w:hAnsi="Calibri" w:eastAsia="等线"/>
                <w:b w:val="0"/>
                <w:color w:val="1F1F1F"/>
                <w:sz w:val="14"/>
              </w:rPr>
              <w:t>服务延迟分布/结构</w:t>
            </w:r>
          </w:p>
        </w:tc>
        <w:tc>
          <w:tcPr>
            <w:tcW w:type="dxa" w:w="1450"/>
          </w:tcPr>
          <w:p>
            <w:pPr>
              <w:spacing w:after="0" w:line="240" w:lineRule="auto"/>
            </w:pPr>
            <w:r>
              <w:rPr>
                <w:rFonts w:ascii="Calibri" w:hAnsi="Calibri" w:eastAsia="等线"/>
                <w:b w:val="0"/>
                <w:color w:val="1F1F1F"/>
                <w:sz w:val="14"/>
              </w:rPr>
              <w:t>FIXED（探索）</w:t>
            </w:r>
          </w:p>
        </w:tc>
        <w:tc>
          <w:tcPr>
            <w:tcW w:type="dxa" w:w="1650"/>
          </w:tcPr>
          <w:p>
            <w:pPr>
              <w:spacing w:after="0" w:line="240" w:lineRule="auto"/>
            </w:pPr>
            <w:r>
              <w:rPr>
                <w:rFonts w:ascii="Calibri" w:hAnsi="Calibri" w:eastAsia="等线"/>
                <w:b w:val="0"/>
                <w:color w:val="1F1F1F"/>
                <w:sz w:val="14"/>
              </w:rPr>
              <w:t>FIXED/TABLE/TRACE</w:t>
            </w:r>
          </w:p>
        </w:tc>
        <w:tc>
          <w:tcPr>
            <w:tcW w:type="dxa" w:w="2710"/>
          </w:tcPr>
          <w:p>
            <w:pPr>
              <w:spacing w:after="0" w:line="240" w:lineRule="auto"/>
            </w:pPr>
            <w:r>
              <w:rPr>
                <w:rFonts w:ascii="Calibri" w:hAnsi="Calibri" w:eastAsia="等线"/>
                <w:b w:val="0"/>
                <w:color w:val="1F1F1F"/>
                <w:sz w:val="14"/>
              </w:rPr>
              <w:t>用于尾延迟和动态服务能力；需参考数据。</w:t>
            </w:r>
          </w:p>
        </w:tc>
      </w:tr>
      <w:tr>
        <w:tc>
          <w:tcPr>
            <w:tcW w:type="dxa" w:w="1650"/>
          </w:tcPr>
          <w:p>
            <w:pPr>
              <w:spacing w:after="0" w:line="240" w:lineRule="auto"/>
            </w:pPr>
            <w:r>
              <w:rPr>
                <w:rFonts w:ascii="Calibri" w:hAnsi="Calibri" w:eastAsia="等线"/>
                <w:b/>
                <w:color w:val="1F1F1F"/>
                <w:sz w:val="14"/>
              </w:rPr>
              <w:t>request_header_bytes</w:t>
            </w:r>
          </w:p>
        </w:tc>
        <w:tc>
          <w:tcPr>
            <w:tcW w:type="dxa" w:w="1900"/>
          </w:tcPr>
          <w:p>
            <w:pPr>
              <w:spacing w:after="0" w:line="240" w:lineRule="auto"/>
            </w:pPr>
            <w:r>
              <w:rPr>
                <w:rFonts w:ascii="Calibri" w:hAnsi="Calibri" w:eastAsia="等线"/>
                <w:b w:val="0"/>
                <w:color w:val="1F1F1F"/>
                <w:sz w:val="14"/>
              </w:rPr>
              <w:t>请求头计费/Byte</w:t>
            </w:r>
          </w:p>
        </w:tc>
        <w:tc>
          <w:tcPr>
            <w:tcW w:type="dxa" w:w="1450"/>
          </w:tcPr>
          <w:p>
            <w:pPr>
              <w:spacing w:after="0" w:line="240" w:lineRule="auto"/>
            </w:pPr>
            <w:r>
              <w:rPr>
                <w:rFonts w:ascii="Calibri" w:hAnsi="Calibri" w:eastAsia="等线"/>
                <w:b w:val="0"/>
                <w:color w:val="1F1F1F"/>
                <w:sz w:val="14"/>
              </w:rPr>
              <w:t>MANDATORY</w:t>
            </w:r>
          </w:p>
        </w:tc>
        <w:tc>
          <w:tcPr>
            <w:tcW w:type="dxa" w:w="1650"/>
          </w:tcPr>
          <w:p>
            <w:pPr>
              <w:spacing w:after="0" w:line="240" w:lineRule="auto"/>
            </w:pPr>
            <w:r>
              <w:rPr>
                <w:rFonts w:ascii="Calibri" w:hAnsi="Calibri" w:eastAsia="等线"/>
                <w:b w:val="0"/>
                <w:color w:val="1F1F1F"/>
                <w:sz w:val="14"/>
              </w:rPr>
              <w:t>1–256</w:t>
            </w:r>
          </w:p>
        </w:tc>
        <w:tc>
          <w:tcPr>
            <w:tcW w:type="dxa" w:w="2710"/>
          </w:tcPr>
          <w:p>
            <w:pPr>
              <w:spacing w:after="0" w:line="240" w:lineRule="auto"/>
            </w:pPr>
            <w:r>
              <w:rPr>
                <w:rFonts w:ascii="Calibri" w:hAnsi="Calibri" w:eastAsia="等线"/>
                <w:b w:val="0"/>
                <w:color w:val="1F1F1F"/>
                <w:sz w:val="14"/>
              </w:rPr>
              <w:t>影响READ_REQ/WRITE_REQ链路序列化。</w:t>
            </w:r>
          </w:p>
        </w:tc>
      </w:tr>
      <w:tr>
        <w:tc>
          <w:tcPr>
            <w:tcW w:type="dxa" w:w="1650"/>
          </w:tcPr>
          <w:p>
            <w:pPr>
              <w:spacing w:after="0" w:line="240" w:lineRule="auto"/>
            </w:pPr>
            <w:r>
              <w:rPr>
                <w:rFonts w:ascii="Calibri" w:hAnsi="Calibri" w:eastAsia="等线"/>
                <w:b/>
                <w:color w:val="1F1F1F"/>
                <w:sz w:val="14"/>
              </w:rPr>
              <w:t>response_header_bytes</w:t>
            </w:r>
          </w:p>
        </w:tc>
        <w:tc>
          <w:tcPr>
            <w:tcW w:type="dxa" w:w="1900"/>
          </w:tcPr>
          <w:p>
            <w:pPr>
              <w:spacing w:after="0" w:line="240" w:lineRule="auto"/>
            </w:pPr>
            <w:r>
              <w:rPr>
                <w:rFonts w:ascii="Calibri" w:hAnsi="Calibri" w:eastAsia="等线"/>
                <w:b w:val="0"/>
                <w:color w:val="1F1F1F"/>
                <w:sz w:val="14"/>
              </w:rPr>
              <w:t>响应头计费/Byte</w:t>
            </w:r>
          </w:p>
        </w:tc>
        <w:tc>
          <w:tcPr>
            <w:tcW w:type="dxa" w:w="1450"/>
          </w:tcPr>
          <w:p>
            <w:pPr>
              <w:spacing w:after="0" w:line="240" w:lineRule="auto"/>
            </w:pPr>
            <w:r>
              <w:rPr>
                <w:rFonts w:ascii="Calibri" w:hAnsi="Calibri" w:eastAsia="等线"/>
                <w:b w:val="0"/>
                <w:color w:val="1F1F1F"/>
                <w:sz w:val="14"/>
              </w:rPr>
              <w:t>MANDATORY</w:t>
            </w:r>
          </w:p>
        </w:tc>
        <w:tc>
          <w:tcPr>
            <w:tcW w:type="dxa" w:w="1650"/>
          </w:tcPr>
          <w:p>
            <w:pPr>
              <w:spacing w:after="0" w:line="240" w:lineRule="auto"/>
            </w:pPr>
            <w:r>
              <w:rPr>
                <w:rFonts w:ascii="Calibri" w:hAnsi="Calibri" w:eastAsia="等线"/>
                <w:b w:val="0"/>
                <w:color w:val="1F1F1F"/>
                <w:sz w:val="14"/>
              </w:rPr>
              <w:t>1–256</w:t>
            </w:r>
          </w:p>
        </w:tc>
        <w:tc>
          <w:tcPr>
            <w:tcW w:type="dxa" w:w="2710"/>
          </w:tcPr>
          <w:p>
            <w:pPr>
              <w:spacing w:after="0" w:line="240" w:lineRule="auto"/>
            </w:pPr>
            <w:r>
              <w:rPr>
                <w:rFonts w:ascii="Calibri" w:hAnsi="Calibri" w:eastAsia="等线"/>
                <w:b w:val="0"/>
                <w:color w:val="1F1F1F"/>
                <w:sz w:val="14"/>
              </w:rPr>
              <w:t>影响Grant、完成和错误响应。</w:t>
            </w:r>
          </w:p>
        </w:tc>
      </w:tr>
      <w:tr>
        <w:tc>
          <w:tcPr>
            <w:tcW w:type="dxa" w:w="1650"/>
          </w:tcPr>
          <w:p>
            <w:pPr>
              <w:spacing w:after="0" w:line="240" w:lineRule="auto"/>
            </w:pPr>
            <w:r>
              <w:rPr>
                <w:rFonts w:ascii="Calibri" w:hAnsi="Calibri" w:eastAsia="等线"/>
                <w:b/>
                <w:color w:val="1F1F1F"/>
                <w:sz w:val="14"/>
              </w:rPr>
              <w:t>data_beat_bytes</w:t>
            </w:r>
          </w:p>
        </w:tc>
        <w:tc>
          <w:tcPr>
            <w:tcW w:type="dxa" w:w="1900"/>
          </w:tcPr>
          <w:p>
            <w:pPr>
              <w:spacing w:after="0" w:line="240" w:lineRule="auto"/>
            </w:pPr>
            <w:r>
              <w:rPr>
                <w:rFonts w:ascii="Calibri" w:hAnsi="Calibri" w:eastAsia="等线"/>
                <w:b w:val="0"/>
                <w:color w:val="1F1F1F"/>
                <w:sz w:val="14"/>
              </w:rPr>
              <w:t>数据段粒度/Byte</w:t>
            </w:r>
          </w:p>
        </w:tc>
        <w:tc>
          <w:tcPr>
            <w:tcW w:type="dxa" w:w="1450"/>
          </w:tcPr>
          <w:p>
            <w:pPr>
              <w:spacing w:after="0" w:line="240" w:lineRule="auto"/>
            </w:pPr>
            <w:r>
              <w:rPr>
                <w:rFonts w:ascii="Calibri" w:hAnsi="Calibri" w:eastAsia="等线"/>
                <w:b w:val="0"/>
                <w:color w:val="1F1F1F"/>
                <w:sz w:val="14"/>
              </w:rPr>
              <w:t>64（探索）</w:t>
            </w:r>
          </w:p>
        </w:tc>
        <w:tc>
          <w:tcPr>
            <w:tcW w:type="dxa" w:w="1650"/>
          </w:tcPr>
          <w:p>
            <w:pPr>
              <w:spacing w:after="0" w:line="240" w:lineRule="auto"/>
            </w:pPr>
            <w:r>
              <w:rPr>
                <w:rFonts w:ascii="Calibri" w:hAnsi="Calibri" w:eastAsia="等线"/>
                <w:b w:val="0"/>
                <w:color w:val="1F1F1F"/>
                <w:sz w:val="14"/>
              </w:rPr>
              <w:t>8–1024</w:t>
            </w:r>
          </w:p>
        </w:tc>
        <w:tc>
          <w:tcPr>
            <w:tcW w:type="dxa" w:w="2710"/>
          </w:tcPr>
          <w:p>
            <w:pPr>
              <w:spacing w:after="0" w:line="240" w:lineRule="auto"/>
            </w:pPr>
            <w:r>
              <w:rPr>
                <w:rFonts w:ascii="Calibri" w:hAnsi="Calibri" w:eastAsia="等线"/>
                <w:b w:val="0"/>
                <w:color w:val="1F1F1F"/>
                <w:sz w:val="14"/>
              </w:rPr>
              <w:t>影响分段、仲裁粒度和响应交织。</w:t>
            </w:r>
          </w:p>
        </w:tc>
      </w:tr>
      <w:tr>
        <w:tc>
          <w:tcPr>
            <w:tcW w:type="dxa" w:w="1650"/>
          </w:tcPr>
          <w:p>
            <w:pPr>
              <w:spacing w:after="0" w:line="240" w:lineRule="auto"/>
            </w:pPr>
            <w:r>
              <w:rPr>
                <w:rFonts w:ascii="Calibri" w:hAnsi="Calibri" w:eastAsia="等线"/>
                <w:b/>
                <w:color w:val="1F1F1F"/>
                <w:sz w:val="14"/>
              </w:rPr>
              <w:t>write_protocol_mode</w:t>
            </w:r>
          </w:p>
        </w:tc>
        <w:tc>
          <w:tcPr>
            <w:tcW w:type="dxa" w:w="1900"/>
          </w:tcPr>
          <w:p>
            <w:pPr>
              <w:spacing w:after="0" w:line="240" w:lineRule="auto"/>
            </w:pPr>
            <w:r>
              <w:rPr>
                <w:rFonts w:ascii="Calibri" w:hAnsi="Calibri" w:eastAsia="等线"/>
                <w:b w:val="0"/>
                <w:color w:val="1F1F1F"/>
                <w:sz w:val="14"/>
              </w:rPr>
              <w:t>写协议/枚举</w:t>
            </w:r>
          </w:p>
        </w:tc>
        <w:tc>
          <w:tcPr>
            <w:tcW w:type="dxa" w:w="1450"/>
          </w:tcPr>
          <w:p>
            <w:pPr>
              <w:spacing w:after="0" w:line="240" w:lineRule="auto"/>
            </w:pPr>
            <w:r>
              <w:rPr>
                <w:rFonts w:ascii="Calibri" w:hAnsi="Calibri" w:eastAsia="等线"/>
                <w:b w:val="0"/>
                <w:color w:val="1F1F1F"/>
                <w:sz w:val="14"/>
              </w:rPr>
              <w:t>GRANT_THEN_DATA</w:t>
            </w:r>
          </w:p>
        </w:tc>
        <w:tc>
          <w:tcPr>
            <w:tcW w:type="dxa" w:w="1650"/>
          </w:tcPr>
          <w:p>
            <w:pPr>
              <w:spacing w:after="0" w:line="240" w:lineRule="auto"/>
            </w:pPr>
            <w:r>
              <w:rPr>
                <w:rFonts w:ascii="Calibri" w:hAnsi="Calibri" w:eastAsia="等线"/>
                <w:b w:val="0"/>
                <w:color w:val="1F1F1F"/>
                <w:sz w:val="14"/>
              </w:rPr>
              <w:t>GRANT/POSTED/PARALLEL</w:t>
            </w:r>
          </w:p>
        </w:tc>
        <w:tc>
          <w:tcPr>
            <w:tcW w:type="dxa" w:w="2710"/>
          </w:tcPr>
          <w:p>
            <w:pPr>
              <w:spacing w:after="0" w:line="240" w:lineRule="auto"/>
            </w:pPr>
            <w:r>
              <w:rPr>
                <w:rFonts w:ascii="Calibri" w:hAnsi="Calibri" w:eastAsia="等线"/>
                <w:b w:val="0"/>
                <w:color w:val="1F1F1F"/>
                <w:sz w:val="14"/>
              </w:rPr>
              <w:t>P0参数；决定数据缓冲、RTT和完成语义。</w:t>
            </w:r>
          </w:p>
        </w:tc>
      </w:tr>
      <w:tr>
        <w:tc>
          <w:tcPr>
            <w:tcW w:type="dxa" w:w="1650"/>
          </w:tcPr>
          <w:p>
            <w:pPr>
              <w:spacing w:after="0" w:line="240" w:lineRule="auto"/>
            </w:pPr>
            <w:r>
              <w:rPr>
                <w:rFonts w:ascii="Calibri" w:hAnsi="Calibri" w:eastAsia="等线"/>
                <w:b/>
                <w:color w:val="1F1F1F"/>
                <w:sz w:val="14"/>
              </w:rPr>
              <w:t>credit_release_point</w:t>
            </w:r>
          </w:p>
        </w:tc>
        <w:tc>
          <w:tcPr>
            <w:tcW w:type="dxa" w:w="1900"/>
          </w:tcPr>
          <w:p>
            <w:pPr>
              <w:spacing w:after="0" w:line="240" w:lineRule="auto"/>
            </w:pPr>
            <w:r>
              <w:rPr>
                <w:rFonts w:ascii="Calibri" w:hAnsi="Calibri" w:eastAsia="等线"/>
                <w:b w:val="0"/>
                <w:color w:val="1F1F1F"/>
                <w:sz w:val="14"/>
              </w:rPr>
              <w:t>Credit释放/枚举</w:t>
            </w:r>
          </w:p>
        </w:tc>
        <w:tc>
          <w:tcPr>
            <w:tcW w:type="dxa" w:w="1450"/>
          </w:tcPr>
          <w:p>
            <w:pPr>
              <w:spacing w:after="0" w:line="240" w:lineRule="auto"/>
            </w:pPr>
            <w:r>
              <w:rPr>
                <w:rFonts w:ascii="Calibri" w:hAnsi="Calibri" w:eastAsia="等线"/>
                <w:b w:val="0"/>
                <w:color w:val="1F1F1F"/>
                <w:sz w:val="14"/>
              </w:rPr>
              <w:t>TARGET_RESOURCE_FREE</w:t>
            </w:r>
          </w:p>
        </w:tc>
        <w:tc>
          <w:tcPr>
            <w:tcW w:type="dxa" w:w="1650"/>
          </w:tcPr>
          <w:p>
            <w:pPr>
              <w:spacing w:after="0" w:line="240" w:lineRule="auto"/>
            </w:pPr>
            <w:r>
              <w:rPr>
                <w:rFonts w:ascii="Calibri" w:hAnsi="Calibri" w:eastAsia="等线"/>
                <w:b w:val="0"/>
                <w:color w:val="1F1F1F"/>
                <w:sz w:val="14"/>
              </w:rPr>
              <w:t>SERVICE_DONE/RSP_ENQ/RSP_ACCEPT</w:t>
            </w:r>
          </w:p>
        </w:tc>
        <w:tc>
          <w:tcPr>
            <w:tcW w:type="dxa" w:w="2710"/>
          </w:tcPr>
          <w:p>
            <w:pPr>
              <w:spacing w:after="0" w:line="240" w:lineRule="auto"/>
            </w:pPr>
            <w:r>
              <w:rPr>
                <w:rFonts w:ascii="Calibri" w:hAnsi="Calibri" w:eastAsia="等线"/>
                <w:b w:val="0"/>
                <w:color w:val="1F1F1F"/>
                <w:sz w:val="14"/>
              </w:rPr>
              <w:t>P0参数；必须匹配真实资源生命周期。</w:t>
            </w:r>
          </w:p>
        </w:tc>
      </w:tr>
    </w:tbl>
    <w:p>
      <w:pPr>
        <w:spacing w:after="0"/>
      </w:pPr>
    </w:p>
    <w:p>
      <w:pPr>
        <w:pStyle w:val="Heading3"/>
      </w:pPr>
      <w:r>
        <w:t>11.2.4 运行、检查与统计参数</w:t>
      </w:r>
    </w:p>
    <w:tbl>
      <w:tblPr>
        <w:tblStyle w:val="TableGrid"/>
        <w:tblW w:type="dxa" w:w="9360"/>
        <w:jc w:val="left"/>
        <w:tblLayout w:type="fixed"/>
        <w:tblLook w:firstColumn="1" w:firstRow="1" w:lastColumn="0" w:lastRow="0" w:noHBand="0" w:noVBand="1" w:val="04A0"/>
        <w:tblInd w:w="120" w:type="dxa"/>
      </w:tblPr>
      <w:tblGrid>
        <w:gridCol w:w="1650"/>
        <w:gridCol w:w="1900"/>
        <w:gridCol w:w="1450"/>
        <w:gridCol w:w="1650"/>
        <w:gridCol w:w="2710"/>
      </w:tblGrid>
      <w:tr>
        <w:trPr>
          <w:cantSplit/>
          <w:tblHeader w:val="true"/>
        </w:trPr>
        <w:tc>
          <w:tcPr>
            <w:tcW w:type="dxa" w:w="165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参数</w:t>
            </w:r>
          </w:p>
        </w:tc>
        <w:tc>
          <w:tcPr>
            <w:tcW w:type="dxa" w:w="190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定义/单位</w:t>
            </w:r>
          </w:p>
        </w:tc>
        <w:tc>
          <w:tcPr>
            <w:tcW w:type="dxa" w:w="145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建议默认</w:t>
            </w:r>
          </w:p>
        </w:tc>
        <w:tc>
          <w:tcPr>
            <w:tcW w:type="dxa" w:w="165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建议范围</w:t>
            </w:r>
          </w:p>
        </w:tc>
        <w:tc>
          <w:tcPr>
            <w:tcW w:type="dxa" w:w="271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作用位置与性能影响</w:t>
            </w:r>
          </w:p>
        </w:tc>
      </w:tr>
      <w:tr>
        <w:tc>
          <w:tcPr>
            <w:tcW w:type="dxa" w:w="1650"/>
          </w:tcPr>
          <w:p>
            <w:pPr>
              <w:spacing w:after="0" w:line="240" w:lineRule="auto"/>
            </w:pPr>
            <w:r>
              <w:rPr>
                <w:rFonts w:ascii="Calibri" w:hAnsi="Calibri" w:eastAsia="等线"/>
                <w:b/>
                <w:color w:val="1F1F1F"/>
                <w:sz w:val="15"/>
              </w:rPr>
              <w:t>warmup_cycles</w:t>
            </w:r>
          </w:p>
        </w:tc>
        <w:tc>
          <w:tcPr>
            <w:tcW w:type="dxa" w:w="1900"/>
          </w:tcPr>
          <w:p>
            <w:pPr>
              <w:spacing w:after="0" w:line="240" w:lineRule="auto"/>
            </w:pPr>
            <w:r>
              <w:rPr>
                <w:rFonts w:ascii="Calibri" w:hAnsi="Calibri" w:eastAsia="等线"/>
                <w:b w:val="0"/>
                <w:color w:val="1F1F1F"/>
                <w:sz w:val="15"/>
              </w:rPr>
              <w:t>预热时间/cycle</w:t>
            </w:r>
          </w:p>
        </w:tc>
        <w:tc>
          <w:tcPr>
            <w:tcW w:type="dxa" w:w="1450"/>
          </w:tcPr>
          <w:p>
            <w:pPr>
              <w:spacing w:after="0" w:line="240" w:lineRule="auto"/>
            </w:pPr>
            <w:r>
              <w:rPr>
                <w:rFonts w:ascii="Calibri" w:hAnsi="Calibri" w:eastAsia="等线"/>
                <w:b w:val="0"/>
                <w:color w:val="1F1F1F"/>
                <w:sz w:val="15"/>
              </w:rPr>
              <w:t>按场景显式</w:t>
            </w:r>
          </w:p>
        </w:tc>
        <w:tc>
          <w:tcPr>
            <w:tcW w:type="dxa" w:w="1650"/>
          </w:tcPr>
          <w:p>
            <w:pPr>
              <w:spacing w:after="0" w:line="240" w:lineRule="auto"/>
            </w:pPr>
            <w:r>
              <w:rPr>
                <w:rFonts w:ascii="Calibri" w:hAnsi="Calibri" w:eastAsia="等线"/>
                <w:b w:val="0"/>
                <w:color w:val="1F1F1F"/>
                <w:sz w:val="15"/>
              </w:rPr>
              <w:t>0–仿真长度</w:t>
            </w:r>
          </w:p>
        </w:tc>
        <w:tc>
          <w:tcPr>
            <w:tcW w:type="dxa" w:w="2710"/>
          </w:tcPr>
          <w:p>
            <w:pPr>
              <w:spacing w:after="0" w:line="240" w:lineRule="auto"/>
            </w:pPr>
            <w:r>
              <w:rPr>
                <w:rFonts w:ascii="Calibri" w:hAnsi="Calibri" w:eastAsia="等线"/>
                <w:b w:val="0"/>
                <w:color w:val="1F1F1F"/>
                <w:sz w:val="15"/>
              </w:rPr>
              <w:t>预热不计入主KPI，但保留稳定性检查。</w:t>
            </w:r>
          </w:p>
        </w:tc>
      </w:tr>
      <w:tr>
        <w:tc>
          <w:tcPr>
            <w:tcW w:type="dxa" w:w="1650"/>
          </w:tcPr>
          <w:p>
            <w:pPr>
              <w:spacing w:after="0" w:line="240" w:lineRule="auto"/>
            </w:pPr>
            <w:r>
              <w:rPr>
                <w:rFonts w:ascii="Calibri" w:hAnsi="Calibri" w:eastAsia="等线"/>
                <w:b/>
                <w:color w:val="1F1F1F"/>
                <w:sz w:val="15"/>
              </w:rPr>
              <w:t>measurement_cycles</w:t>
            </w:r>
          </w:p>
        </w:tc>
        <w:tc>
          <w:tcPr>
            <w:tcW w:type="dxa" w:w="1900"/>
          </w:tcPr>
          <w:p>
            <w:pPr>
              <w:spacing w:after="0" w:line="240" w:lineRule="auto"/>
            </w:pPr>
            <w:r>
              <w:rPr>
                <w:rFonts w:ascii="Calibri" w:hAnsi="Calibri" w:eastAsia="等线"/>
                <w:b w:val="0"/>
                <w:color w:val="1F1F1F"/>
                <w:sz w:val="15"/>
              </w:rPr>
              <w:t>测量窗口/cycle</w:t>
            </w:r>
          </w:p>
        </w:tc>
        <w:tc>
          <w:tcPr>
            <w:tcW w:type="dxa" w:w="1450"/>
          </w:tcPr>
          <w:p>
            <w:pPr>
              <w:spacing w:after="0" w:line="240" w:lineRule="auto"/>
            </w:pPr>
            <w:r>
              <w:rPr>
                <w:rFonts w:ascii="Calibri" w:hAnsi="Calibri" w:eastAsia="等线"/>
                <w:b w:val="0"/>
                <w:color w:val="1F1F1F"/>
                <w:sz w:val="15"/>
              </w:rPr>
              <w:t>MANDATORY</w:t>
            </w:r>
          </w:p>
        </w:tc>
        <w:tc>
          <w:tcPr>
            <w:tcW w:type="dxa" w:w="1650"/>
          </w:tcPr>
          <w:p>
            <w:pPr>
              <w:spacing w:after="0" w:line="240" w:lineRule="auto"/>
            </w:pPr>
            <w:r>
              <w:rPr>
                <w:rFonts w:ascii="Calibri" w:hAnsi="Calibri" w:eastAsia="等线"/>
                <w:b w:val="0"/>
                <w:color w:val="1F1F1F"/>
                <w:sz w:val="15"/>
              </w:rPr>
              <w:t>&gt;0</w:t>
            </w:r>
          </w:p>
        </w:tc>
        <w:tc>
          <w:tcPr>
            <w:tcW w:type="dxa" w:w="2710"/>
          </w:tcPr>
          <w:p>
            <w:pPr>
              <w:spacing w:after="0" w:line="240" w:lineRule="auto"/>
            </w:pPr>
            <w:r>
              <w:rPr>
                <w:rFonts w:ascii="Calibri" w:hAnsi="Calibri" w:eastAsia="等线"/>
                <w:b w:val="0"/>
                <w:color w:val="1F1F1F"/>
                <w:sz w:val="15"/>
              </w:rPr>
              <w:t>所有吞吐/利用率使用同一窗口。</w:t>
            </w:r>
          </w:p>
        </w:tc>
      </w:tr>
      <w:tr>
        <w:tc>
          <w:tcPr>
            <w:tcW w:type="dxa" w:w="1650"/>
          </w:tcPr>
          <w:p>
            <w:pPr>
              <w:spacing w:after="0" w:line="240" w:lineRule="auto"/>
            </w:pPr>
            <w:r>
              <w:rPr>
                <w:rFonts w:ascii="Calibri" w:hAnsi="Calibri" w:eastAsia="等线"/>
                <w:b/>
                <w:color w:val="1F1F1F"/>
                <w:sz w:val="15"/>
              </w:rPr>
              <w:t>random_seed</w:t>
            </w:r>
          </w:p>
        </w:tc>
        <w:tc>
          <w:tcPr>
            <w:tcW w:type="dxa" w:w="1900"/>
          </w:tcPr>
          <w:p>
            <w:pPr>
              <w:spacing w:after="0" w:line="240" w:lineRule="auto"/>
            </w:pPr>
            <w:r>
              <w:rPr>
                <w:rFonts w:ascii="Calibri" w:hAnsi="Calibri" w:eastAsia="等线"/>
                <w:b w:val="0"/>
                <w:color w:val="1F1F1F"/>
                <w:sz w:val="15"/>
              </w:rPr>
              <w:t>随机种子/整数</w:t>
            </w:r>
          </w:p>
        </w:tc>
        <w:tc>
          <w:tcPr>
            <w:tcW w:type="dxa" w:w="1450"/>
          </w:tcPr>
          <w:p>
            <w:pPr>
              <w:spacing w:after="0" w:line="240" w:lineRule="auto"/>
            </w:pPr>
            <w:r>
              <w:rPr>
                <w:rFonts w:ascii="Calibri" w:hAnsi="Calibri" w:eastAsia="等线"/>
                <w:b w:val="0"/>
                <w:color w:val="1F1F1F"/>
                <w:sz w:val="15"/>
              </w:rPr>
              <w:t>1</w:t>
            </w:r>
          </w:p>
        </w:tc>
        <w:tc>
          <w:tcPr>
            <w:tcW w:type="dxa" w:w="1650"/>
          </w:tcPr>
          <w:p>
            <w:pPr>
              <w:spacing w:after="0" w:line="240" w:lineRule="auto"/>
            </w:pPr>
            <w:r>
              <w:rPr>
                <w:rFonts w:ascii="Calibri" w:hAnsi="Calibri" w:eastAsia="等线"/>
                <w:b w:val="0"/>
                <w:color w:val="1F1F1F"/>
                <w:sz w:val="15"/>
              </w:rPr>
              <w:t>32/64位</w:t>
            </w:r>
          </w:p>
        </w:tc>
        <w:tc>
          <w:tcPr>
            <w:tcW w:type="dxa" w:w="2710"/>
          </w:tcPr>
          <w:p>
            <w:pPr>
              <w:spacing w:after="0" w:line="240" w:lineRule="auto"/>
            </w:pPr>
            <w:r>
              <w:rPr>
                <w:rFonts w:ascii="Calibri" w:hAnsi="Calibri" w:eastAsia="等线"/>
                <w:b w:val="0"/>
                <w:color w:val="1F1F1F"/>
                <w:sz w:val="15"/>
              </w:rPr>
              <w:t>分布流量和Target随机延迟可复现。</w:t>
            </w:r>
          </w:p>
        </w:tc>
      </w:tr>
      <w:tr>
        <w:tc>
          <w:tcPr>
            <w:tcW w:type="dxa" w:w="1650"/>
          </w:tcPr>
          <w:p>
            <w:pPr>
              <w:spacing w:after="0" w:line="240" w:lineRule="auto"/>
            </w:pPr>
            <w:r>
              <w:rPr>
                <w:rFonts w:ascii="Calibri" w:hAnsi="Calibri" w:eastAsia="等线"/>
                <w:b/>
                <w:color w:val="1F1F1F"/>
                <w:sz w:val="15"/>
              </w:rPr>
              <w:t>deadlock_watchdog_cycles</w:t>
            </w:r>
          </w:p>
        </w:tc>
        <w:tc>
          <w:tcPr>
            <w:tcW w:type="dxa" w:w="1900"/>
          </w:tcPr>
          <w:p>
            <w:pPr>
              <w:spacing w:after="0" w:line="240" w:lineRule="auto"/>
            </w:pPr>
            <w:r>
              <w:rPr>
                <w:rFonts w:ascii="Calibri" w:hAnsi="Calibri" w:eastAsia="等线"/>
                <w:b w:val="0"/>
                <w:color w:val="1F1F1F"/>
                <w:sz w:val="15"/>
              </w:rPr>
              <w:t>无进展阈值/cycle</w:t>
            </w:r>
          </w:p>
        </w:tc>
        <w:tc>
          <w:tcPr>
            <w:tcW w:type="dxa" w:w="1450"/>
          </w:tcPr>
          <w:p>
            <w:pPr>
              <w:spacing w:after="0" w:line="240" w:lineRule="auto"/>
            </w:pPr>
            <w:r>
              <w:rPr>
                <w:rFonts w:ascii="Calibri" w:hAnsi="Calibri" w:eastAsia="等线"/>
                <w:b w:val="0"/>
                <w:color w:val="1F1F1F"/>
                <w:sz w:val="15"/>
              </w:rPr>
              <w:t>100000（探索）</w:t>
            </w:r>
          </w:p>
        </w:tc>
        <w:tc>
          <w:tcPr>
            <w:tcW w:type="dxa" w:w="1650"/>
          </w:tcPr>
          <w:p>
            <w:pPr>
              <w:spacing w:after="0" w:line="240" w:lineRule="auto"/>
            </w:pPr>
            <w:r>
              <w:rPr>
                <w:rFonts w:ascii="Calibri" w:hAnsi="Calibri" w:eastAsia="等线"/>
                <w:b w:val="0"/>
                <w:color w:val="1F1F1F"/>
                <w:sz w:val="15"/>
              </w:rPr>
              <w:t>大于最大合法服务延迟</w:t>
            </w:r>
          </w:p>
        </w:tc>
        <w:tc>
          <w:tcPr>
            <w:tcW w:type="dxa" w:w="2710"/>
          </w:tcPr>
          <w:p>
            <w:pPr>
              <w:spacing w:after="0" w:line="240" w:lineRule="auto"/>
            </w:pPr>
            <w:r>
              <w:rPr>
                <w:rFonts w:ascii="Calibri" w:hAnsi="Calibri" w:eastAsia="等线"/>
                <w:b w:val="0"/>
                <w:color w:val="1F1F1F"/>
                <w:sz w:val="15"/>
              </w:rPr>
              <w:t>检测等待环；不得误判合法长延迟。</w:t>
            </w:r>
          </w:p>
        </w:tc>
      </w:tr>
      <w:tr>
        <w:tc>
          <w:tcPr>
            <w:tcW w:type="dxa" w:w="1650"/>
          </w:tcPr>
          <w:p>
            <w:pPr>
              <w:spacing w:after="0" w:line="240" w:lineRule="auto"/>
            </w:pPr>
            <w:r>
              <w:rPr>
                <w:rFonts w:ascii="Calibri" w:hAnsi="Calibri" w:eastAsia="等线"/>
                <w:b/>
                <w:color w:val="1F1F1F"/>
                <w:sz w:val="15"/>
              </w:rPr>
              <w:t>trace_level</w:t>
            </w:r>
          </w:p>
        </w:tc>
        <w:tc>
          <w:tcPr>
            <w:tcW w:type="dxa" w:w="1900"/>
          </w:tcPr>
          <w:p>
            <w:pPr>
              <w:spacing w:after="0" w:line="240" w:lineRule="auto"/>
            </w:pPr>
            <w:r>
              <w:rPr>
                <w:rFonts w:ascii="Calibri" w:hAnsi="Calibri" w:eastAsia="等线"/>
                <w:b w:val="0"/>
                <w:color w:val="1F1F1F"/>
                <w:sz w:val="15"/>
              </w:rPr>
              <w:t>追踪级别/枚举</w:t>
            </w:r>
          </w:p>
        </w:tc>
        <w:tc>
          <w:tcPr>
            <w:tcW w:type="dxa" w:w="1450"/>
          </w:tcPr>
          <w:p>
            <w:pPr>
              <w:spacing w:after="0" w:line="240" w:lineRule="auto"/>
            </w:pPr>
            <w:r>
              <w:rPr>
                <w:rFonts w:ascii="Calibri" w:hAnsi="Calibri" w:eastAsia="等线"/>
                <w:b w:val="0"/>
                <w:color w:val="1F1F1F"/>
                <w:sz w:val="15"/>
              </w:rPr>
              <w:t>SUMMARY</w:t>
            </w:r>
          </w:p>
        </w:tc>
        <w:tc>
          <w:tcPr>
            <w:tcW w:type="dxa" w:w="1650"/>
          </w:tcPr>
          <w:p>
            <w:pPr>
              <w:spacing w:after="0" w:line="240" w:lineRule="auto"/>
            </w:pPr>
            <w:r>
              <w:rPr>
                <w:rFonts w:ascii="Calibri" w:hAnsi="Calibri" w:eastAsia="等线"/>
                <w:b w:val="0"/>
                <w:color w:val="1F1F1F"/>
                <w:sz w:val="15"/>
              </w:rPr>
              <w:t>OFF/SUMMARY/TRANSACTION/VERBOSE</w:t>
            </w:r>
          </w:p>
        </w:tc>
        <w:tc>
          <w:tcPr>
            <w:tcW w:type="dxa" w:w="2710"/>
          </w:tcPr>
          <w:p>
            <w:pPr>
              <w:spacing w:after="0" w:line="240" w:lineRule="auto"/>
            </w:pPr>
            <w:r>
              <w:rPr>
                <w:rFonts w:ascii="Calibri" w:hAnsi="Calibri" w:eastAsia="等线"/>
                <w:b w:val="0"/>
                <w:color w:val="1F1F1F"/>
                <w:sz w:val="15"/>
              </w:rPr>
              <w:t>影响可诊断性和仿真速度。</w:t>
            </w:r>
          </w:p>
        </w:tc>
      </w:tr>
      <w:tr>
        <w:tc>
          <w:tcPr>
            <w:tcW w:type="dxa" w:w="1650"/>
          </w:tcPr>
          <w:p>
            <w:pPr>
              <w:spacing w:after="0" w:line="240" w:lineRule="auto"/>
            </w:pPr>
            <w:r>
              <w:rPr>
                <w:rFonts w:ascii="Calibri" w:hAnsi="Calibri" w:eastAsia="等线"/>
                <w:b/>
                <w:color w:val="1F1F1F"/>
                <w:sz w:val="15"/>
              </w:rPr>
              <w:t>latency_histogram_bins</w:t>
            </w:r>
          </w:p>
        </w:tc>
        <w:tc>
          <w:tcPr>
            <w:tcW w:type="dxa" w:w="1900"/>
          </w:tcPr>
          <w:p>
            <w:pPr>
              <w:spacing w:after="0" w:line="240" w:lineRule="auto"/>
            </w:pPr>
            <w:r>
              <w:rPr>
                <w:rFonts w:ascii="Calibri" w:hAnsi="Calibri" w:eastAsia="等线"/>
                <w:b w:val="0"/>
                <w:color w:val="1F1F1F"/>
                <w:sz w:val="15"/>
              </w:rPr>
              <w:t>直方图边界/cycle数组</w:t>
            </w:r>
          </w:p>
        </w:tc>
        <w:tc>
          <w:tcPr>
            <w:tcW w:type="dxa" w:w="1450"/>
          </w:tcPr>
          <w:p>
            <w:pPr>
              <w:spacing w:after="0" w:line="240" w:lineRule="auto"/>
            </w:pPr>
            <w:r>
              <w:rPr>
                <w:rFonts w:ascii="Calibri" w:hAnsi="Calibri" w:eastAsia="等线"/>
                <w:b w:val="0"/>
                <w:color w:val="1F1F1F"/>
                <w:sz w:val="15"/>
              </w:rPr>
              <w:t>对数分桶</w:t>
            </w:r>
          </w:p>
        </w:tc>
        <w:tc>
          <w:tcPr>
            <w:tcW w:type="dxa" w:w="1650"/>
          </w:tcPr>
          <w:p>
            <w:pPr>
              <w:spacing w:after="0" w:line="240" w:lineRule="auto"/>
            </w:pPr>
            <w:r>
              <w:rPr>
                <w:rFonts w:ascii="Calibri" w:hAnsi="Calibri" w:eastAsia="等线"/>
                <w:b w:val="0"/>
                <w:color w:val="1F1F1F"/>
                <w:sz w:val="15"/>
              </w:rPr>
              <w:t>覆盖p99以上</w:t>
            </w:r>
          </w:p>
        </w:tc>
        <w:tc>
          <w:tcPr>
            <w:tcW w:type="dxa" w:w="2710"/>
          </w:tcPr>
          <w:p>
            <w:pPr>
              <w:spacing w:after="0" w:line="240" w:lineRule="auto"/>
            </w:pPr>
            <w:r>
              <w:rPr>
                <w:rFonts w:ascii="Calibri" w:hAnsi="Calibri" w:eastAsia="等线"/>
                <w:b w:val="0"/>
                <w:color w:val="1F1F1F"/>
                <w:sz w:val="15"/>
              </w:rPr>
              <w:t>计算分位数并避免仅报告平均。</w:t>
            </w:r>
          </w:p>
        </w:tc>
      </w:tr>
      <w:tr>
        <w:tc>
          <w:tcPr>
            <w:tcW w:type="dxa" w:w="1650"/>
          </w:tcPr>
          <w:p>
            <w:pPr>
              <w:spacing w:after="0" w:line="240" w:lineRule="auto"/>
            </w:pPr>
            <w:r>
              <w:rPr>
                <w:rFonts w:ascii="Calibri" w:hAnsi="Calibri" w:eastAsia="等线"/>
                <w:b/>
                <w:color w:val="1F1F1F"/>
                <w:sz w:val="15"/>
              </w:rPr>
              <w:t>stats_interval</w:t>
            </w:r>
          </w:p>
        </w:tc>
        <w:tc>
          <w:tcPr>
            <w:tcW w:type="dxa" w:w="1900"/>
          </w:tcPr>
          <w:p>
            <w:pPr>
              <w:spacing w:after="0" w:line="240" w:lineRule="auto"/>
            </w:pPr>
            <w:r>
              <w:rPr>
                <w:rFonts w:ascii="Calibri" w:hAnsi="Calibri" w:eastAsia="等线"/>
                <w:b w:val="0"/>
                <w:color w:val="1F1F1F"/>
                <w:sz w:val="15"/>
              </w:rPr>
              <w:t>周期统计窗口/cycle</w:t>
            </w:r>
          </w:p>
        </w:tc>
        <w:tc>
          <w:tcPr>
            <w:tcW w:type="dxa" w:w="1450"/>
          </w:tcPr>
          <w:p>
            <w:pPr>
              <w:spacing w:after="0" w:line="240" w:lineRule="auto"/>
            </w:pPr>
            <w:r>
              <w:rPr>
                <w:rFonts w:ascii="Calibri" w:hAnsi="Calibri" w:eastAsia="等线"/>
                <w:b w:val="0"/>
                <w:color w:val="1F1F1F"/>
                <w:sz w:val="15"/>
              </w:rPr>
              <w:t>10000（探索）</w:t>
            </w:r>
          </w:p>
        </w:tc>
        <w:tc>
          <w:tcPr>
            <w:tcW w:type="dxa" w:w="1650"/>
          </w:tcPr>
          <w:p>
            <w:pPr>
              <w:spacing w:after="0" w:line="240" w:lineRule="auto"/>
            </w:pPr>
            <w:r>
              <w:rPr>
                <w:rFonts w:ascii="Calibri" w:hAnsi="Calibri" w:eastAsia="等线"/>
                <w:b w:val="0"/>
                <w:color w:val="1F1F1F"/>
                <w:sz w:val="15"/>
              </w:rPr>
              <w:t>100–测量窗口</w:t>
            </w:r>
          </w:p>
        </w:tc>
        <w:tc>
          <w:tcPr>
            <w:tcW w:type="dxa" w:w="2710"/>
          </w:tcPr>
          <w:p>
            <w:pPr>
              <w:spacing w:after="0" w:line="240" w:lineRule="auto"/>
            </w:pPr>
            <w:r>
              <w:rPr>
                <w:rFonts w:ascii="Calibri" w:hAnsi="Calibri" w:eastAsia="等线"/>
                <w:b w:val="0"/>
                <w:color w:val="1F1F1F"/>
                <w:sz w:val="15"/>
              </w:rPr>
              <w:t>观察拥塞随时间变化；过小增加开销。</w:t>
            </w:r>
          </w:p>
        </w:tc>
      </w:tr>
      <w:tr>
        <w:tc>
          <w:tcPr>
            <w:tcW w:type="dxa" w:w="1650"/>
          </w:tcPr>
          <w:p>
            <w:pPr>
              <w:spacing w:after="0" w:line="240" w:lineRule="auto"/>
            </w:pPr>
            <w:r>
              <w:rPr>
                <w:rFonts w:ascii="Calibri" w:hAnsi="Calibri" w:eastAsia="等线"/>
                <w:b/>
                <w:color w:val="1F1F1F"/>
                <w:sz w:val="15"/>
              </w:rPr>
              <w:t>strict_config</w:t>
            </w:r>
          </w:p>
        </w:tc>
        <w:tc>
          <w:tcPr>
            <w:tcW w:type="dxa" w:w="1900"/>
          </w:tcPr>
          <w:p>
            <w:pPr>
              <w:spacing w:after="0" w:line="240" w:lineRule="auto"/>
            </w:pPr>
            <w:r>
              <w:rPr>
                <w:rFonts w:ascii="Calibri" w:hAnsi="Calibri" w:eastAsia="等线"/>
                <w:b w:val="0"/>
                <w:color w:val="1F1F1F"/>
                <w:sz w:val="15"/>
              </w:rPr>
              <w:t>非法配置处理/布尔</w:t>
            </w:r>
          </w:p>
        </w:tc>
        <w:tc>
          <w:tcPr>
            <w:tcW w:type="dxa" w:w="1450"/>
          </w:tcPr>
          <w:p>
            <w:pPr>
              <w:spacing w:after="0" w:line="240" w:lineRule="auto"/>
            </w:pPr>
            <w:r>
              <w:rPr>
                <w:rFonts w:ascii="Calibri" w:hAnsi="Calibri" w:eastAsia="等线"/>
                <w:b w:val="0"/>
                <w:color w:val="1F1F1F"/>
                <w:sz w:val="15"/>
              </w:rPr>
              <w:t>true</w:t>
            </w:r>
          </w:p>
        </w:tc>
        <w:tc>
          <w:tcPr>
            <w:tcW w:type="dxa" w:w="1650"/>
          </w:tcPr>
          <w:p>
            <w:pPr>
              <w:spacing w:after="0" w:line="240" w:lineRule="auto"/>
            </w:pPr>
            <w:r>
              <w:rPr>
                <w:rFonts w:ascii="Calibri" w:hAnsi="Calibri" w:eastAsia="等线"/>
                <w:b w:val="0"/>
                <w:color w:val="1F1F1F"/>
                <w:sz w:val="15"/>
              </w:rPr>
              <w:t>true/false</w:t>
            </w:r>
          </w:p>
        </w:tc>
        <w:tc>
          <w:tcPr>
            <w:tcW w:type="dxa" w:w="2710"/>
          </w:tcPr>
          <w:p>
            <w:pPr>
              <w:spacing w:after="0" w:line="240" w:lineRule="auto"/>
            </w:pPr>
            <w:r>
              <w:rPr>
                <w:rFonts w:ascii="Calibri" w:hAnsi="Calibri" w:eastAsia="等线"/>
                <w:b w:val="0"/>
                <w:color w:val="1F1F1F"/>
                <w:sz w:val="15"/>
              </w:rPr>
              <w:t>正式模式必须true；禁止静默忽略参数。</w:t>
            </w:r>
          </w:p>
        </w:tc>
      </w:tr>
      <w:tr>
        <w:tc>
          <w:tcPr>
            <w:tcW w:type="dxa" w:w="1650"/>
          </w:tcPr>
          <w:p>
            <w:pPr>
              <w:spacing w:after="0" w:line="240" w:lineRule="auto"/>
            </w:pPr>
            <w:r>
              <w:rPr>
                <w:rFonts w:ascii="Calibri" w:hAnsi="Calibri" w:eastAsia="等线"/>
                <w:b/>
                <w:color w:val="1F1F1F"/>
                <w:sz w:val="15"/>
              </w:rPr>
              <w:t>signoff_mode</w:t>
            </w:r>
          </w:p>
        </w:tc>
        <w:tc>
          <w:tcPr>
            <w:tcW w:type="dxa" w:w="1900"/>
          </w:tcPr>
          <w:p>
            <w:pPr>
              <w:spacing w:after="0" w:line="240" w:lineRule="auto"/>
            </w:pPr>
            <w:r>
              <w:rPr>
                <w:rFonts w:ascii="Calibri" w:hAnsi="Calibri" w:eastAsia="等线"/>
                <w:b w:val="0"/>
                <w:color w:val="1F1F1F"/>
                <w:sz w:val="15"/>
              </w:rPr>
              <w:t>签核运行/布尔</w:t>
            </w:r>
          </w:p>
        </w:tc>
        <w:tc>
          <w:tcPr>
            <w:tcW w:type="dxa" w:w="1450"/>
          </w:tcPr>
          <w:p>
            <w:pPr>
              <w:spacing w:after="0" w:line="240" w:lineRule="auto"/>
            </w:pPr>
            <w:r>
              <w:rPr>
                <w:rFonts w:ascii="Calibri" w:hAnsi="Calibri" w:eastAsia="等线"/>
                <w:b w:val="0"/>
                <w:color w:val="1F1F1F"/>
                <w:sz w:val="15"/>
              </w:rPr>
              <w:t>false</w:t>
            </w:r>
          </w:p>
        </w:tc>
        <w:tc>
          <w:tcPr>
            <w:tcW w:type="dxa" w:w="1650"/>
          </w:tcPr>
          <w:p>
            <w:pPr>
              <w:spacing w:after="0" w:line="240" w:lineRule="auto"/>
            </w:pPr>
            <w:r>
              <w:rPr>
                <w:rFonts w:ascii="Calibri" w:hAnsi="Calibri" w:eastAsia="等线"/>
                <w:b w:val="0"/>
                <w:color w:val="1F1F1F"/>
                <w:sz w:val="15"/>
              </w:rPr>
              <w:t>true/false</w:t>
            </w:r>
          </w:p>
        </w:tc>
        <w:tc>
          <w:tcPr>
            <w:tcW w:type="dxa" w:w="2710"/>
          </w:tcPr>
          <w:p>
            <w:pPr>
              <w:spacing w:after="0" w:line="240" w:lineRule="auto"/>
            </w:pPr>
            <w:r>
              <w:rPr>
                <w:rFonts w:ascii="Calibri" w:hAnsi="Calibri" w:eastAsia="等线"/>
                <w:b w:val="0"/>
                <w:color w:val="1F1F1F"/>
                <w:sz w:val="15"/>
              </w:rPr>
              <w:t>true时要求所有MANDATORY参数有批准来源。</w:t>
            </w:r>
          </w:p>
        </w:tc>
      </w:tr>
    </w:tbl>
    <w:p>
      <w:pPr>
        <w:spacing w:after="0"/>
      </w:pPr>
    </w:p>
    <w:p>
      <w:pPr>
        <w:pStyle w:val="Heading2"/>
      </w:pPr>
      <w:r>
        <w:t>11.3 统计设计与瓶颈归因</w:t>
      </w:r>
    </w:p>
    <w:p>
      <w:pPr>
        <w:keepLines w:val="0"/>
        <w:widowControl/>
        <w:spacing w:after="120"/>
      </w:pPr>
      <w:r>
        <w:rPr>
          <w:rFonts w:ascii="Calibri" w:hAnsi="Calibri" w:eastAsia="等线"/>
          <w:color w:val="1F1F1F"/>
        </w:rPr>
        <w:t>统计按全局、Master、Target、Router输出、Link方向和Traffic Class分层。吞吐同时报告完成事务数、有效payload字节、链路计费字节和byte/cycle；延迟至少报告count、mean、min、max、p50、p90、p95和p99，并保留分段等待分解。队列统计包括占用时间积分、占用率直方图、满周期、入出队数和队头最大等待。仲裁统计包括候选数、grant、loser等待、最大等待和每Master服务份额。</w:t>
      </w:r>
    </w:p>
    <w:p>
      <w:pPr>
        <w:keepLines w:val="0"/>
        <w:widowControl/>
        <w:spacing w:after="120"/>
      </w:pPr>
      <w:r>
        <w:rPr>
          <w:rFonts w:ascii="Calibri" w:hAnsi="Calibri" w:eastAsia="等线"/>
          <w:color w:val="1F1F1F"/>
        </w:rPr>
        <w:t>每次发送失败只登记一个主阻塞原因，按优先级选择‘OSD/Credit不足→下游FIFO满→Link忙/在途满→仲裁失败→顺序依赖→Target服务门控→上游不接收’，同时允许记录辅助位图。主原因计数用于占比相加，辅助位图用于分析共现；否则同一cycle多个原因重复计数会产生超过100%的停顿解释。瓶颈报告需要把利用率、等待增长和参数放宽实验关联起来。</w:t>
      </w:r>
    </w:p>
    <w:tbl>
      <w:tblPr>
        <w:tblStyle w:val="TableGrid"/>
        <w:tblW w:type="dxa" w:w="9360"/>
        <w:jc w:val="left"/>
        <w:tblLayout w:type="fixed"/>
        <w:tblLook w:firstColumn="1" w:firstRow="1" w:lastColumn="0" w:lastRow="0" w:noHBand="0" w:noVBand="1" w:val="04A0"/>
        <w:tblInd w:w="120" w:type="dxa"/>
      </w:tblPr>
      <w:tblGrid>
        <w:gridCol w:w="1700"/>
        <w:gridCol w:w="4600"/>
        <w:gridCol w:w="3060"/>
      </w:tblGrid>
      <w:tr>
        <w:trPr>
          <w:cantSplit/>
          <w:tblHeader w:val="true"/>
        </w:trPr>
        <w:tc>
          <w:tcPr>
            <w:tcW w:type="dxa" w:w="17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对象</w:t>
            </w:r>
          </w:p>
        </w:tc>
        <w:tc>
          <w:tcPr>
            <w:tcW w:type="dxa" w:w="46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必备统计</w:t>
            </w:r>
          </w:p>
        </w:tc>
        <w:tc>
          <w:tcPr>
            <w:tcW w:type="dxa" w:w="306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主要判断</w:t>
            </w:r>
          </w:p>
        </w:tc>
      </w:tr>
      <w:tr>
        <w:tc>
          <w:tcPr>
            <w:tcW w:type="dxa" w:w="1700"/>
          </w:tcPr>
          <w:p>
            <w:pPr>
              <w:spacing w:after="0" w:line="240" w:lineRule="auto"/>
            </w:pPr>
            <w:r>
              <w:rPr>
                <w:rFonts w:ascii="Calibri" w:hAnsi="Calibri" w:eastAsia="等线"/>
                <w:b/>
                <w:color w:val="1F1F1F"/>
                <w:sz w:val="16"/>
              </w:rPr>
              <w:t>Master</w:t>
            </w:r>
          </w:p>
        </w:tc>
        <w:tc>
          <w:tcPr>
            <w:tcW w:type="dxa" w:w="4600"/>
          </w:tcPr>
          <w:p>
            <w:pPr>
              <w:spacing w:after="0" w:line="240" w:lineRule="auto"/>
            </w:pPr>
            <w:r>
              <w:rPr>
                <w:rFonts w:ascii="Calibri" w:hAnsi="Calibri" w:eastAsia="等线"/>
                <w:b w:val="0"/>
                <w:color w:val="1F1F1F"/>
                <w:sz w:val="16"/>
              </w:rPr>
              <w:t>accepted/completed、读写OSD占用、注入stall、延迟分位数、有效带宽</w:t>
            </w:r>
          </w:p>
        </w:tc>
        <w:tc>
          <w:tcPr>
            <w:tcW w:type="dxa" w:w="3060"/>
          </w:tcPr>
          <w:p>
            <w:pPr>
              <w:spacing w:after="0" w:line="240" w:lineRule="auto"/>
            </w:pPr>
            <w:r>
              <w:rPr>
                <w:rFonts w:ascii="Calibri" w:hAnsi="Calibri" w:eastAsia="等线"/>
                <w:b w:val="0"/>
                <w:color w:val="1F1F1F"/>
                <w:sz w:val="16"/>
              </w:rPr>
              <w:t>源端供给、OSD/BDP不足、Master间公平性</w:t>
            </w:r>
          </w:p>
        </w:tc>
      </w:tr>
      <w:tr>
        <w:tc>
          <w:tcPr>
            <w:tcW w:type="dxa" w:w="1700"/>
          </w:tcPr>
          <w:p>
            <w:pPr>
              <w:spacing w:after="0" w:line="240" w:lineRule="auto"/>
            </w:pPr>
            <w:r>
              <w:rPr>
                <w:rFonts w:ascii="Calibri" w:hAnsi="Calibri" w:eastAsia="等线"/>
                <w:b/>
                <w:color w:val="1F1F1F"/>
                <w:sz w:val="16"/>
              </w:rPr>
              <w:t>Router输出</w:t>
            </w:r>
          </w:p>
        </w:tc>
        <w:tc>
          <w:tcPr>
            <w:tcW w:type="dxa" w:w="4600"/>
          </w:tcPr>
          <w:p>
            <w:pPr>
              <w:spacing w:after="0" w:line="240" w:lineRule="auto"/>
            </w:pPr>
            <w:r>
              <w:rPr>
                <w:rFonts w:ascii="Calibri" w:hAnsi="Calibri" w:eastAsia="等线"/>
                <w:b w:val="0"/>
                <w:color w:val="1F1F1F"/>
                <w:sz w:val="16"/>
              </w:rPr>
              <w:t>候选数、grant、按输入等待、最大年龄、Traffic Class份额</w:t>
            </w:r>
          </w:p>
        </w:tc>
        <w:tc>
          <w:tcPr>
            <w:tcW w:type="dxa" w:w="3060"/>
          </w:tcPr>
          <w:p>
            <w:pPr>
              <w:spacing w:after="0" w:line="240" w:lineRule="auto"/>
            </w:pPr>
            <w:r>
              <w:rPr>
                <w:rFonts w:ascii="Calibri" w:hAnsi="Calibri" w:eastAsia="等线"/>
                <w:b w:val="0"/>
                <w:color w:val="1F1F1F"/>
                <w:sz w:val="16"/>
              </w:rPr>
              <w:t>竞争位置、饥饿、QoS执行</w:t>
            </w:r>
          </w:p>
        </w:tc>
      </w:tr>
      <w:tr>
        <w:tc>
          <w:tcPr>
            <w:tcW w:type="dxa" w:w="1700"/>
          </w:tcPr>
          <w:p>
            <w:pPr>
              <w:spacing w:after="0" w:line="240" w:lineRule="auto"/>
            </w:pPr>
            <w:r>
              <w:rPr>
                <w:rFonts w:ascii="Calibri" w:hAnsi="Calibri" w:eastAsia="等线"/>
                <w:b/>
                <w:color w:val="1F1F1F"/>
                <w:sz w:val="16"/>
              </w:rPr>
              <w:t>Ring Link</w:t>
            </w:r>
          </w:p>
        </w:tc>
        <w:tc>
          <w:tcPr>
            <w:tcW w:type="dxa" w:w="4600"/>
          </w:tcPr>
          <w:p>
            <w:pPr>
              <w:spacing w:after="0" w:line="240" w:lineRule="auto"/>
            </w:pPr>
            <w:r>
              <w:rPr>
                <w:rFonts w:ascii="Calibri" w:hAnsi="Calibri" w:eastAsia="等线"/>
                <w:b w:val="0"/>
                <w:color w:val="1F1F1F"/>
                <w:sz w:val="16"/>
              </w:rPr>
              <w:t>计费字节、busy cycle、in-flight、下游阻塞、按类利用率</w:t>
            </w:r>
          </w:p>
        </w:tc>
        <w:tc>
          <w:tcPr>
            <w:tcW w:type="dxa" w:w="3060"/>
          </w:tcPr>
          <w:p>
            <w:pPr>
              <w:spacing w:after="0" w:line="240" w:lineRule="auto"/>
            </w:pPr>
            <w:r>
              <w:rPr>
                <w:rFonts w:ascii="Calibri" w:hAnsi="Calibri" w:eastAsia="等线"/>
                <w:b w:val="0"/>
                <w:color w:val="1F1F1F"/>
                <w:sz w:val="16"/>
              </w:rPr>
              <w:t>最小割、方向热点、响应带宽不足</w:t>
            </w:r>
          </w:p>
        </w:tc>
      </w:tr>
      <w:tr>
        <w:tc>
          <w:tcPr>
            <w:tcW w:type="dxa" w:w="1700"/>
          </w:tcPr>
          <w:p>
            <w:pPr>
              <w:spacing w:after="0" w:line="240" w:lineRule="auto"/>
            </w:pPr>
            <w:r>
              <w:rPr>
                <w:rFonts w:ascii="Calibri" w:hAnsi="Calibri" w:eastAsia="等线"/>
                <w:b/>
                <w:color w:val="1F1F1F"/>
                <w:sz w:val="16"/>
              </w:rPr>
              <w:t>Target网络接口</w:t>
            </w:r>
          </w:p>
        </w:tc>
        <w:tc>
          <w:tcPr>
            <w:tcW w:type="dxa" w:w="4600"/>
          </w:tcPr>
          <w:p>
            <w:pPr>
              <w:spacing w:after="0" w:line="240" w:lineRule="auto"/>
            </w:pPr>
            <w:r>
              <w:rPr>
                <w:rFonts w:ascii="Calibri" w:hAnsi="Calibri" w:eastAsia="等线"/>
                <w:b w:val="0"/>
                <w:color w:val="1F1F1F"/>
                <w:sz w:val="16"/>
              </w:rPr>
              <w:t>Credit轨迹、FIFO占用、准入stall、响应回注stall</w:t>
            </w:r>
          </w:p>
        </w:tc>
        <w:tc>
          <w:tcPr>
            <w:tcW w:type="dxa" w:w="3060"/>
          </w:tcPr>
          <w:p>
            <w:pPr>
              <w:spacing w:after="0" w:line="240" w:lineRule="auto"/>
            </w:pPr>
            <w:r>
              <w:rPr>
                <w:rFonts w:ascii="Calibri" w:hAnsi="Calibri" w:eastAsia="等线"/>
                <w:b w:val="0"/>
                <w:color w:val="1F1F1F"/>
                <w:sz w:val="16"/>
              </w:rPr>
              <w:t>入口容量、Credit释放和回程阻塞</w:t>
            </w:r>
          </w:p>
        </w:tc>
      </w:tr>
      <w:tr>
        <w:tc>
          <w:tcPr>
            <w:tcW w:type="dxa" w:w="1700"/>
          </w:tcPr>
          <w:p>
            <w:pPr>
              <w:spacing w:after="0" w:line="240" w:lineRule="auto"/>
            </w:pPr>
            <w:r>
              <w:rPr>
                <w:rFonts w:ascii="Calibri" w:hAnsi="Calibri" w:eastAsia="等线"/>
                <w:b/>
                <w:color w:val="1F1F1F"/>
                <w:sz w:val="16"/>
              </w:rPr>
              <w:t>Target服务模型</w:t>
            </w:r>
          </w:p>
        </w:tc>
        <w:tc>
          <w:tcPr>
            <w:tcW w:type="dxa" w:w="4600"/>
          </w:tcPr>
          <w:p>
            <w:pPr>
              <w:spacing w:after="0" w:line="240" w:lineRule="auto"/>
            </w:pPr>
            <w:r>
              <w:rPr>
                <w:rFonts w:ascii="Calibri" w:hAnsi="Calibri" w:eastAsia="等线"/>
                <w:b w:val="0"/>
                <w:color w:val="1F1F1F"/>
                <w:sz w:val="16"/>
              </w:rPr>
              <w:t>queue/service latency、busy、并发、Bank冲突、完成率</w:t>
            </w:r>
          </w:p>
        </w:tc>
        <w:tc>
          <w:tcPr>
            <w:tcW w:type="dxa" w:w="3060"/>
          </w:tcPr>
          <w:p>
            <w:pPr>
              <w:spacing w:after="0" w:line="240" w:lineRule="auto"/>
            </w:pPr>
            <w:r>
              <w:rPr>
                <w:rFonts w:ascii="Calibri" w:hAnsi="Calibri" w:eastAsia="等线"/>
                <w:b w:val="0"/>
                <w:color w:val="1F1F1F"/>
                <w:sz w:val="16"/>
              </w:rPr>
              <w:t>Target真实服务瓶颈</w:t>
            </w:r>
          </w:p>
        </w:tc>
      </w:tr>
      <w:tr>
        <w:tc>
          <w:tcPr>
            <w:tcW w:type="dxa" w:w="1700"/>
          </w:tcPr>
          <w:p>
            <w:pPr>
              <w:spacing w:after="0" w:line="240" w:lineRule="auto"/>
            </w:pPr>
            <w:r>
              <w:rPr>
                <w:rFonts w:ascii="Calibri" w:hAnsi="Calibri" w:eastAsia="等线"/>
                <w:b/>
                <w:color w:val="1F1F1F"/>
                <w:sz w:val="16"/>
              </w:rPr>
              <w:t>全局</w:t>
            </w:r>
          </w:p>
        </w:tc>
        <w:tc>
          <w:tcPr>
            <w:tcW w:type="dxa" w:w="4600"/>
          </w:tcPr>
          <w:p>
            <w:pPr>
              <w:spacing w:after="0" w:line="240" w:lineRule="auto"/>
            </w:pPr>
            <w:r>
              <w:rPr>
                <w:rFonts w:ascii="Calibri" w:hAnsi="Calibri" w:eastAsia="等线"/>
                <w:b w:val="0"/>
                <w:color w:val="1F1F1F"/>
                <w:sz w:val="16"/>
              </w:rPr>
              <w:t>总吞吐、延迟、Jain指数、无进展周期、事务/资源不变量</w:t>
            </w:r>
          </w:p>
        </w:tc>
        <w:tc>
          <w:tcPr>
            <w:tcW w:type="dxa" w:w="3060"/>
          </w:tcPr>
          <w:p>
            <w:pPr>
              <w:spacing w:after="0" w:line="240" w:lineRule="auto"/>
            </w:pPr>
            <w:r>
              <w:rPr>
                <w:rFonts w:ascii="Calibri" w:hAnsi="Calibri" w:eastAsia="等线"/>
                <w:b w:val="0"/>
                <w:color w:val="1F1F1F"/>
                <w:sz w:val="16"/>
              </w:rPr>
              <w:t>系统拐点、正确性和可解释性</w:t>
            </w:r>
          </w:p>
        </w:tc>
      </w:tr>
    </w:tbl>
    <w:p>
      <w:pPr>
        <w:spacing w:after="0"/>
      </w:pPr>
    </w:p>
    <w:p>
      <w:pPr>
        <w:pStyle w:val="Heading2"/>
      </w:pPr>
      <w:r>
        <w:t>11.4 参数有效性与可追溯性</w:t>
      </w:r>
    </w:p>
    <w:p>
      <w:pPr>
        <w:keepLines w:val="0"/>
        <w:widowControl/>
        <w:spacing w:after="120"/>
      </w:pPr>
      <w:r>
        <w:rPr>
          <w:rFonts w:ascii="Calibri" w:hAnsi="Calibri" w:eastAsia="等线"/>
          <w:color w:val="1F1F1F"/>
        </w:rPr>
        <w:t>每个配置参数必须在启动日志中打印最终值、来源和消费者，并在统计文件中携带配置指纹、模型版本、随机种子、工作负载版本和测量窗口。自动化参数审计至少验证：减小FIFO不会提高无拥塞理论带宽；增大Link宽度不应改变纯传播周期；增大传播延迟在OSD充足时不改变稳态链路峰值；增大Target Credit只在Target并发受限时改善吞吐；改变interleave能改变Target分布但不改变总请求字节。若方向不符合物理预期，视为参数未生效或重复建模。</w:t>
      </w:r>
    </w:p>
    <w:p>
      <w:pPr>
        <w:pStyle w:val="Heading1"/>
      </w:pPr>
      <w:r>
        <w:t>12 精度定义、校准和验证方案</w:t>
      </w:r>
    </w:p>
    <w:p>
      <w:pPr>
        <w:pStyle w:val="Heading2"/>
      </w:pPr>
      <w:r>
        <w:t>12.1 80%精度的可验证定义</w:t>
      </w:r>
    </w:p>
    <w:p>
      <w:pPr>
        <w:keepLines w:val="0"/>
        <w:widowControl/>
        <w:spacing w:after="120"/>
      </w:pPr>
      <w:r>
        <w:rPr>
          <w:rFonts w:ascii="Calibri" w:hAnsi="Calibri" w:eastAsia="等线"/>
          <w:color w:val="1F1F1F"/>
        </w:rPr>
        <w:t>80%不是‘大多数曲线看起来相似’，也不是单一平均吞吐的拟合值。对每个场景s和KPI k，定义归一化准确度A(s,k)=max(0,1-|Model-Reference|/max(|Reference|,epsilon_k))。epsilon_k用于接近0的统计，必须在验收计划中预先给出。场景得分为KPI加权和，整体得分为场景加权和。建议权重为：稳态吞吐35%，p50/p95延迟25%，饱和拐点15%，多核/Target扩展趋势15%，瓶颈分类与stall归因10%。</w:t>
      </w:r>
    </w:p>
    <w:p>
      <w:pPr>
        <w:keepLines w:val="0"/>
        <w:widowControl/>
        <w:spacing w:after="120"/>
      </w:pPr>
      <w:r>
        <w:rPr>
          <w:rFonts w:ascii="Calibri" w:hAnsi="Calibri" w:eastAsia="等线"/>
          <w:color w:val="1F1F1F"/>
        </w:rPr>
        <w:t>目标通过条件是留出验收集的整体加权准确度不低于0.80，并同时满足硬门限。建议硬门限：功能与资源不变量100%通过；至少80%的验收场景吞吐相对误差不超过15%；至少80%的场景p50和p95延迟相对误差不超过20%；所有规模/OSD/带宽扫描的单调方向正确；主瓶颈分类正确率不低于80%；任何P0代表场景的关键KPI误差不得超过30%，除非评审批准为模型适用域外。权重和门限是建议值，需专家签核后冻结。</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EF4FA"/>
          </w:tcPr>
          <w:p>
            <w:pPr>
              <w:spacing w:after="40"/>
            </w:pPr>
            <w:r>
              <w:rPr>
                <w:rFonts w:ascii="Calibri" w:hAnsi="Calibri" w:eastAsia="等线"/>
                <w:b/>
                <w:color w:val="2E74B5"/>
                <w:sz w:val="21"/>
              </w:rPr>
              <w:t>精度声明边界</w:t>
              <w:br/>
            </w:r>
            <w:r>
              <w:rPr>
                <w:rFonts w:ascii="Calibri" w:hAnsi="Calibri" w:eastAsia="等线"/>
                <w:color w:val="1F1F1F"/>
                <w:sz w:val="20"/>
              </w:rPr>
              <w:t>在参考平台、配置映射、场景集和验收报告未完成前，文档和模型只能写‘精度目标约80%’，不得写‘精度达到80%’。通过验收后也必须同时声明适用端点规模、流量类型、Target模型和参数范围。</w:t>
            </w:r>
          </w:p>
        </w:tc>
      </w:tr>
    </w:tbl>
    <w:p>
      <w:pPr>
        <w:spacing w:after="0"/>
      </w:pPr>
    </w:p>
    <w:p>
      <w:pPr>
        <w:pStyle w:val="Heading2"/>
      </w:pPr>
      <w:r>
        <w:t>12.2 基准、数据集与测量对齐</w:t>
      </w:r>
    </w:p>
    <w:p>
      <w:pPr>
        <w:keepLines w:val="0"/>
        <w:widowControl/>
        <w:spacing w:after="120"/>
      </w:pPr>
      <w:r>
        <w:rPr>
          <w:rFonts w:ascii="Calibri" w:hAnsi="Calibri" w:eastAsia="等线"/>
          <w:color w:val="1F1F1F"/>
        </w:rPr>
        <w:t>参考数据优先级为经验证的硅上性能计数器与trace、已收敛的RTL性能仿真、经批准的高保真平台模型。每个参考点必须具有同一地址映射、端点布点、时钟、协议头开销、读写比例、请求长度、OSD和Target配置。预热、测量窗口、随机种子和统计起止点必须一致；如果参考平台无法观测某个内部等待项，则该项只用于模型内部归因，不作为独立签核KPI。</w:t>
      </w:r>
    </w:p>
    <w:p>
      <w:pPr>
        <w:keepLines w:val="0"/>
        <w:widowControl/>
        <w:spacing w:after="120"/>
      </w:pPr>
      <w:r>
        <w:rPr>
          <w:rFonts w:ascii="Calibri" w:hAnsi="Calibri" w:eastAsia="等线"/>
          <w:color w:val="1F1F1F"/>
        </w:rPr>
        <w:t>场景集按目的分为单元表征、校准集和留出验收集。单元表征用于测量零负载跳延迟、单链路峰值、单Target服务曲线和OSD带宽时延积；校准集覆盖代表性均匀、热点、读写混合和背压条件，用于调整有硬件含义的参数；留出集在参数冻结前不用于调参，必须包含未见过的流量矩阵、端点规模或长度组合，以检测过拟合。</w:t>
      </w:r>
    </w:p>
    <w:p>
      <w:pPr>
        <w:pStyle w:val="Heading3"/>
      </w:pPr>
      <w:r>
        <w:t>图纸设计说明：图6</w:t>
      </w:r>
    </w:p>
    <w:p>
      <w:pPr>
        <w:spacing w:after="80"/>
        <w:ind w:left="115"/>
      </w:pPr>
      <w:r>
        <w:rPr>
          <w:rFonts w:ascii="Calibri" w:hAnsi="Calibri" w:eastAsia="等线"/>
          <w:b/>
          <w:color w:val="1F4E79"/>
        </w:rPr>
        <w:t>目的：</w:t>
      </w:r>
      <w:r>
        <w:rPr>
          <w:rFonts w:ascii="Calibri" w:hAnsi="Calibri" w:eastAsia="等线"/>
          <w:color w:val="1F1F1F"/>
        </w:rPr>
        <w:t>规定从参考数据到模型签核的闭环，防止在同一数据上反复调参后宣称精度达标。</w:t>
      </w:r>
    </w:p>
    <w:p>
      <w:pPr>
        <w:spacing w:after="80"/>
        <w:ind w:left="115"/>
      </w:pPr>
      <w:r>
        <w:rPr>
          <w:rFonts w:ascii="Calibri" w:hAnsi="Calibri" w:eastAsia="等线"/>
          <w:b/>
          <w:color w:val="1F4E79"/>
        </w:rPr>
        <w:t>模块与端口：</w:t>
      </w:r>
      <w:r>
        <w:rPr>
          <w:rFonts w:ascii="Calibri" w:hAnsi="Calibri" w:eastAsia="等线"/>
          <w:color w:val="1F1F1F"/>
        </w:rPr>
        <w:t>基准定义、场景与数据集、模型执行、KPI对齐、误差分析、参数校准、版本冻结、留出集验收和评审签核依次构成闭环。</w:t>
      </w:r>
    </w:p>
    <w:p>
      <w:pPr>
        <w:spacing w:after="80"/>
        <w:ind w:left="115"/>
      </w:pPr>
      <w:r>
        <w:rPr>
          <w:rFonts w:ascii="Calibri" w:hAnsi="Calibri" w:eastAsia="等线"/>
          <w:b/>
          <w:color w:val="1F4E79"/>
        </w:rPr>
        <w:t>箭头关系：</w:t>
      </w:r>
      <w:r>
        <w:rPr>
          <w:rFonts w:ascii="Calibri" w:hAnsi="Calibri" w:eastAsia="等线"/>
          <w:color w:val="1F1F1F"/>
        </w:rPr>
        <w:t>灰色控制箭头表示数据和配置流；红色回退表示结构或参数误差的回查；不存在留出集直接反馈参数的路径。</w:t>
      </w:r>
    </w:p>
    <w:p>
      <w:pPr>
        <w:spacing w:after="80"/>
        <w:ind w:left="115"/>
      </w:pPr>
      <w:r>
        <w:rPr>
          <w:rFonts w:ascii="Calibri" w:hAnsi="Calibri" w:eastAsia="等线"/>
          <w:b/>
          <w:color w:val="1F4E79"/>
        </w:rPr>
        <w:t>颜色与线型：</w:t>
      </w:r>
      <w:r>
        <w:rPr>
          <w:rFonts w:ascii="Calibri" w:hAnsi="Calibri" w:eastAsia="等线"/>
          <w:color w:val="1F1F1F"/>
        </w:rPr>
        <w:t>灰色为流程控制，红色为不通过回退，蓝色为模型冻结，绿色为验收。</w:t>
      </w:r>
    </w:p>
    <w:p>
      <w:pPr>
        <w:spacing w:after="120"/>
        <w:ind w:left="115"/>
      </w:pPr>
      <w:r>
        <w:rPr>
          <w:rFonts w:ascii="Calibri" w:hAnsi="Calibri" w:eastAsia="等线"/>
          <w:b/>
          <w:color w:val="1F4E79"/>
        </w:rPr>
        <w:t>专家确认问题：</w:t>
      </w:r>
      <w:r>
        <w:rPr>
          <w:rFonts w:ascii="Calibri" w:hAnsi="Calibri" w:eastAsia="等线"/>
          <w:color w:val="1F1F1F"/>
        </w:rPr>
        <w:t>参考平台优先级、KPI权重、epsilon、硬门限、留出集规模及异常豁免权限。</w:t>
      </w:r>
    </w:p>
    <w:p>
      <w:pPr>
        <w:keepLines/>
        <w:spacing w:after="0"/>
        <w:jc w:val="center"/>
      </w:pPr>
      <w:r>
        <w:drawing>
          <wp:inline xmlns:a="http://schemas.openxmlformats.org/drawingml/2006/main" xmlns:pic="http://schemas.openxmlformats.org/drawingml/2006/picture">
            <wp:extent cx="5870448" cy="3354542"/>
            <wp:docPr id="6" name="Picture 6"/>
            <wp:cNvGraphicFramePr>
              <a:graphicFrameLocks noChangeAspect="1"/>
            </wp:cNvGraphicFramePr>
            <a:graphic>
              <a:graphicData uri="http://schemas.openxmlformats.org/drawingml/2006/picture">
                <pic:pic>
                  <pic:nvPicPr>
                    <pic:cNvPr id="0" name="06_calibration_loop.png"/>
                    <pic:cNvPicPr/>
                  </pic:nvPicPr>
                  <pic:blipFill>
                    <a:blip r:embed="rId16"/>
                    <a:stretch>
                      <a:fillRect/>
                    </a:stretch>
                  </pic:blipFill>
                  <pic:spPr>
                    <a:xfrm>
                      <a:off x="0" y="0"/>
                      <a:ext cx="5870448" cy="3354542"/>
                    </a:xfrm>
                    <a:prstGeom prst="rect"/>
                  </pic:spPr>
                </pic:pic>
              </a:graphicData>
            </a:graphic>
          </wp:inline>
        </w:drawing>
      </w:r>
    </w:p>
    <w:p>
      <w:pPr>
        <w:pStyle w:val="Caption"/>
      </w:pPr>
      <w:r>
        <w:rPr>
          <w:b/>
        </w:rPr>
        <w:t xml:space="preserve">图6  </w:t>
      </w:r>
      <w:r>
        <w:t>性能精度校准与验收闭环</w:t>
      </w:r>
      <w:r>
        <w:t>（可编辑源：editable_diagrams/06_calibration_loop.svg）</w:t>
      </w:r>
    </w:p>
    <w:p>
      <w:pPr>
        <w:pStyle w:val="Heading2"/>
      </w:pPr>
      <w:r>
        <w:t>12.3 校准顺序</w:t>
      </w:r>
    </w:p>
    <w:p>
      <w:pPr>
        <w:keepLines w:val="0"/>
        <w:widowControl/>
        <w:spacing w:after="120"/>
      </w:pPr>
      <w:r>
        <w:rPr>
          <w:rFonts w:ascii="Calibri" w:hAnsi="Calibri" w:eastAsia="等线"/>
          <w:color w:val="1F1F1F"/>
        </w:rPr>
        <w:t>校准按可辨识性从低负载到高负载进行。第一阶段用单Master、单Target和最短/最长路径锁定接口、Router、Link和Target的固定延迟；第二阶段用持续大包流锁定链路和Target峰值带宽及序列化开销；第三阶段扫描OSD和Credit锁定带宽时延积与并发上限；第四阶段引入多Master、热点和读写混合校准仲裁权重、队列深度和Target动态服务；最后用未参与调参的场景验收。不得在固定延迟未锁定前用队列惩罚拟合低负载，也不得用Target延迟补偿错误的链路共享关系。</w:t>
      </w:r>
    </w:p>
    <w:tbl>
      <w:tblPr>
        <w:tblStyle w:val="TableGrid"/>
        <w:tblW w:type="dxa" w:w="9360"/>
        <w:jc w:val="left"/>
        <w:tblLayout w:type="fixed"/>
        <w:tblLook w:firstColumn="1" w:firstRow="1" w:lastColumn="0" w:lastRow="0" w:noHBand="0" w:noVBand="1" w:val="04A0"/>
        <w:tblInd w:w="120" w:type="dxa"/>
      </w:tblPr>
      <w:tblGrid>
        <w:gridCol w:w="1200"/>
        <w:gridCol w:w="2100"/>
        <w:gridCol w:w="2100"/>
        <w:gridCol w:w="2100"/>
        <w:gridCol w:w="1860"/>
      </w:tblGrid>
      <w:tr>
        <w:trPr>
          <w:cantSplit/>
          <w:tblHeader w:val="true"/>
        </w:trPr>
        <w:tc>
          <w:tcPr>
            <w:tcW w:type="dxa" w:w="12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阶段</w:t>
            </w:r>
          </w:p>
        </w:tc>
        <w:tc>
          <w:tcPr>
            <w:tcW w:type="dxa" w:w="21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主要输入</w:t>
            </w:r>
          </w:p>
        </w:tc>
        <w:tc>
          <w:tcPr>
            <w:tcW w:type="dxa" w:w="21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校准参数</w:t>
            </w:r>
          </w:p>
        </w:tc>
        <w:tc>
          <w:tcPr>
            <w:tcW w:type="dxa" w:w="21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通过观察量</w:t>
            </w:r>
          </w:p>
        </w:tc>
        <w:tc>
          <w:tcPr>
            <w:tcW w:type="dxa" w:w="186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典型误差归因</w:t>
            </w:r>
          </w:p>
        </w:tc>
      </w:tr>
      <w:tr>
        <w:tc>
          <w:tcPr>
            <w:tcW w:type="dxa" w:w="1200"/>
          </w:tcPr>
          <w:p>
            <w:pPr>
              <w:spacing w:after="0" w:line="240" w:lineRule="auto"/>
            </w:pPr>
            <w:r>
              <w:rPr>
                <w:rFonts w:ascii="Calibri" w:hAnsi="Calibri" w:eastAsia="等线"/>
                <w:b/>
                <w:color w:val="1F1F1F"/>
                <w:sz w:val="16"/>
              </w:rPr>
              <w:t>结构一致性</w:t>
            </w:r>
          </w:p>
        </w:tc>
        <w:tc>
          <w:tcPr>
            <w:tcW w:type="dxa" w:w="2100"/>
          </w:tcPr>
          <w:p>
            <w:pPr>
              <w:spacing w:after="0" w:line="240" w:lineRule="auto"/>
            </w:pPr>
            <w:r>
              <w:rPr>
                <w:rFonts w:ascii="Calibri" w:hAnsi="Calibri" w:eastAsia="等线"/>
                <w:b w:val="0"/>
                <w:color w:val="1F1F1F"/>
                <w:sz w:val="16"/>
              </w:rPr>
              <w:t>端点图、地址图、协议定义</w:t>
            </w:r>
          </w:p>
        </w:tc>
        <w:tc>
          <w:tcPr>
            <w:tcW w:type="dxa" w:w="2100"/>
          </w:tcPr>
          <w:p>
            <w:pPr>
              <w:spacing w:after="0" w:line="240" w:lineRule="auto"/>
            </w:pPr>
            <w:r>
              <w:rPr>
                <w:rFonts w:ascii="Calibri" w:hAnsi="Calibri" w:eastAsia="等线"/>
                <w:b w:val="0"/>
                <w:color w:val="1F1F1F"/>
                <w:sz w:val="16"/>
              </w:rPr>
              <w:t>拓扑、映射、路径、通道共享</w:t>
            </w:r>
          </w:p>
        </w:tc>
        <w:tc>
          <w:tcPr>
            <w:tcW w:type="dxa" w:w="2100"/>
          </w:tcPr>
          <w:p>
            <w:pPr>
              <w:spacing w:after="0" w:line="240" w:lineRule="auto"/>
            </w:pPr>
            <w:r>
              <w:rPr>
                <w:rFonts w:ascii="Calibri" w:hAnsi="Calibri" w:eastAsia="等线"/>
                <w:b w:val="0"/>
                <w:color w:val="1F1F1F"/>
                <w:sz w:val="16"/>
              </w:rPr>
              <w:t>路径/字节/事务计数一致</w:t>
            </w:r>
          </w:p>
        </w:tc>
        <w:tc>
          <w:tcPr>
            <w:tcW w:type="dxa" w:w="1860"/>
          </w:tcPr>
          <w:p>
            <w:pPr>
              <w:spacing w:after="0" w:line="240" w:lineRule="auto"/>
            </w:pPr>
            <w:r>
              <w:rPr>
                <w:rFonts w:ascii="Calibri" w:hAnsi="Calibri" w:eastAsia="等线"/>
                <w:b w:val="0"/>
                <w:color w:val="1F1F1F"/>
                <w:sz w:val="16"/>
              </w:rPr>
              <w:t>结构假设错误</w:t>
            </w:r>
          </w:p>
        </w:tc>
      </w:tr>
      <w:tr>
        <w:tc>
          <w:tcPr>
            <w:tcW w:type="dxa" w:w="1200"/>
          </w:tcPr>
          <w:p>
            <w:pPr>
              <w:spacing w:after="0" w:line="240" w:lineRule="auto"/>
            </w:pPr>
            <w:r>
              <w:rPr>
                <w:rFonts w:ascii="Calibri" w:hAnsi="Calibri" w:eastAsia="等线"/>
                <w:b/>
                <w:color w:val="1F1F1F"/>
                <w:sz w:val="16"/>
              </w:rPr>
              <w:t>零负载</w:t>
            </w:r>
          </w:p>
        </w:tc>
        <w:tc>
          <w:tcPr>
            <w:tcW w:type="dxa" w:w="2100"/>
          </w:tcPr>
          <w:p>
            <w:pPr>
              <w:spacing w:after="0" w:line="240" w:lineRule="auto"/>
            </w:pPr>
            <w:r>
              <w:rPr>
                <w:rFonts w:ascii="Calibri" w:hAnsi="Calibri" w:eastAsia="等线"/>
                <w:b w:val="0"/>
                <w:color w:val="1F1F1F"/>
                <w:sz w:val="16"/>
              </w:rPr>
              <w:t>单事务、不同跳数</w:t>
            </w:r>
          </w:p>
        </w:tc>
        <w:tc>
          <w:tcPr>
            <w:tcW w:type="dxa" w:w="2100"/>
          </w:tcPr>
          <w:p>
            <w:pPr>
              <w:spacing w:after="0" w:line="240" w:lineRule="auto"/>
            </w:pPr>
            <w:r>
              <w:rPr>
                <w:rFonts w:ascii="Calibri" w:hAnsi="Calibri" w:eastAsia="等线"/>
                <w:b w:val="0"/>
                <w:color w:val="1F1F1F"/>
                <w:sz w:val="16"/>
              </w:rPr>
              <w:t>接口/Router/Link/Target固定延迟</w:t>
            </w:r>
          </w:p>
        </w:tc>
        <w:tc>
          <w:tcPr>
            <w:tcW w:type="dxa" w:w="2100"/>
          </w:tcPr>
          <w:p>
            <w:pPr>
              <w:spacing w:after="0" w:line="240" w:lineRule="auto"/>
            </w:pPr>
            <w:r>
              <w:rPr>
                <w:rFonts w:ascii="Calibri" w:hAnsi="Calibri" w:eastAsia="等线"/>
                <w:b w:val="0"/>
                <w:color w:val="1F1F1F"/>
                <w:sz w:val="16"/>
              </w:rPr>
              <w:t>逐段延迟线性可解释</w:t>
            </w:r>
          </w:p>
        </w:tc>
        <w:tc>
          <w:tcPr>
            <w:tcW w:type="dxa" w:w="1860"/>
          </w:tcPr>
          <w:p>
            <w:pPr>
              <w:spacing w:after="0" w:line="240" w:lineRule="auto"/>
            </w:pPr>
            <w:r>
              <w:rPr>
                <w:rFonts w:ascii="Calibri" w:hAnsi="Calibri" w:eastAsia="等线"/>
                <w:b w:val="0"/>
                <w:color w:val="1F1F1F"/>
                <w:sz w:val="16"/>
              </w:rPr>
              <w:t>延迟边界或起止点错误</w:t>
            </w:r>
          </w:p>
        </w:tc>
      </w:tr>
      <w:tr>
        <w:tc>
          <w:tcPr>
            <w:tcW w:type="dxa" w:w="1200"/>
          </w:tcPr>
          <w:p>
            <w:pPr>
              <w:spacing w:after="0" w:line="240" w:lineRule="auto"/>
            </w:pPr>
            <w:r>
              <w:rPr>
                <w:rFonts w:ascii="Calibri" w:hAnsi="Calibri" w:eastAsia="等线"/>
                <w:b/>
                <w:color w:val="1F1F1F"/>
                <w:sz w:val="16"/>
              </w:rPr>
              <w:t>峰值带宽</w:t>
            </w:r>
          </w:p>
        </w:tc>
        <w:tc>
          <w:tcPr>
            <w:tcW w:type="dxa" w:w="2100"/>
          </w:tcPr>
          <w:p>
            <w:pPr>
              <w:spacing w:after="0" w:line="240" w:lineRule="auto"/>
            </w:pPr>
            <w:r>
              <w:rPr>
                <w:rFonts w:ascii="Calibri" w:hAnsi="Calibri" w:eastAsia="等线"/>
                <w:b w:val="0"/>
                <w:color w:val="1F1F1F"/>
                <w:sz w:val="16"/>
              </w:rPr>
              <w:t>持续流、OSD充足</w:t>
            </w:r>
          </w:p>
        </w:tc>
        <w:tc>
          <w:tcPr>
            <w:tcW w:type="dxa" w:w="2100"/>
          </w:tcPr>
          <w:p>
            <w:pPr>
              <w:spacing w:after="0" w:line="240" w:lineRule="auto"/>
            </w:pPr>
            <w:r>
              <w:rPr>
                <w:rFonts w:ascii="Calibri" w:hAnsi="Calibri" w:eastAsia="等线"/>
                <w:b w:val="0"/>
                <w:color w:val="1F1F1F"/>
                <w:sz w:val="16"/>
              </w:rPr>
              <w:t>Link/Target宽度、头开销</w:t>
            </w:r>
          </w:p>
        </w:tc>
        <w:tc>
          <w:tcPr>
            <w:tcW w:type="dxa" w:w="2100"/>
          </w:tcPr>
          <w:p>
            <w:pPr>
              <w:spacing w:after="0" w:line="240" w:lineRule="auto"/>
            </w:pPr>
            <w:r>
              <w:rPr>
                <w:rFonts w:ascii="Calibri" w:hAnsi="Calibri" w:eastAsia="等线"/>
                <w:b w:val="0"/>
                <w:color w:val="1F1F1F"/>
                <w:sz w:val="16"/>
              </w:rPr>
              <w:t>平台期望峰值与利用率</w:t>
            </w:r>
          </w:p>
        </w:tc>
        <w:tc>
          <w:tcPr>
            <w:tcW w:type="dxa" w:w="1860"/>
          </w:tcPr>
          <w:p>
            <w:pPr>
              <w:spacing w:after="0" w:line="240" w:lineRule="auto"/>
            </w:pPr>
            <w:r>
              <w:rPr>
                <w:rFonts w:ascii="Calibri" w:hAnsi="Calibri" w:eastAsia="等线"/>
                <w:b w:val="0"/>
                <w:color w:val="1F1F1F"/>
                <w:sz w:val="16"/>
              </w:rPr>
              <w:t>重复限速或计费字节错误</w:t>
            </w:r>
          </w:p>
        </w:tc>
      </w:tr>
      <w:tr>
        <w:tc>
          <w:tcPr>
            <w:tcW w:type="dxa" w:w="1200"/>
          </w:tcPr>
          <w:p>
            <w:pPr>
              <w:spacing w:after="0" w:line="240" w:lineRule="auto"/>
            </w:pPr>
            <w:r>
              <w:rPr>
                <w:rFonts w:ascii="Calibri" w:hAnsi="Calibri" w:eastAsia="等线"/>
                <w:b/>
                <w:color w:val="1F1F1F"/>
                <w:sz w:val="16"/>
              </w:rPr>
              <w:t>并发</w:t>
            </w:r>
          </w:p>
        </w:tc>
        <w:tc>
          <w:tcPr>
            <w:tcW w:type="dxa" w:w="2100"/>
          </w:tcPr>
          <w:p>
            <w:pPr>
              <w:spacing w:after="0" w:line="240" w:lineRule="auto"/>
            </w:pPr>
            <w:r>
              <w:rPr>
                <w:rFonts w:ascii="Calibri" w:hAnsi="Calibri" w:eastAsia="等线"/>
                <w:b w:val="0"/>
                <w:color w:val="1F1F1F"/>
                <w:sz w:val="16"/>
              </w:rPr>
              <w:t>OSD/Credit扫描</w:t>
            </w:r>
          </w:p>
        </w:tc>
        <w:tc>
          <w:tcPr>
            <w:tcW w:type="dxa" w:w="2100"/>
          </w:tcPr>
          <w:p>
            <w:pPr>
              <w:spacing w:after="0" w:line="240" w:lineRule="auto"/>
            </w:pPr>
            <w:r>
              <w:rPr>
                <w:rFonts w:ascii="Calibri" w:hAnsi="Calibri" w:eastAsia="等线"/>
                <w:b w:val="0"/>
                <w:color w:val="1F1F1F"/>
                <w:sz w:val="16"/>
              </w:rPr>
              <w:t>并发深度、in-flight</w:t>
            </w:r>
          </w:p>
        </w:tc>
        <w:tc>
          <w:tcPr>
            <w:tcW w:type="dxa" w:w="2100"/>
          </w:tcPr>
          <w:p>
            <w:pPr>
              <w:spacing w:after="0" w:line="240" w:lineRule="auto"/>
            </w:pPr>
            <w:r>
              <w:rPr>
                <w:rFonts w:ascii="Calibri" w:hAnsi="Calibri" w:eastAsia="等线"/>
                <w:b w:val="0"/>
                <w:color w:val="1F1F1F"/>
                <w:sz w:val="16"/>
              </w:rPr>
              <w:t>拐点和BDP</w:t>
            </w:r>
          </w:p>
        </w:tc>
        <w:tc>
          <w:tcPr>
            <w:tcW w:type="dxa" w:w="1860"/>
          </w:tcPr>
          <w:p>
            <w:pPr>
              <w:spacing w:after="0" w:line="240" w:lineRule="auto"/>
            </w:pPr>
            <w:r>
              <w:rPr>
                <w:rFonts w:ascii="Calibri" w:hAnsi="Calibri" w:eastAsia="等线"/>
                <w:b w:val="0"/>
                <w:color w:val="1F1F1F"/>
                <w:sz w:val="16"/>
              </w:rPr>
              <w:t>申请/释放点错误</w:t>
            </w:r>
          </w:p>
        </w:tc>
      </w:tr>
      <w:tr>
        <w:tc>
          <w:tcPr>
            <w:tcW w:type="dxa" w:w="1200"/>
          </w:tcPr>
          <w:p>
            <w:pPr>
              <w:spacing w:after="0" w:line="240" w:lineRule="auto"/>
            </w:pPr>
            <w:r>
              <w:rPr>
                <w:rFonts w:ascii="Calibri" w:hAnsi="Calibri" w:eastAsia="等线"/>
                <w:b/>
                <w:color w:val="1F1F1F"/>
                <w:sz w:val="16"/>
              </w:rPr>
              <w:t>竞争</w:t>
            </w:r>
          </w:p>
        </w:tc>
        <w:tc>
          <w:tcPr>
            <w:tcW w:type="dxa" w:w="2100"/>
          </w:tcPr>
          <w:p>
            <w:pPr>
              <w:spacing w:after="0" w:line="240" w:lineRule="auto"/>
            </w:pPr>
            <w:r>
              <w:rPr>
                <w:rFonts w:ascii="Calibri" w:hAnsi="Calibri" w:eastAsia="等线"/>
                <w:b w:val="0"/>
                <w:color w:val="1F1F1F"/>
                <w:sz w:val="16"/>
              </w:rPr>
              <w:t>多Master热点/混合读写</w:t>
            </w:r>
          </w:p>
        </w:tc>
        <w:tc>
          <w:tcPr>
            <w:tcW w:type="dxa" w:w="2100"/>
          </w:tcPr>
          <w:p>
            <w:pPr>
              <w:spacing w:after="0" w:line="240" w:lineRule="auto"/>
            </w:pPr>
            <w:r>
              <w:rPr>
                <w:rFonts w:ascii="Calibri" w:hAnsi="Calibri" w:eastAsia="等线"/>
                <w:b w:val="0"/>
                <w:color w:val="1F1F1F"/>
                <w:sz w:val="16"/>
              </w:rPr>
              <w:t>仲裁、FIFO、Target动态服务</w:t>
            </w:r>
          </w:p>
        </w:tc>
        <w:tc>
          <w:tcPr>
            <w:tcW w:type="dxa" w:w="2100"/>
          </w:tcPr>
          <w:p>
            <w:pPr>
              <w:spacing w:after="0" w:line="240" w:lineRule="auto"/>
            </w:pPr>
            <w:r>
              <w:rPr>
                <w:rFonts w:ascii="Calibri" w:hAnsi="Calibri" w:eastAsia="等线"/>
                <w:b w:val="0"/>
                <w:color w:val="1F1F1F"/>
                <w:sz w:val="16"/>
              </w:rPr>
              <w:t>份额、尾延迟、热点</w:t>
            </w:r>
          </w:p>
        </w:tc>
        <w:tc>
          <w:tcPr>
            <w:tcW w:type="dxa" w:w="1860"/>
          </w:tcPr>
          <w:p>
            <w:pPr>
              <w:spacing w:after="0" w:line="240" w:lineRule="auto"/>
            </w:pPr>
            <w:r>
              <w:rPr>
                <w:rFonts w:ascii="Calibri" w:hAnsi="Calibri" w:eastAsia="等线"/>
                <w:b w:val="0"/>
                <w:color w:val="1F1F1F"/>
                <w:sz w:val="16"/>
              </w:rPr>
              <w:t>公平性、HOL或服务抽象不足</w:t>
            </w:r>
          </w:p>
        </w:tc>
      </w:tr>
      <w:tr>
        <w:tc>
          <w:tcPr>
            <w:tcW w:type="dxa" w:w="1200"/>
          </w:tcPr>
          <w:p>
            <w:pPr>
              <w:spacing w:after="0" w:line="240" w:lineRule="auto"/>
            </w:pPr>
            <w:r>
              <w:rPr>
                <w:rFonts w:ascii="Calibri" w:hAnsi="Calibri" w:eastAsia="等线"/>
                <w:b/>
                <w:color w:val="1F1F1F"/>
                <w:sz w:val="16"/>
              </w:rPr>
              <w:t>留出验收</w:t>
            </w:r>
          </w:p>
        </w:tc>
        <w:tc>
          <w:tcPr>
            <w:tcW w:type="dxa" w:w="2100"/>
          </w:tcPr>
          <w:p>
            <w:pPr>
              <w:spacing w:after="0" w:line="240" w:lineRule="auto"/>
            </w:pPr>
            <w:r>
              <w:rPr>
                <w:rFonts w:ascii="Calibri" w:hAnsi="Calibri" w:eastAsia="等线"/>
                <w:b w:val="0"/>
                <w:color w:val="1F1F1F"/>
                <w:sz w:val="16"/>
              </w:rPr>
              <w:t>未见场景</w:t>
            </w:r>
          </w:p>
        </w:tc>
        <w:tc>
          <w:tcPr>
            <w:tcW w:type="dxa" w:w="2100"/>
          </w:tcPr>
          <w:p>
            <w:pPr>
              <w:spacing w:after="0" w:line="240" w:lineRule="auto"/>
            </w:pPr>
            <w:r>
              <w:rPr>
                <w:rFonts w:ascii="Calibri" w:hAnsi="Calibri" w:eastAsia="等线"/>
                <w:b w:val="0"/>
                <w:color w:val="1F1F1F"/>
                <w:sz w:val="16"/>
              </w:rPr>
              <w:t>无；参数已冻结</w:t>
            </w:r>
          </w:p>
        </w:tc>
        <w:tc>
          <w:tcPr>
            <w:tcW w:type="dxa" w:w="2100"/>
          </w:tcPr>
          <w:p>
            <w:pPr>
              <w:spacing w:after="0" w:line="240" w:lineRule="auto"/>
            </w:pPr>
            <w:r>
              <w:rPr>
                <w:rFonts w:ascii="Calibri" w:hAnsi="Calibri" w:eastAsia="等线"/>
                <w:b w:val="0"/>
                <w:color w:val="1F1F1F"/>
                <w:sz w:val="16"/>
              </w:rPr>
              <w:t>加权得分与硬门限</w:t>
            </w:r>
          </w:p>
        </w:tc>
        <w:tc>
          <w:tcPr>
            <w:tcW w:type="dxa" w:w="1860"/>
          </w:tcPr>
          <w:p>
            <w:pPr>
              <w:spacing w:after="0" w:line="240" w:lineRule="auto"/>
            </w:pPr>
            <w:r>
              <w:rPr>
                <w:rFonts w:ascii="Calibri" w:hAnsi="Calibri" w:eastAsia="等线"/>
                <w:b w:val="0"/>
                <w:color w:val="1F1F1F"/>
                <w:sz w:val="16"/>
              </w:rPr>
              <w:t>过拟合或适用域不足</w:t>
            </w:r>
          </w:p>
        </w:tc>
      </w:tr>
    </w:tbl>
    <w:p>
      <w:pPr>
        <w:spacing w:after="0"/>
      </w:pPr>
    </w:p>
    <w:p>
      <w:pPr>
        <w:pStyle w:val="Heading2"/>
      </w:pPr>
      <w:r>
        <w:t>12.4 验证矩阵</w:t>
      </w:r>
    </w:p>
    <w:p>
      <w:pPr>
        <w:keepLines w:val="0"/>
        <w:widowControl/>
        <w:spacing w:after="120"/>
      </w:pPr>
      <w:r>
        <w:rPr>
          <w:rFonts w:ascii="Calibri" w:hAnsi="Calibri" w:eastAsia="等线"/>
          <w:color w:val="1F1F1F"/>
        </w:rPr>
        <w:t>验证按机制覆盖组织，不以某个临时用例名称定义架构能力。基础正确性覆盖单Master读写、多响应、写授权、跨边界分段和错误终结；竞争覆盖多个Master争同一输出、同一Link和同一Target；映射覆盖均匀、热点、规则步长和XOR散列；流控覆盖每一级FIFO满、OSD耗尽、Credit耗尽、Link在途满、Target长期不接收及恢复；性能覆盖零负载、逐级加压、饱和平台、OSD/带宽/延迟/深度扫描；鲁棒性覆盖复位排空、ID回绕、最大长度、连续反压和无进展检测。</w:t>
      </w:r>
    </w:p>
    <w:tbl>
      <w:tblPr>
        <w:tblStyle w:val="TableGrid"/>
        <w:tblW w:type="dxa" w:w="9360"/>
        <w:jc w:val="left"/>
        <w:tblLayout w:type="fixed"/>
        <w:tblLook w:firstColumn="1" w:firstRow="1" w:lastColumn="0" w:lastRow="0" w:noHBand="0" w:noVBand="1" w:val="04A0"/>
        <w:tblInd w:w="120" w:type="dxa"/>
      </w:tblPr>
      <w:tblGrid>
        <w:gridCol w:w="1600"/>
        <w:gridCol w:w="3900"/>
        <w:gridCol w:w="3860"/>
      </w:tblGrid>
      <w:tr>
        <w:trPr>
          <w:cantSplit/>
          <w:tblHeader w:val="true"/>
        </w:trPr>
        <w:tc>
          <w:tcPr>
            <w:tcW w:type="dxa" w:w="16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验证域</w:t>
            </w:r>
          </w:p>
        </w:tc>
        <w:tc>
          <w:tcPr>
            <w:tcW w:type="dxa" w:w="39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关键激励</w:t>
            </w:r>
          </w:p>
        </w:tc>
        <w:tc>
          <w:tcPr>
            <w:tcW w:type="dxa" w:w="386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主要通过条件</w:t>
            </w:r>
          </w:p>
        </w:tc>
      </w:tr>
      <w:tr>
        <w:tc>
          <w:tcPr>
            <w:tcW w:type="dxa" w:w="1600"/>
          </w:tcPr>
          <w:p>
            <w:pPr>
              <w:spacing w:after="0" w:line="240" w:lineRule="auto"/>
            </w:pPr>
            <w:r>
              <w:rPr>
                <w:rFonts w:ascii="Calibri" w:hAnsi="Calibri" w:eastAsia="等线"/>
                <w:b/>
                <w:color w:val="1F1F1F"/>
                <w:sz w:val="16"/>
              </w:rPr>
              <w:t>事务闭环</w:t>
            </w:r>
          </w:p>
        </w:tc>
        <w:tc>
          <w:tcPr>
            <w:tcW w:type="dxa" w:w="3900"/>
          </w:tcPr>
          <w:p>
            <w:pPr>
              <w:spacing w:after="0" w:line="240" w:lineRule="auto"/>
            </w:pPr>
            <w:r>
              <w:rPr>
                <w:rFonts w:ascii="Calibri" w:hAnsi="Calibri" w:eastAsia="等线"/>
                <w:b w:val="0"/>
                <w:color w:val="1F1F1F"/>
                <w:sz w:val="16"/>
              </w:rPr>
              <w:t>读/写、多段、多响应、错误</w:t>
            </w:r>
          </w:p>
        </w:tc>
        <w:tc>
          <w:tcPr>
            <w:tcW w:type="dxa" w:w="3860"/>
          </w:tcPr>
          <w:p>
            <w:pPr>
              <w:spacing w:after="0" w:line="240" w:lineRule="auto"/>
            </w:pPr>
            <w:r>
              <w:rPr>
                <w:rFonts w:ascii="Calibri" w:hAnsi="Calibri" w:eastAsia="等线"/>
                <w:b w:val="0"/>
                <w:color w:val="1F1F1F"/>
                <w:sz w:val="16"/>
              </w:rPr>
              <w:t>TxnKey关联正确，Expected/Received闭合，资源回零</w:t>
            </w:r>
          </w:p>
        </w:tc>
      </w:tr>
      <w:tr>
        <w:tc>
          <w:tcPr>
            <w:tcW w:type="dxa" w:w="1600"/>
          </w:tcPr>
          <w:p>
            <w:pPr>
              <w:spacing w:after="0" w:line="240" w:lineRule="auto"/>
            </w:pPr>
            <w:r>
              <w:rPr>
                <w:rFonts w:ascii="Calibri" w:hAnsi="Calibri" w:eastAsia="等线"/>
                <w:b/>
                <w:color w:val="1F1F1F"/>
                <w:sz w:val="16"/>
              </w:rPr>
              <w:t>真实竞争</w:t>
            </w:r>
          </w:p>
        </w:tc>
        <w:tc>
          <w:tcPr>
            <w:tcW w:type="dxa" w:w="3900"/>
          </w:tcPr>
          <w:p>
            <w:pPr>
              <w:spacing w:after="0" w:line="240" w:lineRule="auto"/>
            </w:pPr>
            <w:r>
              <w:rPr>
                <w:rFonts w:ascii="Calibri" w:hAnsi="Calibri" w:eastAsia="等线"/>
                <w:b w:val="0"/>
                <w:color w:val="1F1F1F"/>
                <w:sz w:val="16"/>
              </w:rPr>
              <w:t>多Master同周期访问共享输出/Target</w:t>
            </w:r>
          </w:p>
        </w:tc>
        <w:tc>
          <w:tcPr>
            <w:tcW w:type="dxa" w:w="3860"/>
          </w:tcPr>
          <w:p>
            <w:pPr>
              <w:spacing w:after="0" w:line="240" w:lineRule="auto"/>
            </w:pPr>
            <w:r>
              <w:rPr>
                <w:rFonts w:ascii="Calibri" w:hAnsi="Calibri" w:eastAsia="等线"/>
                <w:b w:val="0"/>
                <w:color w:val="1F1F1F"/>
                <w:sz w:val="16"/>
              </w:rPr>
              <w:t>观察到显式仲裁、等待和可重复服务份额</w:t>
            </w:r>
          </w:p>
        </w:tc>
      </w:tr>
      <w:tr>
        <w:tc>
          <w:tcPr>
            <w:tcW w:type="dxa" w:w="1600"/>
          </w:tcPr>
          <w:p>
            <w:pPr>
              <w:spacing w:after="0" w:line="240" w:lineRule="auto"/>
            </w:pPr>
            <w:r>
              <w:rPr>
                <w:rFonts w:ascii="Calibri" w:hAnsi="Calibri" w:eastAsia="等线"/>
                <w:b/>
                <w:color w:val="1F1F1F"/>
                <w:sz w:val="16"/>
              </w:rPr>
              <w:t>反压恢复</w:t>
            </w:r>
          </w:p>
        </w:tc>
        <w:tc>
          <w:tcPr>
            <w:tcW w:type="dxa" w:w="3900"/>
          </w:tcPr>
          <w:p>
            <w:pPr>
              <w:spacing w:after="0" w:line="240" w:lineRule="auto"/>
            </w:pPr>
            <w:r>
              <w:rPr>
                <w:rFonts w:ascii="Calibri" w:hAnsi="Calibri" w:eastAsia="等线"/>
                <w:b w:val="0"/>
                <w:color w:val="1F1F1F"/>
                <w:sz w:val="16"/>
              </w:rPr>
              <w:t>逐级填满后解除下游阻塞</w:t>
            </w:r>
          </w:p>
        </w:tc>
        <w:tc>
          <w:tcPr>
            <w:tcW w:type="dxa" w:w="3860"/>
          </w:tcPr>
          <w:p>
            <w:pPr>
              <w:spacing w:after="0" w:line="240" w:lineRule="auto"/>
            </w:pPr>
            <w:r>
              <w:rPr>
                <w:rFonts w:ascii="Calibri" w:hAnsi="Calibri" w:eastAsia="等线"/>
                <w:b w:val="0"/>
                <w:color w:val="1F1F1F"/>
                <w:sz w:val="16"/>
              </w:rPr>
              <w:t>包原地保持、无丢包，状态变化后自动重试并最终完成</w:t>
            </w:r>
          </w:p>
        </w:tc>
      </w:tr>
      <w:tr>
        <w:tc>
          <w:tcPr>
            <w:tcW w:type="dxa" w:w="1600"/>
          </w:tcPr>
          <w:p>
            <w:pPr>
              <w:spacing w:after="0" w:line="240" w:lineRule="auto"/>
            </w:pPr>
            <w:r>
              <w:rPr>
                <w:rFonts w:ascii="Calibri" w:hAnsi="Calibri" w:eastAsia="等线"/>
                <w:b/>
                <w:color w:val="1F1F1F"/>
                <w:sz w:val="16"/>
              </w:rPr>
              <w:t>死锁/饥饿</w:t>
            </w:r>
          </w:p>
        </w:tc>
        <w:tc>
          <w:tcPr>
            <w:tcW w:type="dxa" w:w="3900"/>
          </w:tcPr>
          <w:p>
            <w:pPr>
              <w:spacing w:after="0" w:line="240" w:lineRule="auto"/>
            </w:pPr>
            <w:r>
              <w:rPr>
                <w:rFonts w:ascii="Calibri" w:hAnsi="Calibri" w:eastAsia="等线"/>
                <w:b w:val="0"/>
                <w:color w:val="1F1F1F"/>
                <w:sz w:val="16"/>
              </w:rPr>
              <w:t>响应拥塞、混合类、长期热点</w:t>
            </w:r>
          </w:p>
        </w:tc>
        <w:tc>
          <w:tcPr>
            <w:tcW w:type="dxa" w:w="3860"/>
          </w:tcPr>
          <w:p>
            <w:pPr>
              <w:spacing w:after="0" w:line="240" w:lineRule="auto"/>
            </w:pPr>
            <w:r>
              <w:rPr>
                <w:rFonts w:ascii="Calibri" w:hAnsi="Calibri" w:eastAsia="等线"/>
                <w:b w:val="0"/>
                <w:color w:val="1F1F1F"/>
                <w:sz w:val="16"/>
              </w:rPr>
              <w:t>无等待环；最大等待满足策略边界或被watchdog捕获</w:t>
            </w:r>
          </w:p>
        </w:tc>
      </w:tr>
      <w:tr>
        <w:tc>
          <w:tcPr>
            <w:tcW w:type="dxa" w:w="1600"/>
          </w:tcPr>
          <w:p>
            <w:pPr>
              <w:spacing w:after="0" w:line="240" w:lineRule="auto"/>
            </w:pPr>
            <w:r>
              <w:rPr>
                <w:rFonts w:ascii="Calibri" w:hAnsi="Calibri" w:eastAsia="等线"/>
                <w:b/>
                <w:color w:val="1F1F1F"/>
                <w:sz w:val="16"/>
              </w:rPr>
              <w:t>参数生效</w:t>
            </w:r>
          </w:p>
        </w:tc>
        <w:tc>
          <w:tcPr>
            <w:tcW w:type="dxa" w:w="3900"/>
          </w:tcPr>
          <w:p>
            <w:pPr>
              <w:spacing w:after="0" w:line="240" w:lineRule="auto"/>
            </w:pPr>
            <w:r>
              <w:rPr>
                <w:rFonts w:ascii="Calibri" w:hAnsi="Calibri" w:eastAsia="等线"/>
                <w:b w:val="0"/>
                <w:color w:val="1F1F1F"/>
                <w:sz w:val="16"/>
              </w:rPr>
              <w:t>单参数扫全范围与边界值</w:t>
            </w:r>
          </w:p>
        </w:tc>
        <w:tc>
          <w:tcPr>
            <w:tcW w:type="dxa" w:w="3860"/>
          </w:tcPr>
          <w:p>
            <w:pPr>
              <w:spacing w:after="0" w:line="240" w:lineRule="auto"/>
            </w:pPr>
            <w:r>
              <w:rPr>
                <w:rFonts w:ascii="Calibri" w:hAnsi="Calibri" w:eastAsia="等线"/>
                <w:b w:val="0"/>
                <w:color w:val="1F1F1F"/>
                <w:sz w:val="16"/>
              </w:rPr>
              <w:t>KPI方向、拐点和统计作用点符合预期</w:t>
            </w:r>
          </w:p>
        </w:tc>
      </w:tr>
      <w:tr>
        <w:tc>
          <w:tcPr>
            <w:tcW w:type="dxa" w:w="1600"/>
          </w:tcPr>
          <w:p>
            <w:pPr>
              <w:spacing w:after="0" w:line="240" w:lineRule="auto"/>
            </w:pPr>
            <w:r>
              <w:rPr>
                <w:rFonts w:ascii="Calibri" w:hAnsi="Calibri" w:eastAsia="等线"/>
                <w:b/>
                <w:color w:val="1F1F1F"/>
                <w:sz w:val="16"/>
              </w:rPr>
              <w:t>精度</w:t>
            </w:r>
          </w:p>
        </w:tc>
        <w:tc>
          <w:tcPr>
            <w:tcW w:type="dxa" w:w="3900"/>
          </w:tcPr>
          <w:p>
            <w:pPr>
              <w:spacing w:after="0" w:line="240" w:lineRule="auto"/>
            </w:pPr>
            <w:r>
              <w:rPr>
                <w:rFonts w:ascii="Calibri" w:hAnsi="Calibri" w:eastAsia="等线"/>
                <w:b w:val="0"/>
                <w:color w:val="1F1F1F"/>
                <w:sz w:val="16"/>
              </w:rPr>
              <w:t>校准集与留出集</w:t>
            </w:r>
          </w:p>
        </w:tc>
        <w:tc>
          <w:tcPr>
            <w:tcW w:type="dxa" w:w="3860"/>
          </w:tcPr>
          <w:p>
            <w:pPr>
              <w:spacing w:after="0" w:line="240" w:lineRule="auto"/>
            </w:pPr>
            <w:r>
              <w:rPr>
                <w:rFonts w:ascii="Calibri" w:hAnsi="Calibri" w:eastAsia="等线"/>
                <w:b w:val="0"/>
                <w:color w:val="1F1F1F"/>
                <w:sz w:val="16"/>
              </w:rPr>
              <w:t>整体≥0.80且全部硬门限通过</w:t>
            </w:r>
          </w:p>
        </w:tc>
      </w:tr>
      <w:tr>
        <w:tc>
          <w:tcPr>
            <w:tcW w:type="dxa" w:w="1600"/>
          </w:tcPr>
          <w:p>
            <w:pPr>
              <w:spacing w:after="0" w:line="240" w:lineRule="auto"/>
            </w:pPr>
            <w:r>
              <w:rPr>
                <w:rFonts w:ascii="Calibri" w:hAnsi="Calibri" w:eastAsia="等线"/>
                <w:b/>
                <w:color w:val="1F1F1F"/>
                <w:sz w:val="16"/>
              </w:rPr>
              <w:t>仿真性能</w:t>
            </w:r>
          </w:p>
        </w:tc>
        <w:tc>
          <w:tcPr>
            <w:tcW w:type="dxa" w:w="3900"/>
          </w:tcPr>
          <w:p>
            <w:pPr>
              <w:spacing w:after="0" w:line="240" w:lineRule="auto"/>
            </w:pPr>
            <w:r>
              <w:rPr>
                <w:rFonts w:ascii="Calibri" w:hAnsi="Calibri" w:eastAsia="等线"/>
                <w:b w:val="0"/>
                <w:color w:val="1F1F1F"/>
                <w:sz w:val="16"/>
              </w:rPr>
              <w:t>大端点、长时间、高拥塞</w:t>
            </w:r>
          </w:p>
        </w:tc>
        <w:tc>
          <w:tcPr>
            <w:tcW w:type="dxa" w:w="3860"/>
          </w:tcPr>
          <w:p>
            <w:pPr>
              <w:spacing w:after="0" w:line="240" w:lineRule="auto"/>
            </w:pPr>
            <w:r>
              <w:rPr>
                <w:rFonts w:ascii="Calibri" w:hAnsi="Calibri" w:eastAsia="等线"/>
                <w:b w:val="0"/>
                <w:color w:val="1F1F1F"/>
                <w:sz w:val="16"/>
              </w:rPr>
              <w:t>事件数、内存和运行时间满足项目预算，统计无抽样偏差</w:t>
            </w:r>
          </w:p>
        </w:tc>
      </w:tr>
    </w:tbl>
    <w:p>
      <w:pPr>
        <w:spacing w:after="0"/>
      </w:pPr>
    </w:p>
    <w:p>
      <w:pPr>
        <w:pStyle w:val="Heading2"/>
      </w:pPr>
      <w:r>
        <w:t>12.5 签核输出</w:t>
      </w:r>
    </w:p>
    <w:p>
      <w:pPr>
        <w:keepLines w:val="0"/>
        <w:widowControl/>
        <w:spacing w:after="120"/>
      </w:pPr>
      <w:r>
        <w:rPr>
          <w:rFonts w:ascii="Calibri" w:hAnsi="Calibri" w:eastAsia="等线"/>
          <w:color w:val="1F1F1F"/>
        </w:rPr>
        <w:t>每次精度签核输出应包含：模型和配置指纹、参考平台版本、完整场景表、原始KPI、相对/绝对误差、加权得分、硬门限结果、瓶颈混淆矩阵、异常场景归因、参数变更记录和适用域声明。任何手工豁免必须记录批准人、原因、预计影响和后续关闭计划。模型升级后若改变事务语义、通道共享、计费字节或Target服务结构，必须重新执行全量留出集验收。</w:t>
      </w:r>
    </w:p>
    <w:p>
      <w:pPr>
        <w:pStyle w:val="Heading1"/>
      </w:pPr>
      <w:r>
        <w:t>13 替代方案与设计权衡</w:t>
      </w:r>
    </w:p>
    <w:p>
      <w:pPr>
        <w:pStyle w:val="Heading2"/>
      </w:pPr>
      <w:r>
        <w:t>13.1 拓扑方案比较</w:t>
      </w:r>
    </w:p>
    <w:tbl>
      <w:tblPr>
        <w:tblStyle w:val="TableGrid"/>
        <w:tblW w:type="dxa" w:w="9360"/>
        <w:jc w:val="left"/>
        <w:tblLayout w:type="fixed"/>
        <w:tblLook w:firstColumn="1" w:firstRow="1" w:lastColumn="0" w:lastRow="0" w:noHBand="0" w:noVBand="1" w:val="04A0"/>
        <w:tblInd w:w="120" w:type="dxa"/>
      </w:tblPr>
      <w:tblGrid>
        <w:gridCol w:w="1300"/>
        <w:gridCol w:w="2650"/>
        <w:gridCol w:w="2800"/>
        <w:gridCol w:w="2610"/>
      </w:tblGrid>
      <w:tr>
        <w:trPr>
          <w:cantSplit/>
          <w:tblHeader w:val="true"/>
        </w:trPr>
        <w:tc>
          <w:tcPr>
            <w:tcW w:type="dxa" w:w="13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方案</w:t>
            </w:r>
          </w:p>
        </w:tc>
        <w:tc>
          <w:tcPr>
            <w:tcW w:type="dxa" w:w="265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主要收益</w:t>
            </w:r>
          </w:p>
        </w:tc>
        <w:tc>
          <w:tcPr>
            <w:tcW w:type="dxa" w:w="28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主要代价</w:t>
            </w:r>
          </w:p>
        </w:tc>
        <w:tc>
          <w:tcPr>
            <w:tcW w:type="dxa" w:w="261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适用性判断</w:t>
            </w:r>
          </w:p>
        </w:tc>
      </w:tr>
      <w:tr>
        <w:tc>
          <w:tcPr>
            <w:tcW w:type="dxa" w:w="1300"/>
          </w:tcPr>
          <w:p>
            <w:pPr>
              <w:spacing w:after="0" w:line="240" w:lineRule="auto"/>
            </w:pPr>
            <w:r>
              <w:rPr>
                <w:rFonts w:ascii="Calibri" w:hAnsi="Calibri" w:eastAsia="等线"/>
                <w:b/>
                <w:color w:val="1F1F1F"/>
                <w:sz w:val="16"/>
              </w:rPr>
              <w:t>共享总线</w:t>
            </w:r>
          </w:p>
        </w:tc>
        <w:tc>
          <w:tcPr>
            <w:tcW w:type="dxa" w:w="2650"/>
          </w:tcPr>
          <w:p>
            <w:pPr>
              <w:spacing w:after="0" w:line="240" w:lineRule="auto"/>
            </w:pPr>
            <w:r>
              <w:rPr>
                <w:rFonts w:ascii="Calibri" w:hAnsi="Calibri" w:eastAsia="等线"/>
                <w:b w:val="0"/>
                <w:color w:val="1F1F1F"/>
                <w:sz w:val="16"/>
              </w:rPr>
              <w:t>模型简单、单一仲裁点、低负载延迟易校准。</w:t>
            </w:r>
          </w:p>
        </w:tc>
        <w:tc>
          <w:tcPr>
            <w:tcW w:type="dxa" w:w="2800"/>
          </w:tcPr>
          <w:p>
            <w:pPr>
              <w:spacing w:after="0" w:line="240" w:lineRule="auto"/>
            </w:pPr>
            <w:r>
              <w:rPr>
                <w:rFonts w:ascii="Calibri" w:hAnsi="Calibri" w:eastAsia="等线"/>
                <w:b w:val="0"/>
                <w:color w:val="1F1F1F"/>
                <w:sz w:val="16"/>
              </w:rPr>
              <w:t>所有端点共享带宽，无法表达空间并行；端点增长后扩展性差。</w:t>
            </w:r>
          </w:p>
        </w:tc>
        <w:tc>
          <w:tcPr>
            <w:tcW w:type="dxa" w:w="2610"/>
          </w:tcPr>
          <w:p>
            <w:pPr>
              <w:spacing w:after="0" w:line="240" w:lineRule="auto"/>
            </w:pPr>
            <w:r>
              <w:rPr>
                <w:rFonts w:ascii="Calibri" w:hAnsi="Calibri" w:eastAsia="等线"/>
                <w:b w:val="0"/>
                <w:color w:val="1F1F1F"/>
                <w:sz w:val="16"/>
              </w:rPr>
              <w:t>适合小规模、低带宽、确有单一共享媒介的系统或早期上界模型。</w:t>
            </w:r>
          </w:p>
        </w:tc>
      </w:tr>
      <w:tr>
        <w:tc>
          <w:tcPr>
            <w:tcW w:type="dxa" w:w="1300"/>
          </w:tcPr>
          <w:p>
            <w:pPr>
              <w:spacing w:after="0" w:line="240" w:lineRule="auto"/>
            </w:pPr>
            <w:r>
              <w:rPr>
                <w:rFonts w:ascii="Calibri" w:hAnsi="Calibri" w:eastAsia="等线"/>
                <w:b/>
                <w:color w:val="1F1F1F"/>
                <w:sz w:val="16"/>
              </w:rPr>
              <w:t>Crossbar</w:t>
            </w:r>
          </w:p>
        </w:tc>
        <w:tc>
          <w:tcPr>
            <w:tcW w:type="dxa" w:w="2650"/>
          </w:tcPr>
          <w:p>
            <w:pPr>
              <w:spacing w:after="0" w:line="240" w:lineRule="auto"/>
            </w:pPr>
            <w:r>
              <w:rPr>
                <w:rFonts w:ascii="Calibri" w:hAnsi="Calibri" w:eastAsia="等线"/>
                <w:b w:val="0"/>
                <w:color w:val="1F1F1F"/>
                <w:sz w:val="16"/>
              </w:rPr>
              <w:t>低跳数、不同Target间并行，路径直观。</w:t>
            </w:r>
          </w:p>
        </w:tc>
        <w:tc>
          <w:tcPr>
            <w:tcW w:type="dxa" w:w="2800"/>
          </w:tcPr>
          <w:p>
            <w:pPr>
              <w:spacing w:after="0" w:line="240" w:lineRule="auto"/>
            </w:pPr>
            <w:r>
              <w:rPr>
                <w:rFonts w:ascii="Calibri" w:hAnsi="Calibri" w:eastAsia="等线"/>
                <w:b w:val="0"/>
                <w:color w:val="1F1F1F"/>
                <w:sz w:val="16"/>
              </w:rPr>
              <w:t>输入×输出仲裁和面积随端点扩展；物理布局/长线代价不易抽象。</w:t>
            </w:r>
          </w:p>
        </w:tc>
        <w:tc>
          <w:tcPr>
            <w:tcW w:type="dxa" w:w="2610"/>
          </w:tcPr>
          <w:p>
            <w:pPr>
              <w:spacing w:after="0" w:line="240" w:lineRule="auto"/>
            </w:pPr>
            <w:r>
              <w:rPr>
                <w:rFonts w:ascii="Calibri" w:hAnsi="Calibri" w:eastAsia="等线"/>
                <w:b w:val="0"/>
                <w:color w:val="1F1F1F"/>
                <w:sz w:val="16"/>
              </w:rPr>
              <w:t>适合端点数有限、性能要求高且硬件接近全连接交换的系统。</w:t>
            </w:r>
          </w:p>
        </w:tc>
      </w:tr>
      <w:tr>
        <w:tc>
          <w:tcPr>
            <w:tcW w:type="dxa" w:w="1300"/>
          </w:tcPr>
          <w:p>
            <w:pPr>
              <w:spacing w:after="0" w:line="240" w:lineRule="auto"/>
            </w:pPr>
            <w:r>
              <w:rPr>
                <w:rFonts w:ascii="Calibri" w:hAnsi="Calibri" w:eastAsia="等线"/>
                <w:b/>
                <w:color w:val="1F1F1F"/>
                <w:sz w:val="16"/>
              </w:rPr>
              <w:t>双向Ring</w:t>
            </w:r>
          </w:p>
        </w:tc>
        <w:tc>
          <w:tcPr>
            <w:tcW w:type="dxa" w:w="2650"/>
          </w:tcPr>
          <w:p>
            <w:pPr>
              <w:spacing w:after="0" w:line="240" w:lineRule="auto"/>
            </w:pPr>
            <w:r>
              <w:rPr>
                <w:rFonts w:ascii="Calibri" w:hAnsi="Calibri" w:eastAsia="等线"/>
                <w:b w:val="0"/>
                <w:color w:val="1F1F1F"/>
                <w:sz w:val="16"/>
              </w:rPr>
              <w:t>结构规则、链路局部、可表达多跳与空间复用；建模复杂度中等。</w:t>
            </w:r>
          </w:p>
        </w:tc>
        <w:tc>
          <w:tcPr>
            <w:tcW w:type="dxa" w:w="2800"/>
          </w:tcPr>
          <w:p>
            <w:pPr>
              <w:spacing w:after="0" w:line="240" w:lineRule="auto"/>
            </w:pPr>
            <w:r>
              <w:rPr>
                <w:rFonts w:ascii="Calibri" w:hAnsi="Calibri" w:eastAsia="等线"/>
                <w:b w:val="0"/>
                <w:color w:val="1F1F1F"/>
                <w:sz w:val="16"/>
              </w:rPr>
              <w:t>平均跳数随规模增长，热点链路和阻塞传播明显；最小割有限。</w:t>
            </w:r>
          </w:p>
        </w:tc>
        <w:tc>
          <w:tcPr>
            <w:tcW w:type="dxa" w:w="2610"/>
          </w:tcPr>
          <w:p>
            <w:pPr>
              <w:spacing w:after="0" w:line="240" w:lineRule="auto"/>
            </w:pPr>
            <w:r>
              <w:rPr>
                <w:rFonts w:ascii="Calibri" w:hAnsi="Calibri" w:eastAsia="等线"/>
                <w:b w:val="0"/>
                <w:color w:val="1F1F1F"/>
                <w:sz w:val="16"/>
              </w:rPr>
              <w:t>适合中等规模端点、布局呈环或可用Ring近似、需要研究路径与热点的首版。</w:t>
            </w:r>
          </w:p>
        </w:tc>
      </w:tr>
      <w:tr>
        <w:tc>
          <w:tcPr>
            <w:tcW w:type="dxa" w:w="1300"/>
          </w:tcPr>
          <w:p>
            <w:pPr>
              <w:spacing w:after="0" w:line="240" w:lineRule="auto"/>
            </w:pPr>
            <w:r>
              <w:rPr>
                <w:rFonts w:ascii="Calibri" w:hAnsi="Calibri" w:eastAsia="等线"/>
                <w:b/>
                <w:color w:val="1F1F1F"/>
                <w:sz w:val="16"/>
              </w:rPr>
              <w:t>Mesh</w:t>
            </w:r>
          </w:p>
        </w:tc>
        <w:tc>
          <w:tcPr>
            <w:tcW w:type="dxa" w:w="2650"/>
          </w:tcPr>
          <w:p>
            <w:pPr>
              <w:spacing w:after="0" w:line="240" w:lineRule="auto"/>
            </w:pPr>
            <w:r>
              <w:rPr>
                <w:rFonts w:ascii="Calibri" w:hAnsi="Calibri" w:eastAsia="等线"/>
                <w:b w:val="0"/>
                <w:color w:val="1F1F1F"/>
                <w:sz w:val="16"/>
              </w:rPr>
              <w:t>更高扩展性和路径多样性，适合大规模分布端点。</w:t>
            </w:r>
          </w:p>
        </w:tc>
        <w:tc>
          <w:tcPr>
            <w:tcW w:type="dxa" w:w="2800"/>
          </w:tcPr>
          <w:p>
            <w:pPr>
              <w:spacing w:after="0" w:line="240" w:lineRule="auto"/>
            </w:pPr>
            <w:r>
              <w:rPr>
                <w:rFonts w:ascii="Calibri" w:hAnsi="Calibri" w:eastAsia="等线"/>
                <w:b w:val="0"/>
                <w:color w:val="1F1F1F"/>
                <w:sz w:val="16"/>
              </w:rPr>
              <w:t>路由/VC/死锁和校准复杂度高；参数和统计数量显著增加。</w:t>
            </w:r>
          </w:p>
        </w:tc>
        <w:tc>
          <w:tcPr>
            <w:tcW w:type="dxa" w:w="2610"/>
          </w:tcPr>
          <w:p>
            <w:pPr>
              <w:spacing w:after="0" w:line="240" w:lineRule="auto"/>
            </w:pPr>
            <w:r>
              <w:rPr>
                <w:rFonts w:ascii="Calibri" w:hAnsi="Calibri" w:eastAsia="等线"/>
                <w:b w:val="0"/>
                <w:color w:val="1F1F1F"/>
                <w:sz w:val="16"/>
              </w:rPr>
              <w:t>当端点规模、二维布局或多流量域使Ring最小割持续不足时作为演进方案。</w:t>
            </w:r>
          </w:p>
        </w:tc>
      </w:tr>
      <w:tr>
        <w:tc>
          <w:tcPr>
            <w:tcW w:type="dxa" w:w="1300"/>
          </w:tcPr>
          <w:p>
            <w:pPr>
              <w:spacing w:after="0" w:line="240" w:lineRule="auto"/>
            </w:pPr>
            <w:r>
              <w:rPr>
                <w:rFonts w:ascii="Calibri" w:hAnsi="Calibri" w:eastAsia="等线"/>
                <w:b/>
                <w:color w:val="1F1F1F"/>
                <w:sz w:val="16"/>
              </w:rPr>
              <w:t>分层/混合</w:t>
            </w:r>
          </w:p>
        </w:tc>
        <w:tc>
          <w:tcPr>
            <w:tcW w:type="dxa" w:w="2650"/>
          </w:tcPr>
          <w:p>
            <w:pPr>
              <w:spacing w:after="0" w:line="240" w:lineRule="auto"/>
            </w:pPr>
            <w:r>
              <w:rPr>
                <w:rFonts w:ascii="Calibri" w:hAnsi="Calibri" w:eastAsia="等线"/>
                <w:b w:val="0"/>
                <w:color w:val="1F1F1F"/>
                <w:sz w:val="16"/>
              </w:rPr>
              <w:t>可按簇聚合，平衡局部带宽与全局成本。</w:t>
            </w:r>
          </w:p>
        </w:tc>
        <w:tc>
          <w:tcPr>
            <w:tcW w:type="dxa" w:w="2800"/>
          </w:tcPr>
          <w:p>
            <w:pPr>
              <w:spacing w:after="0" w:line="240" w:lineRule="auto"/>
            </w:pPr>
            <w:r>
              <w:rPr>
                <w:rFonts w:ascii="Calibri" w:hAnsi="Calibri" w:eastAsia="等线"/>
                <w:b w:val="0"/>
                <w:color w:val="1F1F1F"/>
                <w:sz w:val="16"/>
              </w:rPr>
              <w:t>层间接口和瓶颈归因更复杂，配置空间增大。</w:t>
            </w:r>
          </w:p>
        </w:tc>
        <w:tc>
          <w:tcPr>
            <w:tcW w:type="dxa" w:w="2610"/>
          </w:tcPr>
          <w:p>
            <w:pPr>
              <w:spacing w:after="0" w:line="240" w:lineRule="auto"/>
            </w:pPr>
            <w:r>
              <w:rPr>
                <w:rFonts w:ascii="Calibri" w:hAnsi="Calibri" w:eastAsia="等线"/>
                <w:b w:val="0"/>
                <w:color w:val="1F1F1F"/>
                <w:sz w:val="16"/>
              </w:rPr>
              <w:t>适合Core簇内Crossbar、簇间Ring/Mesh等已有硬件分层。</w:t>
            </w:r>
          </w:p>
        </w:tc>
      </w:tr>
    </w:tbl>
    <w:p>
      <w:pPr>
        <w:spacing w:after="0"/>
      </w:pPr>
    </w:p>
    <w:p>
      <w:pPr>
        <w:pStyle w:val="Heading2"/>
      </w:pPr>
      <w:r>
        <w:t>13.2 Ring基线的收益与代价</w:t>
      </w:r>
    </w:p>
    <w:p>
      <w:pPr>
        <w:keepLines w:val="0"/>
        <w:widowControl/>
        <w:spacing w:after="120"/>
      </w:pPr>
      <w:r>
        <w:rPr>
          <w:rFonts w:ascii="Calibri" w:hAnsi="Calibri" w:eastAsia="等线"/>
          <w:color w:val="1F1F1F"/>
        </w:rPr>
        <w:t>选择Ring的主要收益是能以较少状态表达硬件架构师关心的逐跳距离、方向争用、热点最小割和下游反压，同时允许不同链路并行推进。相较共享总线，它能真实反映端点布点和路径重叠；相较Crossbar，它避免假定任意输入到任意输出都具有独立高速通路；相较Mesh，它不需要在首版引入二维路由和VC死锁规避。</w:t>
      </w:r>
    </w:p>
    <w:p>
      <w:pPr>
        <w:keepLines w:val="0"/>
        <w:widowControl/>
        <w:spacing w:after="120"/>
      </w:pPr>
      <w:r>
        <w:rPr>
          <w:rFonts w:ascii="Calibri" w:hAnsi="Calibri" w:eastAsia="等线"/>
          <w:color w:val="1F1F1F"/>
        </w:rPr>
        <w:t>其代价是大规模端点下平均/最坏跳数上升，少数热点Target会使相邻链路先饱和，包级仲裁不能复现flit交错和VC级HOL，双向最短路也可能与真实物理拓扑不完全一致。因此，Ring只应在端点数、流量矩阵和硬件布局近似合理的适用域内签核。建议以‘最坏链路利用率、平均/最大跳数、热点Target相邻链路带宽裕量和RTL/硅对标误差’作为Ring继续适用的门槛，而不是用固定Core数量一刀切。</w:t>
      </w:r>
    </w:p>
    <w:p>
      <w:pPr>
        <w:pStyle w:val="Heading2"/>
      </w:pPr>
      <w:r>
        <w:t>13.3 建模粒度权衡</w:t>
      </w:r>
    </w:p>
    <w:tbl>
      <w:tblPr>
        <w:tblStyle w:val="TableGrid"/>
        <w:tblW w:type="dxa" w:w="9360"/>
        <w:jc w:val="left"/>
        <w:tblLayout w:type="fixed"/>
        <w:tblLook w:firstColumn="1" w:firstRow="1" w:lastColumn="0" w:lastRow="0" w:noHBand="0" w:noVBand="1" w:val="04A0"/>
        <w:tblInd w:w="120" w:type="dxa"/>
      </w:tblPr>
      <w:tblGrid>
        <w:gridCol w:w="1800"/>
        <w:gridCol w:w="3000"/>
        <w:gridCol w:w="2700"/>
        <w:gridCol w:w="1860"/>
      </w:tblGrid>
      <w:tr>
        <w:trPr>
          <w:cantSplit/>
          <w:tblHeader w:val="true"/>
        </w:trPr>
        <w:tc>
          <w:tcPr>
            <w:tcW w:type="dxa" w:w="180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粒度</w:t>
            </w:r>
          </w:p>
        </w:tc>
        <w:tc>
          <w:tcPr>
            <w:tcW w:type="dxa" w:w="300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能表达的行为</w:t>
            </w:r>
          </w:p>
        </w:tc>
        <w:tc>
          <w:tcPr>
            <w:tcW w:type="dxa" w:w="270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省略的行为</w:t>
            </w:r>
          </w:p>
        </w:tc>
        <w:tc>
          <w:tcPr>
            <w:tcW w:type="dxa" w:w="186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建议</w:t>
            </w:r>
          </w:p>
        </w:tc>
      </w:tr>
      <w:tr>
        <w:tc>
          <w:tcPr>
            <w:tcW w:type="dxa" w:w="1800"/>
          </w:tcPr>
          <w:p>
            <w:pPr>
              <w:spacing w:after="0" w:line="240" w:lineRule="auto"/>
            </w:pPr>
            <w:r>
              <w:rPr>
                <w:rFonts w:ascii="Calibri" w:hAnsi="Calibri" w:eastAsia="等线"/>
                <w:b/>
                <w:color w:val="1F1F1F"/>
                <w:sz w:val="17"/>
              </w:rPr>
              <w:t>事务固定延迟</w:t>
            </w:r>
          </w:p>
        </w:tc>
        <w:tc>
          <w:tcPr>
            <w:tcW w:type="dxa" w:w="3000"/>
          </w:tcPr>
          <w:p>
            <w:pPr>
              <w:spacing w:after="0" w:line="240" w:lineRule="auto"/>
            </w:pPr>
            <w:r>
              <w:rPr>
                <w:rFonts w:ascii="Calibri" w:hAnsi="Calibri" w:eastAsia="等线"/>
                <w:b w:val="0"/>
                <w:color w:val="1F1F1F"/>
                <w:sz w:val="17"/>
              </w:rPr>
              <w:t>功能路径和理想RTT</w:t>
            </w:r>
          </w:p>
        </w:tc>
        <w:tc>
          <w:tcPr>
            <w:tcW w:type="dxa" w:w="2700"/>
          </w:tcPr>
          <w:p>
            <w:pPr>
              <w:spacing w:after="0" w:line="240" w:lineRule="auto"/>
            </w:pPr>
            <w:r>
              <w:rPr>
                <w:rFonts w:ascii="Calibri" w:hAnsi="Calibri" w:eastAsia="等线"/>
                <w:b w:val="0"/>
                <w:color w:val="1F1F1F"/>
                <w:sz w:val="17"/>
              </w:rPr>
              <w:t>竞争、序列化、反压、热点</w:t>
            </w:r>
          </w:p>
        </w:tc>
        <w:tc>
          <w:tcPr>
            <w:tcW w:type="dxa" w:w="1860"/>
          </w:tcPr>
          <w:p>
            <w:pPr>
              <w:spacing w:after="0" w:line="240" w:lineRule="auto"/>
            </w:pPr>
            <w:r>
              <w:rPr>
                <w:rFonts w:ascii="Calibri" w:hAnsi="Calibri" w:eastAsia="等线"/>
                <w:b w:val="0"/>
                <w:color w:val="1F1F1F"/>
                <w:sz w:val="17"/>
              </w:rPr>
              <w:t>仅作为sanity上界，不作为本项目基线</w:t>
            </w:r>
          </w:p>
        </w:tc>
      </w:tr>
      <w:tr>
        <w:tc>
          <w:tcPr>
            <w:tcW w:type="dxa" w:w="1800"/>
          </w:tcPr>
          <w:p>
            <w:pPr>
              <w:spacing w:after="0" w:line="240" w:lineRule="auto"/>
            </w:pPr>
            <w:r>
              <w:rPr>
                <w:rFonts w:ascii="Calibri" w:hAnsi="Calibri" w:eastAsia="等线"/>
                <w:b/>
                <w:color w:val="1F1F1F"/>
                <w:sz w:val="17"/>
              </w:rPr>
              <w:t>协议段/包级（本方案）</w:t>
            </w:r>
          </w:p>
        </w:tc>
        <w:tc>
          <w:tcPr>
            <w:tcW w:type="dxa" w:w="3000"/>
          </w:tcPr>
          <w:p>
            <w:pPr>
              <w:spacing w:after="0" w:line="240" w:lineRule="auto"/>
            </w:pPr>
            <w:r>
              <w:rPr>
                <w:rFonts w:ascii="Calibri" w:hAnsi="Calibri" w:eastAsia="等线"/>
                <w:b w:val="0"/>
                <w:color w:val="1F1F1F"/>
                <w:sz w:val="17"/>
              </w:rPr>
              <w:t>多跳、带宽、分流、输出竞争、有限资源</w:t>
            </w:r>
          </w:p>
        </w:tc>
        <w:tc>
          <w:tcPr>
            <w:tcW w:type="dxa" w:w="2700"/>
          </w:tcPr>
          <w:p>
            <w:pPr>
              <w:spacing w:after="0" w:line="240" w:lineRule="auto"/>
            </w:pPr>
            <w:r>
              <w:rPr>
                <w:rFonts w:ascii="Calibri" w:hAnsi="Calibri" w:eastAsia="等线"/>
                <w:b w:val="0"/>
                <w:color w:val="1F1F1F"/>
                <w:sz w:val="17"/>
              </w:rPr>
              <w:t>flit交错、VC分配、逐拍crossbar</w:t>
            </w:r>
          </w:p>
        </w:tc>
        <w:tc>
          <w:tcPr>
            <w:tcW w:type="dxa" w:w="1860"/>
          </w:tcPr>
          <w:p>
            <w:pPr>
              <w:spacing w:after="0" w:line="240" w:lineRule="auto"/>
            </w:pPr>
            <w:r>
              <w:rPr>
                <w:rFonts w:ascii="Calibri" w:hAnsi="Calibri" w:eastAsia="等线"/>
                <w:b w:val="0"/>
                <w:color w:val="1F1F1F"/>
                <w:sz w:val="17"/>
              </w:rPr>
              <w:t>首版基线；达到约80%目标的成本/收益平衡点</w:t>
            </w:r>
          </w:p>
        </w:tc>
      </w:tr>
      <w:tr>
        <w:tc>
          <w:tcPr>
            <w:tcW w:type="dxa" w:w="1800"/>
          </w:tcPr>
          <w:p>
            <w:pPr>
              <w:spacing w:after="0" w:line="240" w:lineRule="auto"/>
            </w:pPr>
            <w:r>
              <w:rPr>
                <w:rFonts w:ascii="Calibri" w:hAnsi="Calibri" w:eastAsia="等线"/>
                <w:b/>
                <w:color w:val="1F1F1F"/>
                <w:sz w:val="17"/>
              </w:rPr>
              <w:t>flit/VC级</w:t>
            </w:r>
          </w:p>
        </w:tc>
        <w:tc>
          <w:tcPr>
            <w:tcW w:type="dxa" w:w="3000"/>
          </w:tcPr>
          <w:p>
            <w:pPr>
              <w:spacing w:after="0" w:line="240" w:lineRule="auto"/>
            </w:pPr>
            <w:r>
              <w:rPr>
                <w:rFonts w:ascii="Calibri" w:hAnsi="Calibri" w:eastAsia="等线"/>
                <w:b w:val="0"/>
                <w:color w:val="1F1F1F"/>
                <w:sz w:val="17"/>
              </w:rPr>
              <w:t>细粒度HOL、credit返回、router微流水</w:t>
            </w:r>
          </w:p>
        </w:tc>
        <w:tc>
          <w:tcPr>
            <w:tcW w:type="dxa" w:w="2700"/>
          </w:tcPr>
          <w:p>
            <w:pPr>
              <w:spacing w:after="0" w:line="240" w:lineRule="auto"/>
            </w:pPr>
            <w:r>
              <w:rPr>
                <w:rFonts w:ascii="Calibri" w:hAnsi="Calibri" w:eastAsia="等线"/>
                <w:b w:val="0"/>
                <w:color w:val="1F1F1F"/>
                <w:sz w:val="17"/>
              </w:rPr>
              <w:t>物理实现以下细节</w:t>
            </w:r>
          </w:p>
        </w:tc>
        <w:tc>
          <w:tcPr>
            <w:tcW w:type="dxa" w:w="1860"/>
          </w:tcPr>
          <w:p>
            <w:pPr>
              <w:spacing w:after="0" w:line="240" w:lineRule="auto"/>
            </w:pPr>
            <w:r>
              <w:rPr>
                <w:rFonts w:ascii="Calibri" w:hAnsi="Calibri" w:eastAsia="等线"/>
                <w:b w:val="0"/>
                <w:color w:val="1F1F1F"/>
                <w:sz w:val="17"/>
              </w:rPr>
              <w:t>仅在对标误差证明包级不足时升级</w:t>
            </w:r>
          </w:p>
        </w:tc>
      </w:tr>
      <w:tr>
        <w:tc>
          <w:tcPr>
            <w:tcW w:type="dxa" w:w="1800"/>
          </w:tcPr>
          <w:p>
            <w:pPr>
              <w:spacing w:after="0" w:line="240" w:lineRule="auto"/>
            </w:pPr>
            <w:r>
              <w:rPr>
                <w:rFonts w:ascii="Calibri" w:hAnsi="Calibri" w:eastAsia="等线"/>
                <w:b/>
                <w:color w:val="1F1F1F"/>
                <w:sz w:val="17"/>
              </w:rPr>
              <w:t>RTL逐拍</w:t>
            </w:r>
          </w:p>
        </w:tc>
        <w:tc>
          <w:tcPr>
            <w:tcW w:type="dxa" w:w="3000"/>
          </w:tcPr>
          <w:p>
            <w:pPr>
              <w:spacing w:after="0" w:line="240" w:lineRule="auto"/>
            </w:pPr>
            <w:r>
              <w:rPr>
                <w:rFonts w:ascii="Calibri" w:hAnsi="Calibri" w:eastAsia="等线"/>
                <w:b w:val="0"/>
                <w:color w:val="1F1F1F"/>
                <w:sz w:val="17"/>
              </w:rPr>
              <w:t>协议与微架构周期行为</w:t>
            </w:r>
          </w:p>
        </w:tc>
        <w:tc>
          <w:tcPr>
            <w:tcW w:type="dxa" w:w="2700"/>
          </w:tcPr>
          <w:p>
            <w:pPr>
              <w:spacing w:after="0" w:line="240" w:lineRule="auto"/>
            </w:pPr>
            <w:r>
              <w:rPr>
                <w:rFonts w:ascii="Calibri" w:hAnsi="Calibri" w:eastAsia="等线"/>
                <w:b w:val="0"/>
                <w:color w:val="1F1F1F"/>
                <w:sz w:val="17"/>
              </w:rPr>
              <w:t>系统规模与运行速度受限</w:t>
            </w:r>
          </w:p>
        </w:tc>
        <w:tc>
          <w:tcPr>
            <w:tcW w:type="dxa" w:w="1860"/>
          </w:tcPr>
          <w:p>
            <w:pPr>
              <w:spacing w:after="0" w:line="240" w:lineRule="auto"/>
            </w:pPr>
            <w:r>
              <w:rPr>
                <w:rFonts w:ascii="Calibri" w:hAnsi="Calibri" w:eastAsia="等线"/>
                <w:b w:val="0"/>
                <w:color w:val="1F1F1F"/>
                <w:sz w:val="17"/>
              </w:rPr>
              <w:t>用于参考和局部签核，不替代快速ESL探索</w:t>
            </w:r>
          </w:p>
        </w:tc>
      </w:tr>
    </w:tbl>
    <w:p>
      <w:pPr>
        <w:spacing w:after="0"/>
      </w:pPr>
    </w:p>
    <w:p>
      <w:pPr>
        <w:pStyle w:val="Heading2"/>
      </w:pPr>
      <w:r>
        <w:t>13.4 演进路径</w:t>
      </w:r>
    </w:p>
    <w:p>
      <w:pPr>
        <w:keepLines w:val="0"/>
        <w:widowControl/>
        <w:spacing w:after="120"/>
      </w:pPr>
      <w:r>
        <w:rPr>
          <w:rFonts w:ascii="Calibri" w:hAnsi="Calibri" w:eastAsia="等线"/>
          <w:color w:val="1F1F1F"/>
        </w:rPr>
        <w:t>方案通过稳定的Master/Target事务接口和独立传输平面支持演进。若需要更高精度，可按证据逐步增加：共享链路内的多VC、flit分段与wormhole占用、自适应路由、分层时钟、QoS带宽保证、DDR命令级Target或一致性Traffic Class。每次升级必须说明解决的已观测误差、增加的状态与运行成本、对旧配置的兼容性，以及新的死锁和验证义务。</w:t>
      </w:r>
    </w:p>
    <w:p>
      <w:pPr>
        <w:pStyle w:val="Heading1"/>
      </w:pPr>
      <w:r>
        <w:t>14 风险、假设和待确认事项</w:t>
      </w:r>
    </w:p>
    <w:p>
      <w:pPr>
        <w:pStyle w:val="Heading2"/>
      </w:pPr>
      <w:r>
        <w:t>14.1 关键风险</w:t>
      </w:r>
    </w:p>
    <w:tbl>
      <w:tblPr>
        <w:tblStyle w:val="TableGrid"/>
        <w:tblW w:type="dxa" w:w="9360"/>
        <w:jc w:val="left"/>
        <w:tblLayout w:type="fixed"/>
        <w:tblLook w:firstColumn="1" w:firstRow="1" w:lastColumn="0" w:lastRow="0" w:noHBand="0" w:noVBand="1" w:val="04A0"/>
        <w:tblInd w:w="120" w:type="dxa"/>
      </w:tblPr>
      <w:tblGrid>
        <w:gridCol w:w="2200"/>
        <w:gridCol w:w="1200"/>
        <w:gridCol w:w="2800"/>
        <w:gridCol w:w="3160"/>
      </w:tblGrid>
      <w:tr>
        <w:trPr>
          <w:cantSplit/>
          <w:tblHeader w:val="true"/>
        </w:trPr>
        <w:tc>
          <w:tcPr>
            <w:tcW w:type="dxa" w:w="220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风险</w:t>
            </w:r>
          </w:p>
        </w:tc>
        <w:tc>
          <w:tcPr>
            <w:tcW w:type="dxa" w:w="120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概率/影响</w:t>
            </w:r>
          </w:p>
        </w:tc>
        <w:tc>
          <w:tcPr>
            <w:tcW w:type="dxa" w:w="280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触发信号</w:t>
            </w:r>
          </w:p>
        </w:tc>
        <w:tc>
          <w:tcPr>
            <w:tcW w:type="dxa" w:w="316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缓解与关闭标准</w:t>
            </w:r>
          </w:p>
        </w:tc>
      </w:tr>
      <w:tr>
        <w:tc>
          <w:tcPr>
            <w:tcW w:type="dxa" w:w="2200"/>
          </w:tcPr>
          <w:p>
            <w:pPr>
              <w:spacing w:after="0" w:line="240" w:lineRule="auto"/>
            </w:pPr>
            <w:r>
              <w:rPr>
                <w:rFonts w:ascii="Calibri" w:hAnsi="Calibri" w:eastAsia="等线"/>
                <w:b/>
                <w:color w:val="1F1F1F"/>
                <w:sz w:val="15"/>
              </w:rPr>
              <w:t>通道共享假设错误</w:t>
            </w:r>
          </w:p>
        </w:tc>
        <w:tc>
          <w:tcPr>
            <w:tcW w:type="dxa" w:w="1200"/>
          </w:tcPr>
          <w:p>
            <w:pPr>
              <w:spacing w:after="0" w:line="240" w:lineRule="auto"/>
            </w:pPr>
            <w:r>
              <w:rPr>
                <w:rFonts w:ascii="Calibri" w:hAnsi="Calibri" w:eastAsia="等线"/>
                <w:b w:val="0"/>
                <w:color w:val="1F1F1F"/>
                <w:sz w:val="15"/>
              </w:rPr>
              <w:t>高/高</w:t>
            </w:r>
          </w:p>
        </w:tc>
        <w:tc>
          <w:tcPr>
            <w:tcW w:type="dxa" w:w="2800"/>
          </w:tcPr>
          <w:p>
            <w:pPr>
              <w:spacing w:after="0" w:line="240" w:lineRule="auto"/>
            </w:pPr>
            <w:r>
              <w:rPr>
                <w:rFonts w:ascii="Calibri" w:hAnsi="Calibri" w:eastAsia="等线"/>
                <w:b w:val="0"/>
                <w:color w:val="1F1F1F"/>
                <w:sz w:val="15"/>
              </w:rPr>
              <w:t>混合读写峰值与参考差异大，双向总带宽异常</w:t>
            </w:r>
          </w:p>
        </w:tc>
        <w:tc>
          <w:tcPr>
            <w:tcW w:type="dxa" w:w="3160"/>
          </w:tcPr>
          <w:p>
            <w:pPr>
              <w:spacing w:after="0" w:line="240" w:lineRule="auto"/>
            </w:pPr>
            <w:r>
              <w:rPr>
                <w:rFonts w:ascii="Calibri" w:hAnsi="Calibri" w:eastAsia="等线"/>
                <w:b w:val="0"/>
                <w:color w:val="1F1F1F"/>
                <w:sz w:val="15"/>
              </w:rPr>
              <w:t>P0冻结物理等效共享关系；单类与混合流量共同对标。</w:t>
            </w:r>
          </w:p>
        </w:tc>
      </w:tr>
      <w:tr>
        <w:tc>
          <w:tcPr>
            <w:tcW w:type="dxa" w:w="2200"/>
          </w:tcPr>
          <w:p>
            <w:pPr>
              <w:spacing w:after="0" w:line="240" w:lineRule="auto"/>
            </w:pPr>
            <w:r>
              <w:rPr>
                <w:rFonts w:ascii="Calibri" w:hAnsi="Calibri" w:eastAsia="等线"/>
                <w:b/>
                <w:color w:val="1F1F1F"/>
                <w:sz w:val="15"/>
              </w:rPr>
              <w:t>OSD/Credit释放错误</w:t>
            </w:r>
          </w:p>
        </w:tc>
        <w:tc>
          <w:tcPr>
            <w:tcW w:type="dxa" w:w="1200"/>
          </w:tcPr>
          <w:p>
            <w:pPr>
              <w:spacing w:after="0" w:line="240" w:lineRule="auto"/>
            </w:pPr>
            <w:r>
              <w:rPr>
                <w:rFonts w:ascii="Calibri" w:hAnsi="Calibri" w:eastAsia="等线"/>
                <w:b w:val="0"/>
                <w:color w:val="1F1F1F"/>
                <w:sz w:val="15"/>
              </w:rPr>
              <w:t>中/极高</w:t>
            </w:r>
          </w:p>
        </w:tc>
        <w:tc>
          <w:tcPr>
            <w:tcW w:type="dxa" w:w="2800"/>
          </w:tcPr>
          <w:p>
            <w:pPr>
              <w:spacing w:after="0" w:line="240" w:lineRule="auto"/>
            </w:pPr>
            <w:r>
              <w:rPr>
                <w:rFonts w:ascii="Calibri" w:hAnsi="Calibri" w:eastAsia="等线"/>
                <w:b w:val="0"/>
                <w:color w:val="1F1F1F"/>
                <w:sz w:val="15"/>
              </w:rPr>
              <w:t>计数不回零、吞吐异常随响应阻塞变化</w:t>
            </w:r>
          </w:p>
        </w:tc>
        <w:tc>
          <w:tcPr>
            <w:tcW w:type="dxa" w:w="3160"/>
          </w:tcPr>
          <w:p>
            <w:pPr>
              <w:spacing w:after="0" w:line="240" w:lineRule="auto"/>
            </w:pPr>
            <w:r>
              <w:rPr>
                <w:rFonts w:ascii="Calibri" w:hAnsi="Calibri" w:eastAsia="等线"/>
                <w:b w:val="0"/>
                <w:color w:val="1F1F1F"/>
                <w:sz w:val="15"/>
              </w:rPr>
              <w:t>资源所有权不变量、故障注入、长反压后排空。</w:t>
            </w:r>
          </w:p>
        </w:tc>
      </w:tr>
      <w:tr>
        <w:tc>
          <w:tcPr>
            <w:tcW w:type="dxa" w:w="2200"/>
          </w:tcPr>
          <w:p>
            <w:pPr>
              <w:spacing w:after="0" w:line="240" w:lineRule="auto"/>
            </w:pPr>
            <w:r>
              <w:rPr>
                <w:rFonts w:ascii="Calibri" w:hAnsi="Calibri" w:eastAsia="等线"/>
                <w:b/>
                <w:color w:val="1F1F1F"/>
                <w:sz w:val="15"/>
              </w:rPr>
              <w:t>写请求与数据关联不完整</w:t>
            </w:r>
          </w:p>
        </w:tc>
        <w:tc>
          <w:tcPr>
            <w:tcW w:type="dxa" w:w="1200"/>
          </w:tcPr>
          <w:p>
            <w:pPr>
              <w:spacing w:after="0" w:line="240" w:lineRule="auto"/>
            </w:pPr>
            <w:r>
              <w:rPr>
                <w:rFonts w:ascii="Calibri" w:hAnsi="Calibri" w:eastAsia="等线"/>
                <w:b w:val="0"/>
                <w:color w:val="1F1F1F"/>
                <w:sz w:val="15"/>
              </w:rPr>
              <w:t>中/极高</w:t>
            </w:r>
          </w:p>
        </w:tc>
        <w:tc>
          <w:tcPr>
            <w:tcW w:type="dxa" w:w="2800"/>
          </w:tcPr>
          <w:p>
            <w:pPr>
              <w:spacing w:after="0" w:line="240" w:lineRule="auto"/>
            </w:pPr>
            <w:r>
              <w:rPr>
                <w:rFonts w:ascii="Calibri" w:hAnsi="Calibri" w:eastAsia="等线"/>
                <w:b w:val="0"/>
                <w:color w:val="1F1F1F"/>
                <w:sz w:val="15"/>
              </w:rPr>
              <w:t>DataTag错配、Grant后永久等待、跨事务数据污染</w:t>
            </w:r>
          </w:p>
        </w:tc>
        <w:tc>
          <w:tcPr>
            <w:tcW w:type="dxa" w:w="3160"/>
          </w:tcPr>
          <w:p>
            <w:pPr>
              <w:spacing w:after="0" w:line="240" w:lineRule="auto"/>
            </w:pPr>
            <w:r>
              <w:rPr>
                <w:rFonts w:ascii="Calibri" w:hAnsi="Calibri" w:eastAsia="等线"/>
                <w:b w:val="0"/>
                <w:color w:val="1F1F1F"/>
                <w:sz w:val="15"/>
              </w:rPr>
              <w:t>冻结写协议状态机；beat/超时/错误覆盖。</w:t>
            </w:r>
          </w:p>
        </w:tc>
      </w:tr>
      <w:tr>
        <w:tc>
          <w:tcPr>
            <w:tcW w:type="dxa" w:w="2200"/>
          </w:tcPr>
          <w:p>
            <w:pPr>
              <w:spacing w:after="0" w:line="240" w:lineRule="auto"/>
            </w:pPr>
            <w:r>
              <w:rPr>
                <w:rFonts w:ascii="Calibri" w:hAnsi="Calibri" w:eastAsia="等线"/>
                <w:b/>
                <w:color w:val="1F1F1F"/>
                <w:sz w:val="15"/>
              </w:rPr>
              <w:t>响应依赖导致死锁</w:t>
            </w:r>
          </w:p>
        </w:tc>
        <w:tc>
          <w:tcPr>
            <w:tcW w:type="dxa" w:w="1200"/>
          </w:tcPr>
          <w:p>
            <w:pPr>
              <w:spacing w:after="0" w:line="240" w:lineRule="auto"/>
            </w:pPr>
            <w:r>
              <w:rPr>
                <w:rFonts w:ascii="Calibri" w:hAnsi="Calibri" w:eastAsia="等线"/>
                <w:b w:val="0"/>
                <w:color w:val="1F1F1F"/>
                <w:sz w:val="15"/>
              </w:rPr>
              <w:t>中/极高</w:t>
            </w:r>
          </w:p>
        </w:tc>
        <w:tc>
          <w:tcPr>
            <w:tcW w:type="dxa" w:w="2800"/>
          </w:tcPr>
          <w:p>
            <w:pPr>
              <w:spacing w:after="0" w:line="240" w:lineRule="auto"/>
            </w:pPr>
            <w:r>
              <w:rPr>
                <w:rFonts w:ascii="Calibri" w:hAnsi="Calibri" w:eastAsia="等线"/>
                <w:b w:val="0"/>
                <w:color w:val="1F1F1F"/>
                <w:sz w:val="15"/>
              </w:rPr>
              <w:t>存在在途事务但全局长期无握手</w:t>
            </w:r>
          </w:p>
        </w:tc>
        <w:tc>
          <w:tcPr>
            <w:tcW w:type="dxa" w:w="3160"/>
          </w:tcPr>
          <w:p>
            <w:pPr>
              <w:spacing w:after="0" w:line="240" w:lineRule="auto"/>
            </w:pPr>
            <w:r>
              <w:rPr>
                <w:rFonts w:ascii="Calibri" w:hAnsi="Calibri" w:eastAsia="等线"/>
                <w:b w:val="0"/>
                <w:color w:val="1F1F1F"/>
                <w:sz w:val="15"/>
              </w:rPr>
              <w:t>逻辑类分队列、响应保留进度、等待图与watchdog。</w:t>
            </w:r>
          </w:p>
        </w:tc>
      </w:tr>
      <w:tr>
        <w:tc>
          <w:tcPr>
            <w:tcW w:type="dxa" w:w="2200"/>
          </w:tcPr>
          <w:p>
            <w:pPr>
              <w:spacing w:after="0" w:line="240" w:lineRule="auto"/>
            </w:pPr>
            <w:r>
              <w:rPr>
                <w:rFonts w:ascii="Calibri" w:hAnsi="Calibri" w:eastAsia="等线"/>
                <w:b/>
                <w:color w:val="1F1F1F"/>
                <w:sz w:val="15"/>
              </w:rPr>
              <w:t>仲裁受软件事件顺序影响</w:t>
            </w:r>
          </w:p>
        </w:tc>
        <w:tc>
          <w:tcPr>
            <w:tcW w:type="dxa" w:w="1200"/>
          </w:tcPr>
          <w:p>
            <w:pPr>
              <w:spacing w:after="0" w:line="240" w:lineRule="auto"/>
            </w:pPr>
            <w:r>
              <w:rPr>
                <w:rFonts w:ascii="Calibri" w:hAnsi="Calibri" w:eastAsia="等线"/>
                <w:b w:val="0"/>
                <w:color w:val="1F1F1F"/>
                <w:sz w:val="15"/>
              </w:rPr>
              <w:t>中/高</w:t>
            </w:r>
          </w:p>
        </w:tc>
        <w:tc>
          <w:tcPr>
            <w:tcW w:type="dxa" w:w="2800"/>
          </w:tcPr>
          <w:p>
            <w:pPr>
              <w:spacing w:after="0" w:line="240" w:lineRule="auto"/>
            </w:pPr>
            <w:r>
              <w:rPr>
                <w:rFonts w:ascii="Calibri" w:hAnsi="Calibri" w:eastAsia="等线"/>
                <w:b w:val="0"/>
                <w:color w:val="1F1F1F"/>
                <w:sz w:val="15"/>
              </w:rPr>
              <w:t>改变实例创建顺序即改变Master带宽</w:t>
            </w:r>
          </w:p>
        </w:tc>
        <w:tc>
          <w:tcPr>
            <w:tcW w:type="dxa" w:w="3160"/>
          </w:tcPr>
          <w:p>
            <w:pPr>
              <w:spacing w:after="0" w:line="240" w:lineRule="auto"/>
            </w:pPr>
            <w:r>
              <w:rPr>
                <w:rFonts w:ascii="Calibri" w:hAnsi="Calibri" w:eastAsia="等线"/>
                <w:b w:val="0"/>
                <w:color w:val="1F1F1F"/>
                <w:sz w:val="15"/>
              </w:rPr>
              <w:t>候选收集+原子winner提交；确定性回归。</w:t>
            </w:r>
          </w:p>
        </w:tc>
      </w:tr>
      <w:tr>
        <w:tc>
          <w:tcPr>
            <w:tcW w:type="dxa" w:w="2200"/>
          </w:tcPr>
          <w:p>
            <w:pPr>
              <w:spacing w:after="0" w:line="240" w:lineRule="auto"/>
            </w:pPr>
            <w:r>
              <w:rPr>
                <w:rFonts w:ascii="Calibri" w:hAnsi="Calibri" w:eastAsia="等线"/>
                <w:b/>
                <w:color w:val="1F1F1F"/>
                <w:sz w:val="15"/>
              </w:rPr>
              <w:t>延迟或带宽重复计算</w:t>
            </w:r>
          </w:p>
        </w:tc>
        <w:tc>
          <w:tcPr>
            <w:tcW w:type="dxa" w:w="1200"/>
          </w:tcPr>
          <w:p>
            <w:pPr>
              <w:spacing w:after="0" w:line="240" w:lineRule="auto"/>
            </w:pPr>
            <w:r>
              <w:rPr>
                <w:rFonts w:ascii="Calibri" w:hAnsi="Calibri" w:eastAsia="等线"/>
                <w:b w:val="0"/>
                <w:color w:val="1F1F1F"/>
                <w:sz w:val="15"/>
              </w:rPr>
              <w:t>高/高</w:t>
            </w:r>
          </w:p>
        </w:tc>
        <w:tc>
          <w:tcPr>
            <w:tcW w:type="dxa" w:w="2800"/>
          </w:tcPr>
          <w:p>
            <w:pPr>
              <w:spacing w:after="0" w:line="240" w:lineRule="auto"/>
            </w:pPr>
            <w:r>
              <w:rPr>
                <w:rFonts w:ascii="Calibri" w:hAnsi="Calibri" w:eastAsia="等线"/>
                <w:b w:val="0"/>
                <w:color w:val="1F1F1F"/>
                <w:sz w:val="15"/>
              </w:rPr>
              <w:t>单参数扫描出现非物理方向或峰值过低</w:t>
            </w:r>
          </w:p>
        </w:tc>
        <w:tc>
          <w:tcPr>
            <w:tcW w:type="dxa" w:w="3160"/>
          </w:tcPr>
          <w:p>
            <w:pPr>
              <w:spacing w:after="0" w:line="240" w:lineRule="auto"/>
            </w:pPr>
            <w:r>
              <w:rPr>
                <w:rFonts w:ascii="Calibri" w:hAnsi="Calibri" w:eastAsia="等线"/>
                <w:b w:val="0"/>
                <w:color w:val="1F1F1F"/>
                <w:sz w:val="15"/>
              </w:rPr>
              <w:t>唯一资源所有者矩阵和分析上界对照。</w:t>
            </w:r>
          </w:p>
        </w:tc>
      </w:tr>
      <w:tr>
        <w:tc>
          <w:tcPr>
            <w:tcW w:type="dxa" w:w="2200"/>
          </w:tcPr>
          <w:p>
            <w:pPr>
              <w:spacing w:after="0" w:line="240" w:lineRule="auto"/>
            </w:pPr>
            <w:r>
              <w:rPr>
                <w:rFonts w:ascii="Calibri" w:hAnsi="Calibri" w:eastAsia="等线"/>
                <w:b/>
                <w:color w:val="1F1F1F"/>
                <w:sz w:val="15"/>
              </w:rPr>
              <w:t>Target模型过度简化</w:t>
            </w:r>
          </w:p>
        </w:tc>
        <w:tc>
          <w:tcPr>
            <w:tcW w:type="dxa" w:w="1200"/>
          </w:tcPr>
          <w:p>
            <w:pPr>
              <w:spacing w:after="0" w:line="240" w:lineRule="auto"/>
            </w:pPr>
            <w:r>
              <w:rPr>
                <w:rFonts w:ascii="Calibri" w:hAnsi="Calibri" w:eastAsia="等线"/>
                <w:b w:val="0"/>
                <w:color w:val="1F1F1F"/>
                <w:sz w:val="15"/>
              </w:rPr>
              <w:t>高/高</w:t>
            </w:r>
          </w:p>
        </w:tc>
        <w:tc>
          <w:tcPr>
            <w:tcW w:type="dxa" w:w="2800"/>
          </w:tcPr>
          <w:p>
            <w:pPr>
              <w:spacing w:after="0" w:line="240" w:lineRule="auto"/>
            </w:pPr>
            <w:r>
              <w:rPr>
                <w:rFonts w:ascii="Calibri" w:hAnsi="Calibri" w:eastAsia="等线"/>
                <w:b w:val="0"/>
                <w:color w:val="1F1F1F"/>
                <w:sz w:val="15"/>
              </w:rPr>
              <w:t>低负载准确但热点/尾延迟失配</w:t>
            </w:r>
          </w:p>
        </w:tc>
        <w:tc>
          <w:tcPr>
            <w:tcW w:type="dxa" w:w="3160"/>
          </w:tcPr>
          <w:p>
            <w:pPr>
              <w:spacing w:after="0" w:line="240" w:lineRule="auto"/>
            </w:pPr>
            <w:r>
              <w:rPr>
                <w:rFonts w:ascii="Calibri" w:hAnsi="Calibri" w:eastAsia="等线"/>
                <w:b w:val="0"/>
                <w:color w:val="1F1F1F"/>
                <w:sz w:val="15"/>
              </w:rPr>
              <w:t>分阶段校准；需要时替换为经验分布或高保真模型。</w:t>
            </w:r>
          </w:p>
        </w:tc>
      </w:tr>
      <w:tr>
        <w:tc>
          <w:tcPr>
            <w:tcW w:type="dxa" w:w="2200"/>
          </w:tcPr>
          <w:p>
            <w:pPr>
              <w:spacing w:after="0" w:line="240" w:lineRule="auto"/>
            </w:pPr>
            <w:r>
              <w:rPr>
                <w:rFonts w:ascii="Calibri" w:hAnsi="Calibri" w:eastAsia="等线"/>
                <w:b/>
                <w:color w:val="1F1F1F"/>
                <w:sz w:val="15"/>
              </w:rPr>
              <w:t>参数存在但未生效</w:t>
            </w:r>
          </w:p>
        </w:tc>
        <w:tc>
          <w:tcPr>
            <w:tcW w:type="dxa" w:w="1200"/>
          </w:tcPr>
          <w:p>
            <w:pPr>
              <w:spacing w:after="0" w:line="240" w:lineRule="auto"/>
            </w:pPr>
            <w:r>
              <w:rPr>
                <w:rFonts w:ascii="Calibri" w:hAnsi="Calibri" w:eastAsia="等线"/>
                <w:b w:val="0"/>
                <w:color w:val="1F1F1F"/>
                <w:sz w:val="15"/>
              </w:rPr>
              <w:t>中/高</w:t>
            </w:r>
          </w:p>
        </w:tc>
        <w:tc>
          <w:tcPr>
            <w:tcW w:type="dxa" w:w="2800"/>
          </w:tcPr>
          <w:p>
            <w:pPr>
              <w:spacing w:after="0" w:line="240" w:lineRule="auto"/>
            </w:pPr>
            <w:r>
              <w:rPr>
                <w:rFonts w:ascii="Calibri" w:hAnsi="Calibri" w:eastAsia="等线"/>
                <w:b w:val="0"/>
                <w:color w:val="1F1F1F"/>
                <w:sz w:val="15"/>
              </w:rPr>
              <w:t>改变配置KPI和内部统计均不变</w:t>
            </w:r>
          </w:p>
        </w:tc>
        <w:tc>
          <w:tcPr>
            <w:tcW w:type="dxa" w:w="3160"/>
          </w:tcPr>
          <w:p>
            <w:pPr>
              <w:spacing w:after="0" w:line="240" w:lineRule="auto"/>
            </w:pPr>
            <w:r>
              <w:rPr>
                <w:rFonts w:ascii="Calibri" w:hAnsi="Calibri" w:eastAsia="等线"/>
                <w:b w:val="0"/>
                <w:color w:val="1F1F1F"/>
                <w:sz w:val="15"/>
              </w:rPr>
              <w:t>配置消费者清单、严格未知字段、敏感度门禁。</w:t>
            </w:r>
          </w:p>
        </w:tc>
      </w:tr>
      <w:tr>
        <w:tc>
          <w:tcPr>
            <w:tcW w:type="dxa" w:w="2200"/>
          </w:tcPr>
          <w:p>
            <w:pPr>
              <w:spacing w:after="0" w:line="240" w:lineRule="auto"/>
            </w:pPr>
            <w:r>
              <w:rPr>
                <w:rFonts w:ascii="Calibri" w:hAnsi="Calibri" w:eastAsia="等线"/>
                <w:b/>
                <w:color w:val="1F1F1F"/>
                <w:sz w:val="15"/>
              </w:rPr>
              <w:t>统计不足或重复归因</w:t>
            </w:r>
          </w:p>
        </w:tc>
        <w:tc>
          <w:tcPr>
            <w:tcW w:type="dxa" w:w="1200"/>
          </w:tcPr>
          <w:p>
            <w:pPr>
              <w:spacing w:after="0" w:line="240" w:lineRule="auto"/>
            </w:pPr>
            <w:r>
              <w:rPr>
                <w:rFonts w:ascii="Calibri" w:hAnsi="Calibri" w:eastAsia="等线"/>
                <w:b w:val="0"/>
                <w:color w:val="1F1F1F"/>
                <w:sz w:val="15"/>
              </w:rPr>
              <w:t>中/高</w:t>
            </w:r>
          </w:p>
        </w:tc>
        <w:tc>
          <w:tcPr>
            <w:tcW w:type="dxa" w:w="2800"/>
          </w:tcPr>
          <w:p>
            <w:pPr>
              <w:spacing w:after="0" w:line="240" w:lineRule="auto"/>
            </w:pPr>
            <w:r>
              <w:rPr>
                <w:rFonts w:ascii="Calibri" w:hAnsi="Calibri" w:eastAsia="等线"/>
                <w:b w:val="0"/>
                <w:color w:val="1F1F1F"/>
                <w:sz w:val="15"/>
              </w:rPr>
              <w:t>stall占比&gt;100%或无法定位饱和点</w:t>
            </w:r>
          </w:p>
        </w:tc>
        <w:tc>
          <w:tcPr>
            <w:tcW w:type="dxa" w:w="3160"/>
          </w:tcPr>
          <w:p>
            <w:pPr>
              <w:spacing w:after="0" w:line="240" w:lineRule="auto"/>
            </w:pPr>
            <w:r>
              <w:rPr>
                <w:rFonts w:ascii="Calibri" w:hAnsi="Calibri" w:eastAsia="等线"/>
                <w:b w:val="0"/>
                <w:color w:val="1F1F1F"/>
                <w:sz w:val="15"/>
              </w:rPr>
              <w:t>主原因+辅助位图；分层计数和因果放宽实验。</w:t>
            </w:r>
          </w:p>
        </w:tc>
      </w:tr>
      <w:tr>
        <w:tc>
          <w:tcPr>
            <w:tcW w:type="dxa" w:w="2200"/>
          </w:tcPr>
          <w:p>
            <w:pPr>
              <w:spacing w:after="0" w:line="240" w:lineRule="auto"/>
            </w:pPr>
            <w:r>
              <w:rPr>
                <w:rFonts w:ascii="Calibri" w:hAnsi="Calibri" w:eastAsia="等线"/>
                <w:b/>
                <w:color w:val="1F1F1F"/>
                <w:sz w:val="15"/>
              </w:rPr>
              <w:t>对标数据不足</w:t>
            </w:r>
          </w:p>
        </w:tc>
        <w:tc>
          <w:tcPr>
            <w:tcW w:type="dxa" w:w="1200"/>
          </w:tcPr>
          <w:p>
            <w:pPr>
              <w:spacing w:after="0" w:line="240" w:lineRule="auto"/>
            </w:pPr>
            <w:r>
              <w:rPr>
                <w:rFonts w:ascii="Calibri" w:hAnsi="Calibri" w:eastAsia="等线"/>
                <w:b w:val="0"/>
                <w:color w:val="1F1F1F"/>
                <w:sz w:val="15"/>
              </w:rPr>
              <w:t>高/极高</w:t>
            </w:r>
          </w:p>
        </w:tc>
        <w:tc>
          <w:tcPr>
            <w:tcW w:type="dxa" w:w="2800"/>
          </w:tcPr>
          <w:p>
            <w:pPr>
              <w:spacing w:after="0" w:line="240" w:lineRule="auto"/>
            </w:pPr>
            <w:r>
              <w:rPr>
                <w:rFonts w:ascii="Calibri" w:hAnsi="Calibri" w:eastAsia="等线"/>
                <w:b w:val="0"/>
                <w:color w:val="1F1F1F"/>
                <w:sz w:val="15"/>
              </w:rPr>
              <w:t>80%只能在校准场景成立或无留出集</w:t>
            </w:r>
          </w:p>
        </w:tc>
        <w:tc>
          <w:tcPr>
            <w:tcW w:type="dxa" w:w="3160"/>
          </w:tcPr>
          <w:p>
            <w:pPr>
              <w:spacing w:after="0" w:line="240" w:lineRule="auto"/>
            </w:pPr>
            <w:r>
              <w:rPr>
                <w:rFonts w:ascii="Calibri" w:hAnsi="Calibri" w:eastAsia="等线"/>
                <w:b w:val="0"/>
                <w:color w:val="1F1F1F"/>
                <w:sz w:val="15"/>
              </w:rPr>
              <w:t>评审前确定数据Owner、参考版本和采集计划。</w:t>
            </w:r>
          </w:p>
        </w:tc>
      </w:tr>
      <w:tr>
        <w:tc>
          <w:tcPr>
            <w:tcW w:type="dxa" w:w="2200"/>
          </w:tcPr>
          <w:p>
            <w:pPr>
              <w:spacing w:after="0" w:line="240" w:lineRule="auto"/>
            </w:pPr>
            <w:r>
              <w:rPr>
                <w:rFonts w:ascii="Calibri" w:hAnsi="Calibri" w:eastAsia="等线"/>
                <w:b/>
                <w:color w:val="1F1F1F"/>
                <w:sz w:val="15"/>
              </w:rPr>
              <w:t>仿真运行成本失控</w:t>
            </w:r>
          </w:p>
        </w:tc>
        <w:tc>
          <w:tcPr>
            <w:tcW w:type="dxa" w:w="1200"/>
          </w:tcPr>
          <w:p>
            <w:pPr>
              <w:spacing w:after="0" w:line="240" w:lineRule="auto"/>
            </w:pPr>
            <w:r>
              <w:rPr>
                <w:rFonts w:ascii="Calibri" w:hAnsi="Calibri" w:eastAsia="等线"/>
                <w:b w:val="0"/>
                <w:color w:val="1F1F1F"/>
                <w:sz w:val="15"/>
              </w:rPr>
              <w:t>中/中</w:t>
            </w:r>
          </w:p>
        </w:tc>
        <w:tc>
          <w:tcPr>
            <w:tcW w:type="dxa" w:w="2800"/>
          </w:tcPr>
          <w:p>
            <w:pPr>
              <w:spacing w:after="0" w:line="240" w:lineRule="auto"/>
            </w:pPr>
            <w:r>
              <w:rPr>
                <w:rFonts w:ascii="Calibri" w:hAnsi="Calibri" w:eastAsia="等线"/>
                <w:b w:val="0"/>
                <w:color w:val="1F1F1F"/>
                <w:sz w:val="15"/>
              </w:rPr>
              <w:t>高拥塞场景事件数/内存超预算</w:t>
            </w:r>
          </w:p>
        </w:tc>
        <w:tc>
          <w:tcPr>
            <w:tcW w:type="dxa" w:w="3160"/>
          </w:tcPr>
          <w:p>
            <w:pPr>
              <w:spacing w:after="0" w:line="240" w:lineRule="auto"/>
            </w:pPr>
            <w:r>
              <w:rPr>
                <w:rFonts w:ascii="Calibri" w:hAnsi="Calibri" w:eastAsia="等线"/>
                <w:b w:val="0"/>
                <w:color w:val="1F1F1F"/>
                <w:sz w:val="15"/>
              </w:rPr>
              <w:t>事件去重、按需trace、统计采样和规模基准。</w:t>
            </w:r>
          </w:p>
        </w:tc>
      </w:tr>
    </w:tbl>
    <w:p>
      <w:pPr>
        <w:spacing w:after="0"/>
      </w:pPr>
    </w:p>
    <w:p>
      <w:pPr>
        <w:pStyle w:val="Heading2"/>
      </w:pPr>
      <w:r>
        <w:t>14.2 假设集中清单</w:t>
      </w:r>
    </w:p>
    <w:p>
      <w:pPr>
        <w:keepLines w:val="0"/>
        <w:widowControl/>
        <w:spacing w:after="120"/>
      </w:pPr>
      <w:r>
        <w:rPr>
          <w:rFonts w:ascii="Calibri" w:hAnsi="Calibri" w:eastAsia="等线"/>
          <w:color w:val="1F1F1F"/>
        </w:rPr>
        <w:t>本稿采用的保守假设包括：首版以单播读写为主；统一cycle时间基准；协议段为最小仲裁单位；双向Ring使用确定性最短路；请求、写数据和响应独立逻辑排队；三类流量默认共享每方向链路带宽；写采用Grant后发数据；Target Credit在真实Target资源结束时释放；地址跨交织边界时先分段；非法地址不回退到默认Target；错误通过终结响应闭环；正式运行的Target服务和协议开销参数必须显式给出。</w:t>
      </w:r>
    </w:p>
    <w:p>
      <w:pPr>
        <w:keepLines w:val="0"/>
        <w:widowControl/>
        <w:spacing w:after="120"/>
      </w:pPr>
      <w:r>
        <w:rPr>
          <w:rFonts w:ascii="Calibri" w:hAnsi="Calibri" w:eastAsia="等线"/>
          <w:color w:val="1F1F1F"/>
        </w:rPr>
        <w:t>这些假设共同影响吞吐上界、排序、死锁依赖和精度适用域。任何一项被评审推翻，都必须更新事务状态机、资源生命周期、参数Schema、验证矩阵和相关架构图，而不能只修改一个默认参数。</w:t>
      </w:r>
    </w:p>
    <w:p>
      <w:pPr>
        <w:pStyle w:val="Heading2"/>
      </w:pPr>
      <w:r>
        <w:t>14.3 独立反对者审查结果</w:t>
      </w:r>
    </w:p>
    <w:p>
      <w:pPr>
        <w:keepLines w:val="0"/>
        <w:widowControl/>
        <w:spacing w:after="120"/>
      </w:pPr>
      <w:r>
        <w:rPr>
          <w:rFonts w:ascii="Calibri" w:hAnsi="Calibri" w:eastAsia="等线"/>
          <w:color w:val="1F1F1F"/>
        </w:rPr>
        <w:t>初稿完成后按资深硬件架构师的反对者视角执行独立审查。下表列出问题、严重度、对方案的挑战以及修订状态。‘已纳入’表示正文已给出防护或验证要求，但仍可能需要专家提供硬件事实；‘待决议’表示没有足够输入，不能在文档中虚构结论。</w:t>
      </w:r>
    </w:p>
    <w:p>
      <w:pPr>
        <w:pStyle w:val="Heading3"/>
      </w:pPr>
      <w:r>
        <w:t>Critical</w:t>
      </w:r>
    </w:p>
    <w:tbl>
      <w:tblPr>
        <w:tblStyle w:val="TableGrid"/>
        <w:tblW w:type="dxa" w:w="9360"/>
        <w:jc w:val="left"/>
        <w:tblLayout w:type="fixed"/>
        <w:tblLook w:firstColumn="1" w:firstRow="1" w:lastColumn="0" w:lastRow="0" w:noHBand="0" w:noVBand="1" w:val="04A0"/>
        <w:tblInd w:w="120" w:type="dxa"/>
      </w:tblPr>
      <w:tblGrid>
        <w:gridCol w:w="900"/>
        <w:gridCol w:w="3600"/>
        <w:gridCol w:w="2200"/>
        <w:gridCol w:w="2660"/>
      </w:tblGrid>
      <w:tr>
        <w:trPr>
          <w:cantSplit/>
          <w:tblHeader w:val="true"/>
        </w:trPr>
        <w:tc>
          <w:tcPr>
            <w:tcW w:type="dxa" w:w="9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编号</w:t>
            </w:r>
          </w:p>
        </w:tc>
        <w:tc>
          <w:tcPr>
            <w:tcW w:type="dxa" w:w="36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问题</w:t>
            </w:r>
          </w:p>
        </w:tc>
        <w:tc>
          <w:tcPr>
            <w:tcW w:type="dxa" w:w="22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后果</w:t>
            </w:r>
          </w:p>
        </w:tc>
        <w:tc>
          <w:tcPr>
            <w:tcW w:type="dxa" w:w="266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修改建议/状态</w:t>
            </w:r>
          </w:p>
        </w:tc>
      </w:tr>
      <w:tr>
        <w:tc>
          <w:tcPr>
            <w:tcW w:type="dxa" w:w="900"/>
          </w:tcPr>
          <w:p>
            <w:pPr>
              <w:spacing w:after="0" w:line="240" w:lineRule="auto"/>
            </w:pPr>
            <w:r>
              <w:rPr>
                <w:rFonts w:ascii="Calibri" w:hAnsi="Calibri" w:eastAsia="等线"/>
                <w:b/>
                <w:color w:val="1F1F1F"/>
                <w:sz w:val="16"/>
              </w:rPr>
              <w:t>C-01</w:t>
            </w:r>
          </w:p>
        </w:tc>
        <w:tc>
          <w:tcPr>
            <w:tcW w:type="dxa" w:w="3600"/>
          </w:tcPr>
          <w:p>
            <w:pPr>
              <w:spacing w:after="0" w:line="240" w:lineRule="auto"/>
            </w:pPr>
            <w:r>
              <w:rPr>
                <w:rFonts w:ascii="Calibri" w:hAnsi="Calibri" w:eastAsia="等线"/>
                <w:b w:val="0"/>
                <w:color w:val="1F1F1F"/>
                <w:sz w:val="16"/>
              </w:rPr>
              <w:t>请求、写数据、响应的物理等效共享关系未有硬件依据。</w:t>
            </w:r>
          </w:p>
        </w:tc>
        <w:tc>
          <w:tcPr>
            <w:tcW w:type="dxa" w:w="2200"/>
          </w:tcPr>
          <w:p>
            <w:pPr>
              <w:spacing w:after="0" w:line="240" w:lineRule="auto"/>
            </w:pPr>
            <w:r>
              <w:rPr>
                <w:rFonts w:ascii="Calibri" w:hAnsi="Calibri" w:eastAsia="等线"/>
                <w:b w:val="0"/>
                <w:color w:val="1F1F1F"/>
                <w:sz w:val="16"/>
              </w:rPr>
              <w:t>可能把可用带宽扩大2–3倍，且读写互扰错误。</w:t>
            </w:r>
          </w:p>
        </w:tc>
        <w:tc>
          <w:tcPr>
            <w:tcW w:type="dxa" w:w="2660"/>
          </w:tcPr>
          <w:p>
            <w:pPr>
              <w:spacing w:after="0" w:line="240" w:lineRule="auto"/>
            </w:pPr>
            <w:r>
              <w:rPr>
                <w:rFonts w:ascii="Calibri" w:hAnsi="Calibri" w:eastAsia="等线"/>
                <w:b w:val="0"/>
                <w:color w:val="1F1F1F"/>
                <w:sz w:val="16"/>
              </w:rPr>
              <w:t>正文将逻辑分流与物理共享解耦，默认共享；列为P0待决议。</w:t>
            </w:r>
          </w:p>
        </w:tc>
      </w:tr>
      <w:tr>
        <w:tc>
          <w:tcPr>
            <w:tcW w:type="dxa" w:w="900"/>
          </w:tcPr>
          <w:p>
            <w:pPr>
              <w:spacing w:after="0" w:line="240" w:lineRule="auto"/>
            </w:pPr>
            <w:r>
              <w:rPr>
                <w:rFonts w:ascii="Calibri" w:hAnsi="Calibri" w:eastAsia="等线"/>
                <w:b/>
                <w:color w:val="1F1F1F"/>
                <w:sz w:val="16"/>
              </w:rPr>
              <w:t>C-02</w:t>
            </w:r>
          </w:p>
        </w:tc>
        <w:tc>
          <w:tcPr>
            <w:tcW w:type="dxa" w:w="3600"/>
          </w:tcPr>
          <w:p>
            <w:pPr>
              <w:spacing w:after="0" w:line="240" w:lineRule="auto"/>
            </w:pPr>
            <w:r>
              <w:rPr>
                <w:rFonts w:ascii="Calibri" w:hAnsi="Calibri" w:eastAsia="等线"/>
                <w:b w:val="0"/>
                <w:color w:val="1F1F1F"/>
                <w:sz w:val="16"/>
              </w:rPr>
              <w:t>多响应读与两阶段写的OSD/Credit释放点若不冻结，事务可能提前完成、泄漏或过释放。</w:t>
            </w:r>
          </w:p>
        </w:tc>
        <w:tc>
          <w:tcPr>
            <w:tcW w:type="dxa" w:w="2200"/>
          </w:tcPr>
          <w:p>
            <w:pPr>
              <w:spacing w:after="0" w:line="240" w:lineRule="auto"/>
            </w:pPr>
            <w:r>
              <w:rPr>
                <w:rFonts w:ascii="Calibri" w:hAnsi="Calibri" w:eastAsia="等线"/>
                <w:b w:val="0"/>
                <w:color w:val="1F1F1F"/>
                <w:sz w:val="16"/>
              </w:rPr>
              <w:t>功能错误并直接扭曲吞吐。</w:t>
            </w:r>
          </w:p>
        </w:tc>
        <w:tc>
          <w:tcPr>
            <w:tcW w:type="dxa" w:w="2660"/>
          </w:tcPr>
          <w:p>
            <w:pPr>
              <w:spacing w:after="0" w:line="240" w:lineRule="auto"/>
            </w:pPr>
            <w:r>
              <w:rPr>
                <w:rFonts w:ascii="Calibri" w:hAnsi="Calibri" w:eastAsia="等线"/>
                <w:b w:val="0"/>
                <w:color w:val="1F1F1F"/>
                <w:sz w:val="16"/>
              </w:rPr>
              <w:t>增加Expected/Received、不变量和分层释放规则；Credit真实释放点仍为P0。</w:t>
            </w:r>
          </w:p>
        </w:tc>
      </w:tr>
      <w:tr>
        <w:tc>
          <w:tcPr>
            <w:tcW w:type="dxa" w:w="900"/>
          </w:tcPr>
          <w:p>
            <w:pPr>
              <w:spacing w:after="0" w:line="240" w:lineRule="auto"/>
            </w:pPr>
            <w:r>
              <w:rPr>
                <w:rFonts w:ascii="Calibri" w:hAnsi="Calibri" w:eastAsia="等线"/>
                <w:b/>
                <w:color w:val="1F1F1F"/>
                <w:sz w:val="16"/>
              </w:rPr>
              <w:t>C-03</w:t>
            </w:r>
          </w:p>
        </w:tc>
        <w:tc>
          <w:tcPr>
            <w:tcW w:type="dxa" w:w="3600"/>
          </w:tcPr>
          <w:p>
            <w:pPr>
              <w:spacing w:after="0" w:line="240" w:lineRule="auto"/>
            </w:pPr>
            <w:r>
              <w:rPr>
                <w:rFonts w:ascii="Calibri" w:hAnsi="Calibri" w:eastAsia="等线"/>
                <w:b w:val="0"/>
                <w:color w:val="1F1F1F"/>
                <w:sz w:val="16"/>
              </w:rPr>
              <w:t>顺序域、原子/屏障和错误终结范围未定义。</w:t>
            </w:r>
          </w:p>
        </w:tc>
        <w:tc>
          <w:tcPr>
            <w:tcW w:type="dxa" w:w="2200"/>
          </w:tcPr>
          <w:p>
            <w:pPr>
              <w:spacing w:after="0" w:line="240" w:lineRule="auto"/>
            </w:pPr>
            <w:r>
              <w:rPr>
                <w:rFonts w:ascii="Calibri" w:hAnsi="Calibri" w:eastAsia="等线"/>
                <w:b w:val="0"/>
                <w:color w:val="1F1F1F"/>
                <w:sz w:val="16"/>
              </w:rPr>
              <w:t>模型结果可能不满足上层可见语义，性能也可能因错误重排被高估。</w:t>
            </w:r>
          </w:p>
        </w:tc>
        <w:tc>
          <w:tcPr>
            <w:tcW w:type="dxa" w:w="2660"/>
          </w:tcPr>
          <w:p>
            <w:pPr>
              <w:spacing w:after="0" w:line="240" w:lineRule="auto"/>
            </w:pPr>
            <w:r>
              <w:rPr>
                <w:rFonts w:ascii="Calibri" w:hAnsi="Calibri" w:eastAsia="等线"/>
                <w:b w:val="0"/>
                <w:color w:val="1F1F1F"/>
                <w:sz w:val="16"/>
              </w:rPr>
              <w:t>基线明确仅局部FIFO顺序，其他均不宣称支持；列为P0。</w:t>
            </w:r>
          </w:p>
        </w:tc>
      </w:tr>
      <w:tr>
        <w:tc>
          <w:tcPr>
            <w:tcW w:type="dxa" w:w="900"/>
          </w:tcPr>
          <w:p>
            <w:pPr>
              <w:spacing w:after="0" w:line="240" w:lineRule="auto"/>
            </w:pPr>
            <w:r>
              <w:rPr>
                <w:rFonts w:ascii="Calibri" w:hAnsi="Calibri" w:eastAsia="等线"/>
                <w:b/>
                <w:color w:val="1F1F1F"/>
                <w:sz w:val="16"/>
              </w:rPr>
              <w:t>C-04</w:t>
            </w:r>
          </w:p>
        </w:tc>
        <w:tc>
          <w:tcPr>
            <w:tcW w:type="dxa" w:w="3600"/>
          </w:tcPr>
          <w:p>
            <w:pPr>
              <w:spacing w:after="0" w:line="240" w:lineRule="auto"/>
            </w:pPr>
            <w:r>
              <w:rPr>
                <w:rFonts w:ascii="Calibri" w:hAnsi="Calibri" w:eastAsia="等线"/>
                <w:b w:val="0"/>
                <w:color w:val="1F1F1F"/>
                <w:sz w:val="16"/>
              </w:rPr>
              <w:t>80%目标尚无参考平台、场景权重和留出集。</w:t>
            </w:r>
          </w:p>
        </w:tc>
        <w:tc>
          <w:tcPr>
            <w:tcW w:type="dxa" w:w="2200"/>
          </w:tcPr>
          <w:p>
            <w:pPr>
              <w:spacing w:after="0" w:line="240" w:lineRule="auto"/>
            </w:pPr>
            <w:r>
              <w:rPr>
                <w:rFonts w:ascii="Calibri" w:hAnsi="Calibri" w:eastAsia="等线"/>
                <w:b w:val="0"/>
                <w:color w:val="1F1F1F"/>
                <w:sz w:val="16"/>
              </w:rPr>
              <w:t>目标不可证实，任何准确度声明均不成立。</w:t>
            </w:r>
          </w:p>
        </w:tc>
        <w:tc>
          <w:tcPr>
            <w:tcW w:type="dxa" w:w="2660"/>
          </w:tcPr>
          <w:p>
            <w:pPr>
              <w:spacing w:after="0" w:line="240" w:lineRule="auto"/>
            </w:pPr>
            <w:r>
              <w:rPr>
                <w:rFonts w:ascii="Calibri" w:hAnsi="Calibri" w:eastAsia="等线"/>
                <w:b w:val="0"/>
                <w:color w:val="1F1F1F"/>
                <w:sz w:val="16"/>
              </w:rPr>
              <w:t>建立量化评分与校准流程；参考Owner和数据计划仍为P0。</w:t>
            </w:r>
          </w:p>
        </w:tc>
      </w:tr>
    </w:tbl>
    <w:p>
      <w:pPr>
        <w:spacing w:after="0"/>
      </w:pPr>
    </w:p>
    <w:p>
      <w:pPr>
        <w:pStyle w:val="Heading3"/>
      </w:pPr>
      <w:r>
        <w:t>Major</w:t>
      </w:r>
    </w:p>
    <w:tbl>
      <w:tblPr>
        <w:tblStyle w:val="TableGrid"/>
        <w:tblW w:type="dxa" w:w="9360"/>
        <w:jc w:val="left"/>
        <w:tblLayout w:type="fixed"/>
        <w:tblLook w:firstColumn="1" w:firstRow="1" w:lastColumn="0" w:lastRow="0" w:noHBand="0" w:noVBand="1" w:val="04A0"/>
        <w:tblInd w:w="120" w:type="dxa"/>
      </w:tblPr>
      <w:tblGrid>
        <w:gridCol w:w="900"/>
        <w:gridCol w:w="3600"/>
        <w:gridCol w:w="2200"/>
        <w:gridCol w:w="2660"/>
      </w:tblGrid>
      <w:tr>
        <w:trPr>
          <w:cantSplit/>
          <w:tblHeader w:val="true"/>
        </w:trPr>
        <w:tc>
          <w:tcPr>
            <w:tcW w:type="dxa" w:w="90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编号</w:t>
            </w:r>
          </w:p>
        </w:tc>
        <w:tc>
          <w:tcPr>
            <w:tcW w:type="dxa" w:w="360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问题</w:t>
            </w:r>
          </w:p>
        </w:tc>
        <w:tc>
          <w:tcPr>
            <w:tcW w:type="dxa" w:w="220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后果</w:t>
            </w:r>
          </w:p>
        </w:tc>
        <w:tc>
          <w:tcPr>
            <w:tcW w:type="dxa" w:w="266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修改建议/状态</w:t>
            </w:r>
          </w:p>
        </w:tc>
      </w:tr>
      <w:tr>
        <w:tc>
          <w:tcPr>
            <w:tcW w:type="dxa" w:w="900"/>
          </w:tcPr>
          <w:p>
            <w:pPr>
              <w:spacing w:after="0" w:line="240" w:lineRule="auto"/>
            </w:pPr>
            <w:r>
              <w:rPr>
                <w:rFonts w:ascii="Calibri" w:hAnsi="Calibri" w:eastAsia="等线"/>
                <w:b/>
                <w:color w:val="1F1F1F"/>
                <w:sz w:val="15"/>
              </w:rPr>
              <w:t>M-01</w:t>
            </w:r>
          </w:p>
        </w:tc>
        <w:tc>
          <w:tcPr>
            <w:tcW w:type="dxa" w:w="3600"/>
          </w:tcPr>
          <w:p>
            <w:pPr>
              <w:spacing w:after="0" w:line="240" w:lineRule="auto"/>
            </w:pPr>
            <w:r>
              <w:rPr>
                <w:rFonts w:ascii="Calibri" w:hAnsi="Calibri" w:eastAsia="等线"/>
                <w:b w:val="0"/>
                <w:color w:val="1F1F1F"/>
                <w:sz w:val="15"/>
              </w:rPr>
              <w:t>输出端winner若受事件调用顺序决定，不是明确仲裁。</w:t>
            </w:r>
          </w:p>
        </w:tc>
        <w:tc>
          <w:tcPr>
            <w:tcW w:type="dxa" w:w="2200"/>
          </w:tcPr>
          <w:p>
            <w:pPr>
              <w:spacing w:after="0" w:line="240" w:lineRule="auto"/>
            </w:pPr>
            <w:r>
              <w:rPr>
                <w:rFonts w:ascii="Calibri" w:hAnsi="Calibri" w:eastAsia="等线"/>
                <w:b w:val="0"/>
                <w:color w:val="1F1F1F"/>
                <w:sz w:val="15"/>
              </w:rPr>
              <w:t>多核竞争存在但公平性不可复现。</w:t>
            </w:r>
          </w:p>
        </w:tc>
        <w:tc>
          <w:tcPr>
            <w:tcW w:type="dxa" w:w="2660"/>
          </w:tcPr>
          <w:p>
            <w:pPr>
              <w:spacing w:after="0" w:line="240" w:lineRule="auto"/>
            </w:pPr>
            <w:r>
              <w:rPr>
                <w:rFonts w:ascii="Calibri" w:hAnsi="Calibri" w:eastAsia="等线"/>
                <w:b w:val="0"/>
                <w:color w:val="1F1F1F"/>
                <w:sz w:val="15"/>
              </w:rPr>
              <w:t>规定候选收集、原子提交和RR+年龄机制；详细设计必须落地。</w:t>
            </w:r>
          </w:p>
        </w:tc>
      </w:tr>
      <w:tr>
        <w:tc>
          <w:tcPr>
            <w:tcW w:type="dxa" w:w="900"/>
          </w:tcPr>
          <w:p>
            <w:pPr>
              <w:spacing w:after="0" w:line="240" w:lineRule="auto"/>
            </w:pPr>
            <w:r>
              <w:rPr>
                <w:rFonts w:ascii="Calibri" w:hAnsi="Calibri" w:eastAsia="等线"/>
                <w:b/>
                <w:color w:val="1F1F1F"/>
                <w:sz w:val="15"/>
              </w:rPr>
              <w:t>M-02</w:t>
            </w:r>
          </w:p>
        </w:tc>
        <w:tc>
          <w:tcPr>
            <w:tcW w:type="dxa" w:w="3600"/>
          </w:tcPr>
          <w:p>
            <w:pPr>
              <w:spacing w:after="0" w:line="240" w:lineRule="auto"/>
            </w:pPr>
            <w:r>
              <w:rPr>
                <w:rFonts w:ascii="Calibri" w:hAnsi="Calibri" w:eastAsia="等线"/>
                <w:b w:val="0"/>
                <w:color w:val="1F1F1F"/>
                <w:sz w:val="15"/>
              </w:rPr>
              <w:t>响应流量可能被请求/写数据占满共享资源。</w:t>
            </w:r>
          </w:p>
        </w:tc>
        <w:tc>
          <w:tcPr>
            <w:tcW w:type="dxa" w:w="2200"/>
          </w:tcPr>
          <w:p>
            <w:pPr>
              <w:spacing w:after="0" w:line="240" w:lineRule="auto"/>
            </w:pPr>
            <w:r>
              <w:rPr>
                <w:rFonts w:ascii="Calibri" w:hAnsi="Calibri" w:eastAsia="等线"/>
                <w:b w:val="0"/>
                <w:color w:val="1F1F1F"/>
                <w:sz w:val="15"/>
              </w:rPr>
              <w:t>形成协议依赖死锁或极端尾延迟。</w:t>
            </w:r>
          </w:p>
        </w:tc>
        <w:tc>
          <w:tcPr>
            <w:tcW w:type="dxa" w:w="2660"/>
          </w:tcPr>
          <w:p>
            <w:pPr>
              <w:spacing w:after="0" w:line="240" w:lineRule="auto"/>
            </w:pPr>
            <w:r>
              <w:rPr>
                <w:rFonts w:ascii="Calibri" w:hAnsi="Calibri" w:eastAsia="等线"/>
                <w:b w:val="0"/>
                <w:color w:val="1F1F1F"/>
                <w:sz w:val="15"/>
              </w:rPr>
              <w:t>独立逻辑队列、响应进度份额和等待图检查已纳入。</w:t>
            </w:r>
          </w:p>
        </w:tc>
      </w:tr>
      <w:tr>
        <w:tc>
          <w:tcPr>
            <w:tcW w:type="dxa" w:w="900"/>
          </w:tcPr>
          <w:p>
            <w:pPr>
              <w:spacing w:after="0" w:line="240" w:lineRule="auto"/>
            </w:pPr>
            <w:r>
              <w:rPr>
                <w:rFonts w:ascii="Calibri" w:hAnsi="Calibri" w:eastAsia="等线"/>
                <w:b/>
                <w:color w:val="1F1F1F"/>
                <w:sz w:val="15"/>
              </w:rPr>
              <w:t>M-03</w:t>
            </w:r>
          </w:p>
        </w:tc>
        <w:tc>
          <w:tcPr>
            <w:tcW w:type="dxa" w:w="3600"/>
          </w:tcPr>
          <w:p>
            <w:pPr>
              <w:spacing w:after="0" w:line="240" w:lineRule="auto"/>
            </w:pPr>
            <w:r>
              <w:rPr>
                <w:rFonts w:ascii="Calibri" w:hAnsi="Calibri" w:eastAsia="等线"/>
                <w:b w:val="0"/>
                <w:color w:val="1F1F1F"/>
                <w:sz w:val="15"/>
              </w:rPr>
              <w:t>写Grant后无数据、部分数据或错误缺少闭环。</w:t>
            </w:r>
          </w:p>
        </w:tc>
        <w:tc>
          <w:tcPr>
            <w:tcW w:type="dxa" w:w="2200"/>
          </w:tcPr>
          <w:p>
            <w:pPr>
              <w:spacing w:after="0" w:line="240" w:lineRule="auto"/>
            </w:pPr>
            <w:r>
              <w:rPr>
                <w:rFonts w:ascii="Calibri" w:hAnsi="Calibri" w:eastAsia="等线"/>
                <w:b w:val="0"/>
                <w:color w:val="1F1F1F"/>
                <w:sz w:val="15"/>
              </w:rPr>
              <w:t>Target上下文和Credit永久占用。</w:t>
            </w:r>
          </w:p>
        </w:tc>
        <w:tc>
          <w:tcPr>
            <w:tcW w:type="dxa" w:w="2660"/>
          </w:tcPr>
          <w:p>
            <w:pPr>
              <w:spacing w:after="0" w:line="240" w:lineRule="auto"/>
            </w:pPr>
            <w:r>
              <w:rPr>
                <w:rFonts w:ascii="Calibri" w:hAnsi="Calibri" w:eastAsia="等线"/>
                <w:b w:val="0"/>
                <w:color w:val="1F1F1F"/>
                <w:sz w:val="15"/>
              </w:rPr>
              <w:t>增加DataBeat、超时/错误终结和排空要求；超时数值待协议确认。</w:t>
            </w:r>
          </w:p>
        </w:tc>
      </w:tr>
      <w:tr>
        <w:tc>
          <w:tcPr>
            <w:tcW w:type="dxa" w:w="900"/>
          </w:tcPr>
          <w:p>
            <w:pPr>
              <w:spacing w:after="0" w:line="240" w:lineRule="auto"/>
            </w:pPr>
            <w:r>
              <w:rPr>
                <w:rFonts w:ascii="Calibri" w:hAnsi="Calibri" w:eastAsia="等线"/>
                <w:b/>
                <w:color w:val="1F1F1F"/>
                <w:sz w:val="15"/>
              </w:rPr>
              <w:t>M-04</w:t>
            </w:r>
          </w:p>
        </w:tc>
        <w:tc>
          <w:tcPr>
            <w:tcW w:type="dxa" w:w="3600"/>
          </w:tcPr>
          <w:p>
            <w:pPr>
              <w:spacing w:after="0" w:line="240" w:lineRule="auto"/>
            </w:pPr>
            <w:r>
              <w:rPr>
                <w:rFonts w:ascii="Calibri" w:hAnsi="Calibri" w:eastAsia="等线"/>
                <w:b w:val="0"/>
                <w:color w:val="1F1F1F"/>
                <w:sz w:val="15"/>
              </w:rPr>
              <w:t>固定延迟、hop惩罚和序列化可能重复记账。</w:t>
            </w:r>
          </w:p>
        </w:tc>
        <w:tc>
          <w:tcPr>
            <w:tcW w:type="dxa" w:w="2200"/>
          </w:tcPr>
          <w:p>
            <w:pPr>
              <w:spacing w:after="0" w:line="240" w:lineRule="auto"/>
            </w:pPr>
            <w:r>
              <w:rPr>
                <w:rFonts w:ascii="Calibri" w:hAnsi="Calibri" w:eastAsia="等线"/>
                <w:b w:val="0"/>
                <w:color w:val="1F1F1F"/>
                <w:sz w:val="15"/>
              </w:rPr>
              <w:t>零负载和峰值同时失真，无法校准。</w:t>
            </w:r>
          </w:p>
        </w:tc>
        <w:tc>
          <w:tcPr>
            <w:tcW w:type="dxa" w:w="2660"/>
          </w:tcPr>
          <w:p>
            <w:pPr>
              <w:spacing w:after="0" w:line="240" w:lineRule="auto"/>
            </w:pPr>
            <w:r>
              <w:rPr>
                <w:rFonts w:ascii="Calibri" w:hAnsi="Calibri" w:eastAsia="等线"/>
                <w:b w:val="0"/>
                <w:color w:val="1F1F1F"/>
                <w:sz w:val="15"/>
              </w:rPr>
              <w:t>增加唯一记账矩阵和分阶段校准顺序。</w:t>
            </w:r>
          </w:p>
        </w:tc>
      </w:tr>
      <w:tr>
        <w:tc>
          <w:tcPr>
            <w:tcW w:type="dxa" w:w="900"/>
          </w:tcPr>
          <w:p>
            <w:pPr>
              <w:spacing w:after="0" w:line="240" w:lineRule="auto"/>
            </w:pPr>
            <w:r>
              <w:rPr>
                <w:rFonts w:ascii="Calibri" w:hAnsi="Calibri" w:eastAsia="等线"/>
                <w:b/>
                <w:color w:val="1F1F1F"/>
                <w:sz w:val="15"/>
              </w:rPr>
              <w:t>M-05</w:t>
            </w:r>
          </w:p>
        </w:tc>
        <w:tc>
          <w:tcPr>
            <w:tcW w:type="dxa" w:w="3600"/>
          </w:tcPr>
          <w:p>
            <w:pPr>
              <w:spacing w:after="0" w:line="240" w:lineRule="auto"/>
            </w:pPr>
            <w:r>
              <w:rPr>
                <w:rFonts w:ascii="Calibri" w:hAnsi="Calibri" w:eastAsia="等线"/>
                <w:b w:val="0"/>
                <w:color w:val="1F1F1F"/>
                <w:sz w:val="15"/>
              </w:rPr>
              <w:t>仅有全局统计无法证明热点和主瓶颈。</w:t>
            </w:r>
          </w:p>
        </w:tc>
        <w:tc>
          <w:tcPr>
            <w:tcW w:type="dxa" w:w="2200"/>
          </w:tcPr>
          <w:p>
            <w:pPr>
              <w:spacing w:after="0" w:line="240" w:lineRule="auto"/>
            </w:pPr>
            <w:r>
              <w:rPr>
                <w:rFonts w:ascii="Calibri" w:hAnsi="Calibri" w:eastAsia="等线"/>
                <w:b w:val="0"/>
                <w:color w:val="1F1F1F"/>
                <w:sz w:val="15"/>
              </w:rPr>
              <w:t>性能结果不可解释，参数调整可能误导。</w:t>
            </w:r>
          </w:p>
        </w:tc>
        <w:tc>
          <w:tcPr>
            <w:tcW w:type="dxa" w:w="2660"/>
          </w:tcPr>
          <w:p>
            <w:pPr>
              <w:spacing w:after="0" w:line="240" w:lineRule="auto"/>
            </w:pPr>
            <w:r>
              <w:rPr>
                <w:rFonts w:ascii="Calibri" w:hAnsi="Calibri" w:eastAsia="等线"/>
                <w:b w:val="0"/>
                <w:color w:val="1F1F1F"/>
                <w:sz w:val="15"/>
              </w:rPr>
              <w:t>增加每Master/输出/Link/Target/Traffic Class统计和主阻塞原因。</w:t>
            </w:r>
          </w:p>
        </w:tc>
      </w:tr>
      <w:tr>
        <w:tc>
          <w:tcPr>
            <w:tcW w:type="dxa" w:w="900"/>
          </w:tcPr>
          <w:p>
            <w:pPr>
              <w:spacing w:after="0" w:line="240" w:lineRule="auto"/>
            </w:pPr>
            <w:r>
              <w:rPr>
                <w:rFonts w:ascii="Calibri" w:hAnsi="Calibri" w:eastAsia="等线"/>
                <w:b/>
                <w:color w:val="1F1F1F"/>
                <w:sz w:val="15"/>
              </w:rPr>
              <w:t>M-06</w:t>
            </w:r>
          </w:p>
        </w:tc>
        <w:tc>
          <w:tcPr>
            <w:tcW w:type="dxa" w:w="3600"/>
          </w:tcPr>
          <w:p>
            <w:pPr>
              <w:spacing w:after="0" w:line="240" w:lineRule="auto"/>
            </w:pPr>
            <w:r>
              <w:rPr>
                <w:rFonts w:ascii="Calibri" w:hAnsi="Calibri" w:eastAsia="等线"/>
                <w:b w:val="0"/>
                <w:color w:val="1F1F1F"/>
                <w:sz w:val="15"/>
              </w:rPr>
              <w:t>配置参数可能被解析但未连接到状态机。</w:t>
            </w:r>
          </w:p>
        </w:tc>
        <w:tc>
          <w:tcPr>
            <w:tcW w:type="dxa" w:w="2200"/>
          </w:tcPr>
          <w:p>
            <w:pPr>
              <w:spacing w:after="0" w:line="240" w:lineRule="auto"/>
            </w:pPr>
            <w:r>
              <w:rPr>
                <w:rFonts w:ascii="Calibri" w:hAnsi="Calibri" w:eastAsia="等线"/>
                <w:b w:val="0"/>
                <w:color w:val="1F1F1F"/>
                <w:sz w:val="15"/>
              </w:rPr>
              <w:t>看似可配置，实际无性能影响。</w:t>
            </w:r>
          </w:p>
        </w:tc>
        <w:tc>
          <w:tcPr>
            <w:tcW w:type="dxa" w:w="2660"/>
          </w:tcPr>
          <w:p>
            <w:pPr>
              <w:spacing w:after="0" w:line="240" w:lineRule="auto"/>
            </w:pPr>
            <w:r>
              <w:rPr>
                <w:rFonts w:ascii="Calibri" w:hAnsi="Calibri" w:eastAsia="等线"/>
                <w:b w:val="0"/>
                <w:color w:val="1F1F1F"/>
                <w:sz w:val="15"/>
              </w:rPr>
              <w:t>增加消费者清单、配置指纹和单参数敏感度门禁。</w:t>
            </w:r>
          </w:p>
        </w:tc>
      </w:tr>
      <w:tr>
        <w:tc>
          <w:tcPr>
            <w:tcW w:type="dxa" w:w="900"/>
          </w:tcPr>
          <w:p>
            <w:pPr>
              <w:spacing w:after="0" w:line="240" w:lineRule="auto"/>
            </w:pPr>
            <w:r>
              <w:rPr>
                <w:rFonts w:ascii="Calibri" w:hAnsi="Calibri" w:eastAsia="等线"/>
                <w:b/>
                <w:color w:val="1F1F1F"/>
                <w:sz w:val="15"/>
              </w:rPr>
              <w:t>M-07</w:t>
            </w:r>
          </w:p>
        </w:tc>
        <w:tc>
          <w:tcPr>
            <w:tcW w:type="dxa" w:w="3600"/>
          </w:tcPr>
          <w:p>
            <w:pPr>
              <w:spacing w:after="0" w:line="240" w:lineRule="auto"/>
            </w:pPr>
            <w:r>
              <w:rPr>
                <w:rFonts w:ascii="Calibri" w:hAnsi="Calibri" w:eastAsia="等线"/>
                <w:b w:val="0"/>
                <w:color w:val="1F1F1F"/>
                <w:sz w:val="15"/>
              </w:rPr>
              <w:t>Target只用固定延迟可能无法覆盖DDR尾延迟和Bank冲突。</w:t>
            </w:r>
          </w:p>
        </w:tc>
        <w:tc>
          <w:tcPr>
            <w:tcW w:type="dxa" w:w="2200"/>
          </w:tcPr>
          <w:p>
            <w:pPr>
              <w:spacing w:after="0" w:line="240" w:lineRule="auto"/>
            </w:pPr>
            <w:r>
              <w:rPr>
                <w:rFonts w:ascii="Calibri" w:hAnsi="Calibri" w:eastAsia="等线"/>
                <w:b w:val="0"/>
                <w:color w:val="1F1F1F"/>
                <w:sz w:val="15"/>
              </w:rPr>
              <w:t>热点与混合流量误差超出预算。</w:t>
            </w:r>
          </w:p>
        </w:tc>
        <w:tc>
          <w:tcPr>
            <w:tcW w:type="dxa" w:w="2660"/>
          </w:tcPr>
          <w:p>
            <w:pPr>
              <w:spacing w:after="0" w:line="240" w:lineRule="auto"/>
            </w:pPr>
            <w:r>
              <w:rPr>
                <w:rFonts w:ascii="Calibri" w:hAnsi="Calibri" w:eastAsia="等线"/>
                <w:b w:val="0"/>
                <w:color w:val="1F1F1F"/>
                <w:sz w:val="15"/>
              </w:rPr>
              <w:t>Target接口支持分布/Bank扩展，以对标证据决定是否启用。</w:t>
            </w:r>
          </w:p>
        </w:tc>
      </w:tr>
      <w:tr>
        <w:tc>
          <w:tcPr>
            <w:tcW w:type="dxa" w:w="900"/>
          </w:tcPr>
          <w:p>
            <w:pPr>
              <w:spacing w:after="0" w:line="240" w:lineRule="auto"/>
            </w:pPr>
            <w:r>
              <w:rPr>
                <w:rFonts w:ascii="Calibri" w:hAnsi="Calibri" w:eastAsia="等线"/>
                <w:b/>
                <w:color w:val="1F1F1F"/>
                <w:sz w:val="15"/>
              </w:rPr>
              <w:t>M-08</w:t>
            </w:r>
          </w:p>
        </w:tc>
        <w:tc>
          <w:tcPr>
            <w:tcW w:type="dxa" w:w="3600"/>
          </w:tcPr>
          <w:p>
            <w:pPr>
              <w:spacing w:after="0" w:line="240" w:lineRule="auto"/>
            </w:pPr>
            <w:r>
              <w:rPr>
                <w:rFonts w:ascii="Calibri" w:hAnsi="Calibri" w:eastAsia="等线"/>
                <w:b w:val="0"/>
                <w:color w:val="1F1F1F"/>
                <w:sz w:val="15"/>
              </w:rPr>
              <w:t>下游恢复若未产生唤醒事件，持续vld包可能永久滞留。</w:t>
            </w:r>
          </w:p>
        </w:tc>
        <w:tc>
          <w:tcPr>
            <w:tcW w:type="dxa" w:w="2200"/>
          </w:tcPr>
          <w:p>
            <w:pPr>
              <w:spacing w:after="0" w:line="240" w:lineRule="auto"/>
            </w:pPr>
            <w:r>
              <w:rPr>
                <w:rFonts w:ascii="Calibri" w:hAnsi="Calibri" w:eastAsia="等线"/>
                <w:b w:val="0"/>
                <w:color w:val="1F1F1F"/>
                <w:sz w:val="15"/>
              </w:rPr>
              <w:t>非协议死锁，仿真无法排空。</w:t>
            </w:r>
          </w:p>
        </w:tc>
        <w:tc>
          <w:tcPr>
            <w:tcW w:type="dxa" w:w="2660"/>
          </w:tcPr>
          <w:p>
            <w:pPr>
              <w:spacing w:after="0" w:line="240" w:lineRule="auto"/>
            </w:pPr>
            <w:r>
              <w:rPr>
                <w:rFonts w:ascii="Calibri" w:hAnsi="Calibri" w:eastAsia="等线"/>
                <w:b w:val="0"/>
                <w:color w:val="1F1F1F"/>
                <w:sz w:val="15"/>
              </w:rPr>
              <w:t>明确所有ready/Credit/时间窗变化触发重评估，并加入恢复有界性验证。</w:t>
            </w:r>
          </w:p>
        </w:tc>
      </w:tr>
    </w:tbl>
    <w:p>
      <w:pPr>
        <w:spacing w:after="0"/>
      </w:pPr>
    </w:p>
    <w:p>
      <w:pPr>
        <w:pStyle w:val="Heading3"/>
      </w:pPr>
      <w:r>
        <w:t>Minor</w:t>
      </w:r>
    </w:p>
    <w:tbl>
      <w:tblPr>
        <w:tblStyle w:val="TableGrid"/>
        <w:tblW w:type="dxa" w:w="9360"/>
        <w:jc w:val="left"/>
        <w:tblLayout w:type="fixed"/>
        <w:tblLook w:firstColumn="1" w:firstRow="1" w:lastColumn="0" w:lastRow="0" w:noHBand="0" w:noVBand="1" w:val="04A0"/>
        <w:tblInd w:w="120" w:type="dxa"/>
      </w:tblPr>
      <w:tblGrid>
        <w:gridCol w:w="1000"/>
        <w:gridCol w:w="4100"/>
        <w:gridCol w:w="4260"/>
      </w:tblGrid>
      <w:tr>
        <w:trPr>
          <w:cantSplit/>
          <w:tblHeader w:val="true"/>
        </w:trPr>
        <w:tc>
          <w:tcPr>
            <w:tcW w:type="dxa" w:w="10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编号</w:t>
            </w:r>
          </w:p>
        </w:tc>
        <w:tc>
          <w:tcPr>
            <w:tcW w:type="dxa" w:w="410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问题</w:t>
            </w:r>
          </w:p>
        </w:tc>
        <w:tc>
          <w:tcPr>
            <w:tcW w:type="dxa" w:w="4260"/>
            <w:tcMar>
              <w:top w:w="80" w:type="dxa"/>
              <w:start w:w="120" w:type="dxa"/>
              <w:bottom w:w="80" w:type="dxa"/>
              <w:end w:w="120" w:type="dxa"/>
            </w:tcMar>
            <w:vAlign w:val="center"/>
            <w:shd w:fill="F2F4F7"/>
          </w:tcPr>
          <w:p>
            <w:pPr>
              <w:spacing w:after="0"/>
              <w:jc w:val="left"/>
            </w:pPr>
            <w:r>
              <w:rPr>
                <w:rFonts w:ascii="Calibri" w:hAnsi="Calibri" w:eastAsia="等线"/>
                <w:b/>
                <w:color w:val="1F4E79"/>
                <w:sz w:val="16"/>
              </w:rPr>
              <w:t>修改建议/状态</w:t>
            </w:r>
          </w:p>
        </w:tc>
      </w:tr>
      <w:tr>
        <w:tc>
          <w:tcPr>
            <w:tcW w:type="dxa" w:w="1000"/>
          </w:tcPr>
          <w:p>
            <w:pPr>
              <w:spacing w:after="0" w:line="240" w:lineRule="auto"/>
            </w:pPr>
            <w:r>
              <w:rPr>
                <w:rFonts w:ascii="Calibri" w:hAnsi="Calibri" w:eastAsia="等线"/>
                <w:b/>
                <w:color w:val="1F1F1F"/>
                <w:sz w:val="16"/>
              </w:rPr>
              <w:t>m-01</w:t>
            </w:r>
          </w:p>
        </w:tc>
        <w:tc>
          <w:tcPr>
            <w:tcW w:type="dxa" w:w="4100"/>
          </w:tcPr>
          <w:p>
            <w:pPr>
              <w:spacing w:after="0" w:line="240" w:lineRule="auto"/>
            </w:pPr>
            <w:r>
              <w:rPr>
                <w:rFonts w:ascii="Calibri" w:hAnsi="Calibri" w:eastAsia="等线"/>
                <w:b w:val="0"/>
                <w:color w:val="1F1F1F"/>
                <w:sz w:val="16"/>
              </w:rPr>
              <w:t>未对齐和跨交织边界请求可能被隐式送往单一Target。</w:t>
            </w:r>
          </w:p>
        </w:tc>
        <w:tc>
          <w:tcPr>
            <w:tcW w:type="dxa" w:w="4260"/>
          </w:tcPr>
          <w:p>
            <w:pPr>
              <w:spacing w:after="0" w:line="240" w:lineRule="auto"/>
            </w:pPr>
            <w:r>
              <w:rPr>
                <w:rFonts w:ascii="Calibri" w:hAnsi="Calibri" w:eastAsia="等线"/>
                <w:b w:val="0"/>
                <w:color w:val="1F1F1F"/>
                <w:sz w:val="16"/>
              </w:rPr>
              <w:t>规定源端分段和父事务聚合，并加入边界验证。</w:t>
            </w:r>
          </w:p>
        </w:tc>
      </w:tr>
      <w:tr>
        <w:tc>
          <w:tcPr>
            <w:tcW w:type="dxa" w:w="1000"/>
          </w:tcPr>
          <w:p>
            <w:pPr>
              <w:spacing w:after="0" w:line="240" w:lineRule="auto"/>
            </w:pPr>
            <w:r>
              <w:rPr>
                <w:rFonts w:ascii="Calibri" w:hAnsi="Calibri" w:eastAsia="等线"/>
                <w:b/>
                <w:color w:val="1F1F1F"/>
                <w:sz w:val="16"/>
              </w:rPr>
              <w:t>m-02</w:t>
            </w:r>
          </w:p>
        </w:tc>
        <w:tc>
          <w:tcPr>
            <w:tcW w:type="dxa" w:w="4100"/>
          </w:tcPr>
          <w:p>
            <w:pPr>
              <w:spacing w:after="0" w:line="240" w:lineRule="auto"/>
            </w:pPr>
            <w:r>
              <w:rPr>
                <w:rFonts w:ascii="Calibri" w:hAnsi="Calibri" w:eastAsia="等线"/>
                <w:b w:val="0"/>
                <w:color w:val="1F1F1F"/>
                <w:sz w:val="16"/>
              </w:rPr>
              <w:t>等距固定方向会形成可重复但非真实的方向偏置。</w:t>
            </w:r>
          </w:p>
        </w:tc>
        <w:tc>
          <w:tcPr>
            <w:tcW w:type="dxa" w:w="4260"/>
          </w:tcPr>
          <w:p>
            <w:pPr>
              <w:spacing w:after="0" w:line="240" w:lineRule="auto"/>
            </w:pPr>
            <w:r>
              <w:rPr>
                <w:rFonts w:ascii="Calibri" w:hAnsi="Calibri" w:eastAsia="等线"/>
                <w:b w:val="0"/>
                <w:color w:val="1F1F1F"/>
                <w:sz w:val="16"/>
              </w:rPr>
              <w:t>默认使用TxnKey稳定散列，保留固定方向对照。</w:t>
            </w:r>
          </w:p>
        </w:tc>
      </w:tr>
      <w:tr>
        <w:tc>
          <w:tcPr>
            <w:tcW w:type="dxa" w:w="1000"/>
          </w:tcPr>
          <w:p>
            <w:pPr>
              <w:spacing w:after="0" w:line="240" w:lineRule="auto"/>
            </w:pPr>
            <w:r>
              <w:rPr>
                <w:rFonts w:ascii="Calibri" w:hAnsi="Calibri" w:eastAsia="等线"/>
                <w:b/>
                <w:color w:val="1F1F1F"/>
                <w:sz w:val="16"/>
              </w:rPr>
              <w:t>m-03</w:t>
            </w:r>
          </w:p>
        </w:tc>
        <w:tc>
          <w:tcPr>
            <w:tcW w:type="dxa" w:w="4100"/>
          </w:tcPr>
          <w:p>
            <w:pPr>
              <w:spacing w:after="0" w:line="240" w:lineRule="auto"/>
            </w:pPr>
            <w:r>
              <w:rPr>
                <w:rFonts w:ascii="Calibri" w:hAnsi="Calibri" w:eastAsia="等线"/>
                <w:b w:val="0"/>
                <w:color w:val="1F1F1F"/>
                <w:sz w:val="16"/>
              </w:rPr>
              <w:t>阻塞次数与阻塞周期可能混用。</w:t>
            </w:r>
          </w:p>
        </w:tc>
        <w:tc>
          <w:tcPr>
            <w:tcW w:type="dxa" w:w="4260"/>
          </w:tcPr>
          <w:p>
            <w:pPr>
              <w:spacing w:after="0" w:line="240" w:lineRule="auto"/>
            </w:pPr>
            <w:r>
              <w:rPr>
                <w:rFonts w:ascii="Calibri" w:hAnsi="Calibri" w:eastAsia="等线"/>
                <w:b w:val="0"/>
                <w:color w:val="1F1F1F"/>
                <w:sz w:val="16"/>
              </w:rPr>
              <w:t>分别统计事件数、持续周期和队头等待，报告中标注口径。</w:t>
            </w:r>
          </w:p>
        </w:tc>
      </w:tr>
      <w:tr>
        <w:tc>
          <w:tcPr>
            <w:tcW w:type="dxa" w:w="1000"/>
          </w:tcPr>
          <w:p>
            <w:pPr>
              <w:spacing w:after="0" w:line="240" w:lineRule="auto"/>
            </w:pPr>
            <w:r>
              <w:rPr>
                <w:rFonts w:ascii="Calibri" w:hAnsi="Calibri" w:eastAsia="等线"/>
                <w:b/>
                <w:color w:val="1F1F1F"/>
                <w:sz w:val="16"/>
              </w:rPr>
              <w:t>m-04</w:t>
            </w:r>
          </w:p>
        </w:tc>
        <w:tc>
          <w:tcPr>
            <w:tcW w:type="dxa" w:w="4100"/>
          </w:tcPr>
          <w:p>
            <w:pPr>
              <w:spacing w:after="0" w:line="240" w:lineRule="auto"/>
            </w:pPr>
            <w:r>
              <w:rPr>
                <w:rFonts w:ascii="Calibri" w:hAnsi="Calibri" w:eastAsia="等线"/>
                <w:b w:val="0"/>
                <w:color w:val="1F1F1F"/>
                <w:sz w:val="16"/>
              </w:rPr>
              <w:t>预热和测量窗口不一致会污染对标。</w:t>
            </w:r>
          </w:p>
        </w:tc>
        <w:tc>
          <w:tcPr>
            <w:tcW w:type="dxa" w:w="4260"/>
          </w:tcPr>
          <w:p>
            <w:pPr>
              <w:spacing w:after="0" w:line="240" w:lineRule="auto"/>
            </w:pPr>
            <w:r>
              <w:rPr>
                <w:rFonts w:ascii="Calibri" w:hAnsi="Calibri" w:eastAsia="等线"/>
                <w:b w:val="0"/>
                <w:color w:val="1F1F1F"/>
                <w:sz w:val="16"/>
              </w:rPr>
              <w:t>运行配置中强制记录窗口，并将所有吞吐统计绑定同一窗口。</w:t>
            </w:r>
          </w:p>
        </w:tc>
      </w:tr>
      <w:tr>
        <w:tc>
          <w:tcPr>
            <w:tcW w:type="dxa" w:w="1000"/>
          </w:tcPr>
          <w:p>
            <w:pPr>
              <w:spacing w:after="0" w:line="240" w:lineRule="auto"/>
            </w:pPr>
            <w:r>
              <w:rPr>
                <w:rFonts w:ascii="Calibri" w:hAnsi="Calibri" w:eastAsia="等线"/>
                <w:b/>
                <w:color w:val="1F1F1F"/>
                <w:sz w:val="16"/>
              </w:rPr>
              <w:t>m-05</w:t>
            </w:r>
          </w:p>
        </w:tc>
        <w:tc>
          <w:tcPr>
            <w:tcW w:type="dxa" w:w="4100"/>
          </w:tcPr>
          <w:p>
            <w:pPr>
              <w:spacing w:after="0" w:line="240" w:lineRule="auto"/>
            </w:pPr>
            <w:r>
              <w:rPr>
                <w:rFonts w:ascii="Calibri" w:hAnsi="Calibri" w:eastAsia="等线"/>
                <w:b w:val="0"/>
                <w:color w:val="1F1F1F"/>
                <w:sz w:val="16"/>
              </w:rPr>
              <w:t>ID回绕和Epoch省略条件不明确。</w:t>
            </w:r>
          </w:p>
        </w:tc>
        <w:tc>
          <w:tcPr>
            <w:tcW w:type="dxa" w:w="4260"/>
          </w:tcPr>
          <w:p>
            <w:pPr>
              <w:spacing w:after="0" w:line="240" w:lineRule="auto"/>
            </w:pPr>
            <w:r>
              <w:rPr>
                <w:rFonts w:ascii="Calibri" w:hAnsi="Calibri" w:eastAsia="等线"/>
                <w:b w:val="0"/>
                <w:color w:val="1F1F1F"/>
                <w:sz w:val="16"/>
              </w:rPr>
              <w:t>仅当LocalTxnID空间保证覆盖最大在途生命周期时允许无Epoch。</w:t>
            </w:r>
          </w:p>
        </w:tc>
      </w:tr>
      <w:tr>
        <w:tc>
          <w:tcPr>
            <w:tcW w:type="dxa" w:w="1000"/>
          </w:tcPr>
          <w:p>
            <w:pPr>
              <w:spacing w:after="0" w:line="240" w:lineRule="auto"/>
            </w:pPr>
            <w:r>
              <w:rPr>
                <w:rFonts w:ascii="Calibri" w:hAnsi="Calibri" w:eastAsia="等线"/>
                <w:b/>
                <w:color w:val="1F1F1F"/>
                <w:sz w:val="16"/>
              </w:rPr>
              <w:t>m-06</w:t>
            </w:r>
          </w:p>
        </w:tc>
        <w:tc>
          <w:tcPr>
            <w:tcW w:type="dxa" w:w="4100"/>
          </w:tcPr>
          <w:p>
            <w:pPr>
              <w:spacing w:after="0" w:line="240" w:lineRule="auto"/>
            </w:pPr>
            <w:r>
              <w:rPr>
                <w:rFonts w:ascii="Calibri" w:hAnsi="Calibri" w:eastAsia="等线"/>
                <w:b w:val="0"/>
                <w:color w:val="1F1F1F"/>
                <w:sz w:val="16"/>
              </w:rPr>
              <w:t>复位和排空语义未固化。</w:t>
            </w:r>
          </w:p>
        </w:tc>
        <w:tc>
          <w:tcPr>
            <w:tcW w:type="dxa" w:w="4260"/>
          </w:tcPr>
          <w:p>
            <w:pPr>
              <w:spacing w:after="0" w:line="240" w:lineRule="auto"/>
            </w:pPr>
            <w:r>
              <w:rPr>
                <w:rFonts w:ascii="Calibri" w:hAnsi="Calibri" w:eastAsia="等线"/>
                <w:b w:val="0"/>
                <w:color w:val="1F1F1F"/>
                <w:sz w:val="16"/>
              </w:rPr>
              <w:t>要求停止新注入、等待在途闭环或生成终结错误，并验证idle全空。</w:t>
            </w:r>
          </w:p>
        </w:tc>
      </w:tr>
    </w:tbl>
    <w:p>
      <w:pPr>
        <w:spacing w:after="0"/>
      </w:pPr>
    </w:p>
    <w:p>
      <w:pPr>
        <w:pStyle w:val="Heading3"/>
      </w:pPr>
      <w:r>
        <w:t>Suggestion</w:t>
      </w:r>
    </w:p>
    <w:tbl>
      <w:tblPr>
        <w:tblStyle w:val="TableGrid"/>
        <w:tblW w:type="dxa" w:w="9360"/>
        <w:jc w:val="left"/>
        <w:tblLayout w:type="fixed"/>
        <w:tblLook w:firstColumn="1" w:firstRow="1" w:lastColumn="0" w:lastRow="0" w:noHBand="0" w:noVBand="1" w:val="04A0"/>
        <w:tblInd w:w="120" w:type="dxa"/>
      </w:tblPr>
      <w:tblGrid>
        <w:gridCol w:w="1000"/>
        <w:gridCol w:w="5000"/>
        <w:gridCol w:w="3360"/>
      </w:tblGrid>
      <w:tr>
        <w:trPr>
          <w:cantSplit/>
          <w:tblHeader w:val="true"/>
        </w:trPr>
        <w:tc>
          <w:tcPr>
            <w:tcW w:type="dxa" w:w="100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编号</w:t>
            </w:r>
          </w:p>
        </w:tc>
        <w:tc>
          <w:tcPr>
            <w:tcW w:type="dxa" w:w="500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建议</w:t>
            </w:r>
          </w:p>
        </w:tc>
        <w:tc>
          <w:tcPr>
            <w:tcW w:type="dxa" w:w="336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预期价值</w:t>
            </w:r>
          </w:p>
        </w:tc>
      </w:tr>
      <w:tr>
        <w:tc>
          <w:tcPr>
            <w:tcW w:type="dxa" w:w="1000"/>
          </w:tcPr>
          <w:p>
            <w:pPr>
              <w:spacing w:after="0" w:line="240" w:lineRule="auto"/>
            </w:pPr>
            <w:r>
              <w:rPr>
                <w:rFonts w:ascii="Calibri" w:hAnsi="Calibri" w:eastAsia="等线"/>
                <w:b/>
                <w:color w:val="1F1F1F"/>
                <w:sz w:val="17"/>
              </w:rPr>
              <w:t>S-01</w:t>
            </w:r>
          </w:p>
        </w:tc>
        <w:tc>
          <w:tcPr>
            <w:tcW w:type="dxa" w:w="5000"/>
          </w:tcPr>
          <w:p>
            <w:pPr>
              <w:spacing w:after="0" w:line="240" w:lineRule="auto"/>
            </w:pPr>
            <w:r>
              <w:rPr>
                <w:rFonts w:ascii="Calibri" w:hAnsi="Calibri" w:eastAsia="等线"/>
                <w:b w:val="0"/>
                <w:color w:val="1F1F1F"/>
                <w:sz w:val="17"/>
              </w:rPr>
              <w:t>提供自动敏感度与理论上界对照报告。</w:t>
            </w:r>
          </w:p>
        </w:tc>
        <w:tc>
          <w:tcPr>
            <w:tcW w:type="dxa" w:w="3360"/>
          </w:tcPr>
          <w:p>
            <w:pPr>
              <w:spacing w:after="0" w:line="240" w:lineRule="auto"/>
            </w:pPr>
            <w:r>
              <w:rPr>
                <w:rFonts w:ascii="Calibri" w:hAnsi="Calibri" w:eastAsia="等线"/>
                <w:b w:val="0"/>
                <w:color w:val="1F1F1F"/>
                <w:sz w:val="17"/>
              </w:rPr>
              <w:t>及早发现死参数、重复限速和不可辨识参数。</w:t>
            </w:r>
          </w:p>
        </w:tc>
      </w:tr>
      <w:tr>
        <w:tc>
          <w:tcPr>
            <w:tcW w:type="dxa" w:w="1000"/>
          </w:tcPr>
          <w:p>
            <w:pPr>
              <w:spacing w:after="0" w:line="240" w:lineRule="auto"/>
            </w:pPr>
            <w:r>
              <w:rPr>
                <w:rFonts w:ascii="Calibri" w:hAnsi="Calibri" w:eastAsia="等线"/>
                <w:b/>
                <w:color w:val="1F1F1F"/>
                <w:sz w:val="17"/>
              </w:rPr>
              <w:t>S-02</w:t>
            </w:r>
          </w:p>
        </w:tc>
        <w:tc>
          <w:tcPr>
            <w:tcW w:type="dxa" w:w="5000"/>
          </w:tcPr>
          <w:p>
            <w:pPr>
              <w:spacing w:after="0" w:line="240" w:lineRule="auto"/>
            </w:pPr>
            <w:r>
              <w:rPr>
                <w:rFonts w:ascii="Calibri" w:hAnsi="Calibri" w:eastAsia="等线"/>
                <w:b w:val="0"/>
                <w:color w:val="1F1F1F"/>
                <w:sz w:val="17"/>
              </w:rPr>
              <w:t>配置Schema、统计Schema和图中术语使用同一机器可读词典。</w:t>
            </w:r>
          </w:p>
        </w:tc>
        <w:tc>
          <w:tcPr>
            <w:tcW w:type="dxa" w:w="3360"/>
          </w:tcPr>
          <w:p>
            <w:pPr>
              <w:spacing w:after="0" w:line="240" w:lineRule="auto"/>
            </w:pPr>
            <w:r>
              <w:rPr>
                <w:rFonts w:ascii="Calibri" w:hAnsi="Calibri" w:eastAsia="等线"/>
                <w:b w:val="0"/>
                <w:color w:val="1F1F1F"/>
                <w:sz w:val="17"/>
              </w:rPr>
              <w:t>减少文档、配置和实现命名漂移。</w:t>
            </w:r>
          </w:p>
        </w:tc>
      </w:tr>
      <w:tr>
        <w:tc>
          <w:tcPr>
            <w:tcW w:type="dxa" w:w="1000"/>
          </w:tcPr>
          <w:p>
            <w:pPr>
              <w:spacing w:after="0" w:line="240" w:lineRule="auto"/>
            </w:pPr>
            <w:r>
              <w:rPr>
                <w:rFonts w:ascii="Calibri" w:hAnsi="Calibri" w:eastAsia="等线"/>
                <w:b/>
                <w:color w:val="1F1F1F"/>
                <w:sz w:val="17"/>
              </w:rPr>
              <w:t>S-03</w:t>
            </w:r>
          </w:p>
        </w:tc>
        <w:tc>
          <w:tcPr>
            <w:tcW w:type="dxa" w:w="5000"/>
          </w:tcPr>
          <w:p>
            <w:pPr>
              <w:spacing w:after="0" w:line="240" w:lineRule="auto"/>
            </w:pPr>
            <w:r>
              <w:rPr>
                <w:rFonts w:ascii="Calibri" w:hAnsi="Calibri" w:eastAsia="等线"/>
                <w:b w:val="0"/>
                <w:color w:val="1F1F1F"/>
                <w:sz w:val="17"/>
              </w:rPr>
              <w:t>为每个事务保留可抽样的资源时间线。</w:t>
            </w:r>
          </w:p>
        </w:tc>
        <w:tc>
          <w:tcPr>
            <w:tcW w:type="dxa" w:w="3360"/>
          </w:tcPr>
          <w:p>
            <w:pPr>
              <w:spacing w:after="0" w:line="240" w:lineRule="auto"/>
            </w:pPr>
            <w:r>
              <w:rPr>
                <w:rFonts w:ascii="Calibri" w:hAnsi="Calibri" w:eastAsia="等线"/>
                <w:b w:val="0"/>
                <w:color w:val="1F1F1F"/>
                <w:sz w:val="17"/>
              </w:rPr>
              <w:t>可重建p99延迟和多级反压因果链。</w:t>
            </w:r>
          </w:p>
        </w:tc>
      </w:tr>
      <w:tr>
        <w:tc>
          <w:tcPr>
            <w:tcW w:type="dxa" w:w="1000"/>
          </w:tcPr>
          <w:p>
            <w:pPr>
              <w:spacing w:after="0" w:line="240" w:lineRule="auto"/>
            </w:pPr>
            <w:r>
              <w:rPr>
                <w:rFonts w:ascii="Calibri" w:hAnsi="Calibri" w:eastAsia="等线"/>
                <w:b/>
                <w:color w:val="1F1F1F"/>
                <w:sz w:val="17"/>
              </w:rPr>
              <w:t>S-04</w:t>
            </w:r>
          </w:p>
        </w:tc>
        <w:tc>
          <w:tcPr>
            <w:tcW w:type="dxa" w:w="5000"/>
          </w:tcPr>
          <w:p>
            <w:pPr>
              <w:spacing w:after="0" w:line="240" w:lineRule="auto"/>
            </w:pPr>
            <w:r>
              <w:rPr>
                <w:rFonts w:ascii="Calibri" w:hAnsi="Calibri" w:eastAsia="等线"/>
                <w:b w:val="0"/>
                <w:color w:val="1F1F1F"/>
                <w:sz w:val="17"/>
              </w:rPr>
              <w:t>建立Shared Bus/Ring/Crossbar的同口径理想基线。</w:t>
            </w:r>
          </w:p>
        </w:tc>
        <w:tc>
          <w:tcPr>
            <w:tcW w:type="dxa" w:w="3360"/>
          </w:tcPr>
          <w:p>
            <w:pPr>
              <w:spacing w:after="0" w:line="240" w:lineRule="auto"/>
            </w:pPr>
            <w:r>
              <w:rPr>
                <w:rFonts w:ascii="Calibri" w:hAnsi="Calibri" w:eastAsia="等线"/>
                <w:b w:val="0"/>
                <w:color w:val="1F1F1F"/>
                <w:sz w:val="17"/>
              </w:rPr>
              <w:t>区分拓扑收益与Target/流量变化。</w:t>
            </w:r>
          </w:p>
        </w:tc>
      </w:tr>
      <w:tr>
        <w:tc>
          <w:tcPr>
            <w:tcW w:type="dxa" w:w="1000"/>
          </w:tcPr>
          <w:p>
            <w:pPr>
              <w:spacing w:after="0" w:line="240" w:lineRule="auto"/>
            </w:pPr>
            <w:r>
              <w:rPr>
                <w:rFonts w:ascii="Calibri" w:hAnsi="Calibri" w:eastAsia="等线"/>
                <w:b/>
                <w:color w:val="1F1F1F"/>
                <w:sz w:val="17"/>
              </w:rPr>
              <w:t>S-05</w:t>
            </w:r>
          </w:p>
        </w:tc>
        <w:tc>
          <w:tcPr>
            <w:tcW w:type="dxa" w:w="5000"/>
          </w:tcPr>
          <w:p>
            <w:pPr>
              <w:spacing w:after="0" w:line="240" w:lineRule="auto"/>
            </w:pPr>
            <w:r>
              <w:rPr>
                <w:rFonts w:ascii="Calibri" w:hAnsi="Calibri" w:eastAsia="等线"/>
                <w:b w:val="0"/>
                <w:color w:val="1F1F1F"/>
                <w:sz w:val="17"/>
              </w:rPr>
              <w:t>对配置和模型版本生成不可变指纹。</w:t>
            </w:r>
          </w:p>
        </w:tc>
        <w:tc>
          <w:tcPr>
            <w:tcW w:type="dxa" w:w="3360"/>
          </w:tcPr>
          <w:p>
            <w:pPr>
              <w:spacing w:after="0" w:line="240" w:lineRule="auto"/>
            </w:pPr>
            <w:r>
              <w:rPr>
                <w:rFonts w:ascii="Calibri" w:hAnsi="Calibri" w:eastAsia="等线"/>
                <w:b w:val="0"/>
                <w:color w:val="1F1F1F"/>
                <w:sz w:val="17"/>
              </w:rPr>
              <w:t>保证对标结果可复现、可审计。</w:t>
            </w:r>
          </w:p>
        </w:tc>
      </w:tr>
    </w:tbl>
    <w:p>
      <w:pPr>
        <w:spacing w:after="0"/>
      </w:pPr>
    </w:p>
    <w:p>
      <w:pPr>
        <w:pStyle w:val="Heading2"/>
      </w:pPr>
      <w:r>
        <w:t>14.4 审查闭环结论</w:t>
      </w:r>
    </w:p>
    <w:p>
      <w:pPr>
        <w:keepLines w:val="0"/>
        <w:widowControl/>
        <w:spacing w:after="120"/>
      </w:pPr>
      <w:r>
        <w:rPr>
          <w:rFonts w:ascii="Calibri" w:hAnsi="Calibri" w:eastAsia="等线"/>
          <w:color w:val="1F1F1F"/>
        </w:rPr>
        <w:t>独立审查未发现无法通过架构设计解决的事务断链，但发现四项需要外部硬件/项目决策的Critical事项。正文已经补充了TxnKey、ExpectedRsp、写DataTag、资源权威所有者、持续vld自动重试、唯一延迟/带宽记账、分层统计和量化精度流程。剩余Critical不是文字缺失，而是必须由评审专家确认的产品和硬件事实，因此不得在方案中自行假定关闭。</w:t>
      </w:r>
    </w:p>
    <w:p>
      <w:pPr>
        <w:pStyle w:val="Heading1"/>
      </w:pPr>
      <w:r>
        <w:t>15 专家评审议题与阶段结论</w:t>
      </w:r>
    </w:p>
    <w:p>
      <w:pPr>
        <w:pStyle w:val="Heading2"/>
      </w:pPr>
      <w:r>
        <w:t>15.1 需要拍板的关键问题</w:t>
      </w:r>
    </w:p>
    <w:tbl>
      <w:tblPr>
        <w:tblStyle w:val="TableGrid"/>
        <w:tblW w:type="dxa" w:w="9360"/>
        <w:jc w:val="left"/>
        <w:tblLayout w:type="fixed"/>
        <w:tblLook w:firstColumn="1" w:firstRow="1" w:lastColumn="0" w:lastRow="0" w:noHBand="0" w:noVBand="1" w:val="04A0"/>
        <w:tblInd w:w="120" w:type="dxa"/>
      </w:tblPr>
      <w:tblGrid>
        <w:gridCol w:w="900"/>
        <w:gridCol w:w="3350"/>
        <w:gridCol w:w="3350"/>
        <w:gridCol w:w="1760"/>
      </w:tblGrid>
      <w:tr>
        <w:trPr>
          <w:cantSplit/>
          <w:tblHeader w:val="true"/>
        </w:trPr>
        <w:tc>
          <w:tcPr>
            <w:tcW w:type="dxa" w:w="90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决策ID</w:t>
            </w:r>
          </w:p>
        </w:tc>
        <w:tc>
          <w:tcPr>
            <w:tcW w:type="dxa" w:w="335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专家需拍板的问题</w:t>
            </w:r>
          </w:p>
        </w:tc>
        <w:tc>
          <w:tcPr>
            <w:tcW w:type="dxa" w:w="335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建议结论</w:t>
            </w:r>
          </w:p>
        </w:tc>
        <w:tc>
          <w:tcPr>
            <w:tcW w:type="dxa" w:w="1760"/>
            <w:tcMar>
              <w:top w:w="80" w:type="dxa"/>
              <w:start w:w="120" w:type="dxa"/>
              <w:bottom w:w="80" w:type="dxa"/>
              <w:end w:w="120" w:type="dxa"/>
            </w:tcMar>
            <w:vAlign w:val="center"/>
            <w:shd w:fill="F2F4F7"/>
          </w:tcPr>
          <w:p>
            <w:pPr>
              <w:spacing w:after="0"/>
              <w:jc w:val="left"/>
            </w:pPr>
            <w:r>
              <w:rPr>
                <w:rFonts w:ascii="Calibri" w:hAnsi="Calibri" w:eastAsia="等线"/>
                <w:b/>
                <w:color w:val="1F4E79"/>
                <w:sz w:val="15"/>
              </w:rPr>
              <w:t>决议输出</w:t>
            </w:r>
          </w:p>
        </w:tc>
      </w:tr>
      <w:tr>
        <w:tc>
          <w:tcPr>
            <w:tcW w:type="dxa" w:w="900"/>
          </w:tcPr>
          <w:p>
            <w:pPr>
              <w:spacing w:after="0" w:line="240" w:lineRule="auto"/>
            </w:pPr>
            <w:r>
              <w:rPr>
                <w:rFonts w:ascii="Calibri" w:hAnsi="Calibri" w:eastAsia="等线"/>
                <w:b/>
                <w:color w:val="1F1F1F"/>
                <w:sz w:val="15"/>
              </w:rPr>
              <w:t>D-01</w:t>
            </w:r>
          </w:p>
        </w:tc>
        <w:tc>
          <w:tcPr>
            <w:tcW w:type="dxa" w:w="3350"/>
          </w:tcPr>
          <w:p>
            <w:pPr>
              <w:spacing w:after="0" w:line="240" w:lineRule="auto"/>
            </w:pPr>
            <w:r>
              <w:rPr>
                <w:rFonts w:ascii="Calibri" w:hAnsi="Calibri" w:eastAsia="等线"/>
                <w:b w:val="0"/>
                <w:color w:val="1F1F1F"/>
                <w:sz w:val="15"/>
              </w:rPr>
              <w:t>首版是否以事务级双向Ring作为正式模型基线</w:t>
            </w:r>
          </w:p>
        </w:tc>
        <w:tc>
          <w:tcPr>
            <w:tcW w:type="dxa" w:w="3350"/>
          </w:tcPr>
          <w:p>
            <w:pPr>
              <w:spacing w:after="0" w:line="240" w:lineRule="auto"/>
            </w:pPr>
            <w:r>
              <w:rPr>
                <w:rFonts w:ascii="Calibri" w:hAnsi="Calibri" w:eastAsia="等线"/>
                <w:b w:val="0"/>
                <w:color w:val="1F1F1F"/>
                <w:sz w:val="15"/>
              </w:rPr>
              <w:t>通过；保持端点/Target接口拓扑无关</w:t>
            </w:r>
          </w:p>
        </w:tc>
        <w:tc>
          <w:tcPr>
            <w:tcW w:type="dxa" w:w="1760"/>
          </w:tcPr>
          <w:p>
            <w:pPr>
              <w:spacing w:after="0" w:line="240" w:lineRule="auto"/>
            </w:pPr>
            <w:r>
              <w:rPr>
                <w:rFonts w:ascii="Calibri" w:hAnsi="Calibri" w:eastAsia="等线"/>
                <w:b w:val="0"/>
                <w:color w:val="1F1F1F"/>
                <w:sz w:val="15"/>
              </w:rPr>
              <w:t>拓扑、端点规模适用域和演进条件</w:t>
            </w:r>
          </w:p>
        </w:tc>
      </w:tr>
      <w:tr>
        <w:tc>
          <w:tcPr>
            <w:tcW w:type="dxa" w:w="900"/>
          </w:tcPr>
          <w:p>
            <w:pPr>
              <w:spacing w:after="0" w:line="240" w:lineRule="auto"/>
            </w:pPr>
            <w:r>
              <w:rPr>
                <w:rFonts w:ascii="Calibri" w:hAnsi="Calibri" w:eastAsia="等线"/>
                <w:b/>
                <w:color w:val="1F1F1F"/>
                <w:sz w:val="15"/>
              </w:rPr>
              <w:t>D-02</w:t>
            </w:r>
          </w:p>
        </w:tc>
        <w:tc>
          <w:tcPr>
            <w:tcW w:type="dxa" w:w="3350"/>
          </w:tcPr>
          <w:p>
            <w:pPr>
              <w:spacing w:after="0" w:line="240" w:lineRule="auto"/>
            </w:pPr>
            <w:r>
              <w:rPr>
                <w:rFonts w:ascii="Calibri" w:hAnsi="Calibri" w:eastAsia="等线"/>
                <w:b w:val="0"/>
                <w:color w:val="1F1F1F"/>
                <w:sz w:val="15"/>
              </w:rPr>
              <w:t>三类Traffic Class的物理等效资源关系</w:t>
            </w:r>
          </w:p>
        </w:tc>
        <w:tc>
          <w:tcPr>
            <w:tcW w:type="dxa" w:w="3350"/>
          </w:tcPr>
          <w:p>
            <w:pPr>
              <w:spacing w:after="0" w:line="240" w:lineRule="auto"/>
            </w:pPr>
            <w:r>
              <w:rPr>
                <w:rFonts w:ascii="Calibri" w:hAnsi="Calibri" w:eastAsia="等线"/>
                <w:b w:val="0"/>
                <w:color w:val="1F1F1F"/>
                <w:sz w:val="15"/>
              </w:rPr>
              <w:t>默认共享每方向Link带宽，逻辑分队列</w:t>
            </w:r>
          </w:p>
        </w:tc>
        <w:tc>
          <w:tcPr>
            <w:tcW w:type="dxa" w:w="1760"/>
          </w:tcPr>
          <w:p>
            <w:pPr>
              <w:spacing w:after="0" w:line="240" w:lineRule="auto"/>
            </w:pPr>
            <w:r>
              <w:rPr>
                <w:rFonts w:ascii="Calibri" w:hAnsi="Calibri" w:eastAsia="等线"/>
                <w:b w:val="0"/>
                <w:color w:val="1F1F1F"/>
                <w:sz w:val="15"/>
              </w:rPr>
              <w:t>共享矩阵、宽度、仲裁和保留份额</w:t>
            </w:r>
          </w:p>
        </w:tc>
      </w:tr>
      <w:tr>
        <w:tc>
          <w:tcPr>
            <w:tcW w:type="dxa" w:w="900"/>
          </w:tcPr>
          <w:p>
            <w:pPr>
              <w:spacing w:after="0" w:line="240" w:lineRule="auto"/>
            </w:pPr>
            <w:r>
              <w:rPr>
                <w:rFonts w:ascii="Calibri" w:hAnsi="Calibri" w:eastAsia="等线"/>
                <w:b/>
                <w:color w:val="1F1F1F"/>
                <w:sz w:val="15"/>
              </w:rPr>
              <w:t>D-03</w:t>
            </w:r>
          </w:p>
        </w:tc>
        <w:tc>
          <w:tcPr>
            <w:tcW w:type="dxa" w:w="3350"/>
          </w:tcPr>
          <w:p>
            <w:pPr>
              <w:spacing w:after="0" w:line="240" w:lineRule="auto"/>
            </w:pPr>
            <w:r>
              <w:rPr>
                <w:rFonts w:ascii="Calibri" w:hAnsi="Calibri" w:eastAsia="等线"/>
                <w:b w:val="0"/>
                <w:color w:val="1F1F1F"/>
                <w:sz w:val="15"/>
              </w:rPr>
              <w:t>写请求、Grant、写数据和完成协议</w:t>
            </w:r>
          </w:p>
        </w:tc>
        <w:tc>
          <w:tcPr>
            <w:tcW w:type="dxa" w:w="3350"/>
          </w:tcPr>
          <w:p>
            <w:pPr>
              <w:spacing w:after="0" w:line="240" w:lineRule="auto"/>
            </w:pPr>
            <w:r>
              <w:rPr>
                <w:rFonts w:ascii="Calibri" w:hAnsi="Calibri" w:eastAsia="等线"/>
                <w:b w:val="0"/>
                <w:color w:val="1F1F1F"/>
                <w:sz w:val="15"/>
              </w:rPr>
              <w:t>首版采用Grant后发数据</w:t>
            </w:r>
          </w:p>
        </w:tc>
        <w:tc>
          <w:tcPr>
            <w:tcW w:type="dxa" w:w="1760"/>
          </w:tcPr>
          <w:p>
            <w:pPr>
              <w:spacing w:after="0" w:line="240" w:lineRule="auto"/>
            </w:pPr>
            <w:r>
              <w:rPr>
                <w:rFonts w:ascii="Calibri" w:hAnsi="Calibri" w:eastAsia="等线"/>
                <w:b w:val="0"/>
                <w:color w:val="1F1F1F"/>
                <w:sz w:val="15"/>
              </w:rPr>
              <w:t>DataTag、beat、缓冲、错误/超时状态机</w:t>
            </w:r>
          </w:p>
        </w:tc>
      </w:tr>
      <w:tr>
        <w:tc>
          <w:tcPr>
            <w:tcW w:type="dxa" w:w="900"/>
          </w:tcPr>
          <w:p>
            <w:pPr>
              <w:spacing w:after="0" w:line="240" w:lineRule="auto"/>
            </w:pPr>
            <w:r>
              <w:rPr>
                <w:rFonts w:ascii="Calibri" w:hAnsi="Calibri" w:eastAsia="等线"/>
                <w:b/>
                <w:color w:val="1F1F1F"/>
                <w:sz w:val="15"/>
              </w:rPr>
              <w:t>D-04</w:t>
            </w:r>
          </w:p>
        </w:tc>
        <w:tc>
          <w:tcPr>
            <w:tcW w:type="dxa" w:w="3350"/>
          </w:tcPr>
          <w:p>
            <w:pPr>
              <w:spacing w:after="0" w:line="240" w:lineRule="auto"/>
            </w:pPr>
            <w:r>
              <w:rPr>
                <w:rFonts w:ascii="Calibri" w:hAnsi="Calibri" w:eastAsia="等线"/>
                <w:b w:val="0"/>
                <w:color w:val="1F1F1F"/>
                <w:sz w:val="15"/>
              </w:rPr>
              <w:t>读写顺序域、同地址hazard、atomic/barrier范围</w:t>
            </w:r>
          </w:p>
        </w:tc>
        <w:tc>
          <w:tcPr>
            <w:tcW w:type="dxa" w:w="3350"/>
          </w:tcPr>
          <w:p>
            <w:pPr>
              <w:spacing w:after="0" w:line="240" w:lineRule="auto"/>
            </w:pPr>
            <w:r>
              <w:rPr>
                <w:rFonts w:ascii="Calibri" w:hAnsi="Calibri" w:eastAsia="等线"/>
                <w:b w:val="0"/>
                <w:color w:val="1F1F1F"/>
                <w:sz w:val="15"/>
              </w:rPr>
              <w:t>首版只保证局部FIFO与TxnKey归属</w:t>
            </w:r>
          </w:p>
        </w:tc>
        <w:tc>
          <w:tcPr>
            <w:tcW w:type="dxa" w:w="1760"/>
          </w:tcPr>
          <w:p>
            <w:pPr>
              <w:spacing w:after="0" w:line="240" w:lineRule="auto"/>
            </w:pPr>
            <w:r>
              <w:rPr>
                <w:rFonts w:ascii="Calibri" w:hAnsi="Calibri" w:eastAsia="等线"/>
                <w:b w:val="0"/>
                <w:color w:val="1F1F1F"/>
                <w:sz w:val="15"/>
              </w:rPr>
              <w:t>支持范围、顺序点和非目标清单</w:t>
            </w:r>
          </w:p>
        </w:tc>
      </w:tr>
      <w:tr>
        <w:tc>
          <w:tcPr>
            <w:tcW w:type="dxa" w:w="900"/>
          </w:tcPr>
          <w:p>
            <w:pPr>
              <w:spacing w:after="0" w:line="240" w:lineRule="auto"/>
            </w:pPr>
            <w:r>
              <w:rPr>
                <w:rFonts w:ascii="Calibri" w:hAnsi="Calibri" w:eastAsia="等线"/>
                <w:b/>
                <w:color w:val="1F1F1F"/>
                <w:sz w:val="15"/>
              </w:rPr>
              <w:t>D-05</w:t>
            </w:r>
          </w:p>
        </w:tc>
        <w:tc>
          <w:tcPr>
            <w:tcW w:type="dxa" w:w="3350"/>
          </w:tcPr>
          <w:p>
            <w:pPr>
              <w:spacing w:after="0" w:line="240" w:lineRule="auto"/>
            </w:pPr>
            <w:r>
              <w:rPr>
                <w:rFonts w:ascii="Calibri" w:hAnsi="Calibri" w:eastAsia="等线"/>
                <w:b w:val="0"/>
                <w:color w:val="1F1F1F"/>
                <w:sz w:val="15"/>
              </w:rPr>
              <w:t>Master OSD与Target Credit的申请/释放点</w:t>
            </w:r>
          </w:p>
        </w:tc>
        <w:tc>
          <w:tcPr>
            <w:tcW w:type="dxa" w:w="3350"/>
          </w:tcPr>
          <w:p>
            <w:pPr>
              <w:spacing w:after="0" w:line="240" w:lineRule="auto"/>
            </w:pPr>
            <w:r>
              <w:rPr>
                <w:rFonts w:ascii="Calibri" w:hAnsi="Calibri" w:eastAsia="等线"/>
                <w:b w:val="0"/>
                <w:color w:val="1F1F1F"/>
                <w:sz w:val="15"/>
              </w:rPr>
              <w:t>OSD到上游终结；Credit到Target真实资源结束</w:t>
            </w:r>
          </w:p>
        </w:tc>
        <w:tc>
          <w:tcPr>
            <w:tcW w:type="dxa" w:w="1760"/>
          </w:tcPr>
          <w:p>
            <w:pPr>
              <w:spacing w:after="0" w:line="240" w:lineRule="auto"/>
            </w:pPr>
            <w:r>
              <w:rPr>
                <w:rFonts w:ascii="Calibri" w:hAnsi="Calibri" w:eastAsia="等线"/>
                <w:b w:val="0"/>
                <w:color w:val="1F1F1F"/>
                <w:sz w:val="15"/>
              </w:rPr>
              <w:t>每种事务的资源生命周期表</w:t>
            </w:r>
          </w:p>
        </w:tc>
      </w:tr>
      <w:tr>
        <w:tc>
          <w:tcPr>
            <w:tcW w:type="dxa" w:w="900"/>
          </w:tcPr>
          <w:p>
            <w:pPr>
              <w:spacing w:after="0" w:line="240" w:lineRule="auto"/>
            </w:pPr>
            <w:r>
              <w:rPr>
                <w:rFonts w:ascii="Calibri" w:hAnsi="Calibri" w:eastAsia="等线"/>
                <w:b/>
                <w:color w:val="1F1F1F"/>
                <w:sz w:val="15"/>
              </w:rPr>
              <w:t>D-06</w:t>
            </w:r>
          </w:p>
        </w:tc>
        <w:tc>
          <w:tcPr>
            <w:tcW w:type="dxa" w:w="3350"/>
          </w:tcPr>
          <w:p>
            <w:pPr>
              <w:spacing w:after="0" w:line="240" w:lineRule="auto"/>
            </w:pPr>
            <w:r>
              <w:rPr>
                <w:rFonts w:ascii="Calibri" w:hAnsi="Calibri" w:eastAsia="等线"/>
                <w:b w:val="0"/>
                <w:color w:val="1F1F1F"/>
                <w:sz w:val="15"/>
              </w:rPr>
              <w:t>仲裁、QoS和饥饿边界</w:t>
            </w:r>
          </w:p>
        </w:tc>
        <w:tc>
          <w:tcPr>
            <w:tcW w:type="dxa" w:w="3350"/>
          </w:tcPr>
          <w:p>
            <w:pPr>
              <w:spacing w:after="0" w:line="240" w:lineRule="auto"/>
            </w:pPr>
            <w:r>
              <w:rPr>
                <w:rFonts w:ascii="Calibri" w:hAnsi="Calibri" w:eastAsia="等线"/>
                <w:b w:val="0"/>
                <w:color w:val="1F1F1F"/>
                <w:sz w:val="15"/>
              </w:rPr>
              <w:t>RR+年龄逃逸；按需扩展WRR</w:t>
            </w:r>
          </w:p>
        </w:tc>
        <w:tc>
          <w:tcPr>
            <w:tcW w:type="dxa" w:w="1760"/>
          </w:tcPr>
          <w:p>
            <w:pPr>
              <w:spacing w:after="0" w:line="240" w:lineRule="auto"/>
            </w:pPr>
            <w:r>
              <w:rPr>
                <w:rFonts w:ascii="Calibri" w:hAnsi="Calibri" w:eastAsia="等线"/>
                <w:b w:val="0"/>
                <w:color w:val="1F1F1F"/>
                <w:sz w:val="15"/>
              </w:rPr>
              <w:t>权重、响应进度份额、最大等待</w:t>
            </w:r>
          </w:p>
        </w:tc>
      </w:tr>
      <w:tr>
        <w:tc>
          <w:tcPr>
            <w:tcW w:type="dxa" w:w="900"/>
          </w:tcPr>
          <w:p>
            <w:pPr>
              <w:spacing w:after="0" w:line="240" w:lineRule="auto"/>
            </w:pPr>
            <w:r>
              <w:rPr>
                <w:rFonts w:ascii="Calibri" w:hAnsi="Calibri" w:eastAsia="等线"/>
                <w:b/>
                <w:color w:val="1F1F1F"/>
                <w:sz w:val="15"/>
              </w:rPr>
              <w:t>D-07</w:t>
            </w:r>
          </w:p>
        </w:tc>
        <w:tc>
          <w:tcPr>
            <w:tcW w:type="dxa" w:w="3350"/>
          </w:tcPr>
          <w:p>
            <w:pPr>
              <w:spacing w:after="0" w:line="240" w:lineRule="auto"/>
            </w:pPr>
            <w:r>
              <w:rPr>
                <w:rFonts w:ascii="Calibri" w:hAnsi="Calibri" w:eastAsia="等线"/>
                <w:b w:val="0"/>
                <w:color w:val="1F1F1F"/>
                <w:sz w:val="15"/>
              </w:rPr>
              <w:t>Target服务模型保真层次</w:t>
            </w:r>
          </w:p>
        </w:tc>
        <w:tc>
          <w:tcPr>
            <w:tcW w:type="dxa" w:w="3350"/>
          </w:tcPr>
          <w:p>
            <w:pPr>
              <w:spacing w:after="0" w:line="240" w:lineRule="auto"/>
            </w:pPr>
            <w:r>
              <w:rPr>
                <w:rFonts w:ascii="Calibri" w:hAnsi="Calibri" w:eastAsia="等线"/>
                <w:b w:val="0"/>
                <w:color w:val="1F1F1F"/>
                <w:sz w:val="15"/>
              </w:rPr>
              <w:t>延迟+带宽+并发为基线，Bank/分布按证据启用</w:t>
            </w:r>
          </w:p>
        </w:tc>
        <w:tc>
          <w:tcPr>
            <w:tcW w:type="dxa" w:w="1760"/>
          </w:tcPr>
          <w:p>
            <w:pPr>
              <w:spacing w:after="0" w:line="240" w:lineRule="auto"/>
            </w:pPr>
            <w:r>
              <w:rPr>
                <w:rFonts w:ascii="Calibri" w:hAnsi="Calibri" w:eastAsia="等线"/>
                <w:b w:val="0"/>
                <w:color w:val="1F1F1F"/>
                <w:sz w:val="15"/>
              </w:rPr>
              <w:t>L2/DDR模板及参数来源Owner</w:t>
            </w:r>
          </w:p>
        </w:tc>
      </w:tr>
      <w:tr>
        <w:tc>
          <w:tcPr>
            <w:tcW w:type="dxa" w:w="900"/>
          </w:tcPr>
          <w:p>
            <w:pPr>
              <w:spacing w:after="0" w:line="240" w:lineRule="auto"/>
            </w:pPr>
            <w:r>
              <w:rPr>
                <w:rFonts w:ascii="Calibri" w:hAnsi="Calibri" w:eastAsia="等线"/>
                <w:b/>
                <w:color w:val="1F1F1F"/>
                <w:sz w:val="15"/>
              </w:rPr>
              <w:t>D-08</w:t>
            </w:r>
          </w:p>
        </w:tc>
        <w:tc>
          <w:tcPr>
            <w:tcW w:type="dxa" w:w="3350"/>
          </w:tcPr>
          <w:p>
            <w:pPr>
              <w:spacing w:after="0" w:line="240" w:lineRule="auto"/>
            </w:pPr>
            <w:r>
              <w:rPr>
                <w:rFonts w:ascii="Calibri" w:hAnsi="Calibri" w:eastAsia="等线"/>
                <w:b w:val="0"/>
                <w:color w:val="1F1F1F"/>
                <w:sz w:val="15"/>
              </w:rPr>
              <w:t>80%精度验收定义</w:t>
            </w:r>
          </w:p>
        </w:tc>
        <w:tc>
          <w:tcPr>
            <w:tcW w:type="dxa" w:w="3350"/>
          </w:tcPr>
          <w:p>
            <w:pPr>
              <w:spacing w:after="0" w:line="240" w:lineRule="auto"/>
            </w:pPr>
            <w:r>
              <w:rPr>
                <w:rFonts w:ascii="Calibri" w:hAnsi="Calibri" w:eastAsia="等线"/>
                <w:b w:val="0"/>
                <w:color w:val="1F1F1F"/>
                <w:sz w:val="15"/>
              </w:rPr>
              <w:t>采用加权KPI+硬门限+留出集</w:t>
            </w:r>
          </w:p>
        </w:tc>
        <w:tc>
          <w:tcPr>
            <w:tcW w:type="dxa" w:w="1760"/>
          </w:tcPr>
          <w:p>
            <w:pPr>
              <w:spacing w:after="0" w:line="240" w:lineRule="auto"/>
            </w:pPr>
            <w:r>
              <w:rPr>
                <w:rFonts w:ascii="Calibri" w:hAnsi="Calibri" w:eastAsia="等线"/>
                <w:b w:val="0"/>
                <w:color w:val="1F1F1F"/>
                <w:sz w:val="15"/>
              </w:rPr>
              <w:t>参考平台、场景/权重、epsilon和豁免权</w:t>
            </w:r>
          </w:p>
        </w:tc>
      </w:tr>
      <w:tr>
        <w:tc>
          <w:tcPr>
            <w:tcW w:type="dxa" w:w="900"/>
          </w:tcPr>
          <w:p>
            <w:pPr>
              <w:spacing w:after="0" w:line="240" w:lineRule="auto"/>
            </w:pPr>
            <w:r>
              <w:rPr>
                <w:rFonts w:ascii="Calibri" w:hAnsi="Calibri" w:eastAsia="等线"/>
                <w:b/>
                <w:color w:val="1F1F1F"/>
                <w:sz w:val="15"/>
              </w:rPr>
              <w:t>D-09</w:t>
            </w:r>
          </w:p>
        </w:tc>
        <w:tc>
          <w:tcPr>
            <w:tcW w:type="dxa" w:w="3350"/>
          </w:tcPr>
          <w:p>
            <w:pPr>
              <w:spacing w:after="0" w:line="240" w:lineRule="auto"/>
            </w:pPr>
            <w:r>
              <w:rPr>
                <w:rFonts w:ascii="Calibri" w:hAnsi="Calibri" w:eastAsia="等线"/>
                <w:b w:val="0"/>
                <w:color w:val="1F1F1F"/>
                <w:sz w:val="15"/>
              </w:rPr>
              <w:t>详细设计与编码准入</w:t>
            </w:r>
          </w:p>
        </w:tc>
        <w:tc>
          <w:tcPr>
            <w:tcW w:type="dxa" w:w="3350"/>
          </w:tcPr>
          <w:p>
            <w:pPr>
              <w:spacing w:after="0" w:line="240" w:lineRule="auto"/>
            </w:pPr>
            <w:r>
              <w:rPr>
                <w:rFonts w:ascii="Calibri" w:hAnsi="Calibri" w:eastAsia="等线"/>
                <w:b w:val="0"/>
                <w:color w:val="1F1F1F"/>
                <w:sz w:val="15"/>
              </w:rPr>
              <w:t>Critical关闭后有条件通过</w:t>
            </w:r>
          </w:p>
        </w:tc>
        <w:tc>
          <w:tcPr>
            <w:tcW w:type="dxa" w:w="1760"/>
          </w:tcPr>
          <w:p>
            <w:pPr>
              <w:spacing w:after="0" w:line="240" w:lineRule="auto"/>
            </w:pPr>
            <w:r>
              <w:rPr>
                <w:rFonts w:ascii="Calibri" w:hAnsi="Calibri" w:eastAsia="等线"/>
                <w:b w:val="0"/>
                <w:color w:val="1F1F1F"/>
                <w:sz w:val="15"/>
              </w:rPr>
              <w:t>评审纪要、Owner、完成日期和基线版本</w:t>
            </w:r>
          </w:p>
        </w:tc>
      </w:tr>
    </w:tbl>
    <w:p>
      <w:pPr>
        <w:spacing w:after="0"/>
      </w:pPr>
    </w:p>
    <w:p>
      <w:pPr>
        <w:pStyle w:val="Heading2"/>
      </w:pPr>
      <w:r>
        <w:t>15.2 进入详细设计和编码的门禁</w:t>
      </w:r>
    </w:p>
    <w:p>
      <w:pPr>
        <w:keepLines w:val="0"/>
        <w:widowControl/>
        <w:spacing w:after="120"/>
      </w:pPr>
      <w:r>
        <w:rPr>
          <w:rFonts w:ascii="Calibri" w:hAnsi="Calibri" w:eastAsia="等线"/>
          <w:color w:val="1F1F1F"/>
        </w:rPr>
        <w:t>建议将准入分为架构闭环、详细设计和全面编码三层。架构闭环要求D-01至D-08形成书面决议，尤其是通道共享、顺序、写协议、Credit释放和精度基准；详细设计准入要求模块接口、事务状态机、资源生命周期、事件阶段顺序、配置Schema和统计Schema完成评审；全面编码准入还要求Critical/Major验证项具有可执行测试计划、Target基线参数有Owner、对标数据采集计划已承诺。</w:t>
      </w:r>
    </w:p>
    <w:tbl>
      <w:tblPr>
        <w:tblStyle w:val="TableGrid"/>
        <w:tblW w:type="dxa" w:w="9360"/>
        <w:jc w:val="left"/>
        <w:tblLayout w:type="fixed"/>
        <w:tblLook w:firstColumn="1" w:firstRow="1" w:lastColumn="0" w:lastRow="0" w:noHBand="0" w:noVBand="1" w:val="04A0"/>
        <w:tblInd w:w="120" w:type="dxa"/>
      </w:tblPr>
      <w:tblGrid>
        <w:gridCol w:w="1700"/>
        <w:gridCol w:w="5000"/>
        <w:gridCol w:w="2660"/>
      </w:tblGrid>
      <w:tr>
        <w:trPr>
          <w:cantSplit/>
          <w:tblHeader w:val="true"/>
        </w:trPr>
        <w:tc>
          <w:tcPr>
            <w:tcW w:type="dxa" w:w="170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门禁</w:t>
            </w:r>
          </w:p>
        </w:tc>
        <w:tc>
          <w:tcPr>
            <w:tcW w:type="dxa" w:w="500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必须满足</w:t>
            </w:r>
          </w:p>
        </w:tc>
        <w:tc>
          <w:tcPr>
            <w:tcW w:type="dxa" w:w="266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未满足时允许的工作</w:t>
            </w:r>
          </w:p>
        </w:tc>
      </w:tr>
      <w:tr>
        <w:tc>
          <w:tcPr>
            <w:tcW w:type="dxa" w:w="1700"/>
          </w:tcPr>
          <w:p>
            <w:pPr>
              <w:spacing w:after="0" w:line="240" w:lineRule="auto"/>
            </w:pPr>
            <w:r>
              <w:rPr>
                <w:rFonts w:ascii="Calibri" w:hAnsi="Calibri" w:eastAsia="等线"/>
                <w:b/>
                <w:color w:val="1F1F1F"/>
                <w:sz w:val="17"/>
              </w:rPr>
              <w:t>G0 架构决议</w:t>
            </w:r>
          </w:p>
        </w:tc>
        <w:tc>
          <w:tcPr>
            <w:tcW w:type="dxa" w:w="5000"/>
          </w:tcPr>
          <w:p>
            <w:pPr>
              <w:spacing w:after="0" w:line="240" w:lineRule="auto"/>
            </w:pPr>
            <w:r>
              <w:rPr>
                <w:rFonts w:ascii="Calibri" w:hAnsi="Calibri" w:eastAsia="等线"/>
                <w:b w:val="0"/>
                <w:color w:val="1F1F1F"/>
                <w:sz w:val="17"/>
              </w:rPr>
              <w:t>D-01至D-08有明确结论，Critical有Owner和关闭证据。</w:t>
            </w:r>
          </w:p>
        </w:tc>
        <w:tc>
          <w:tcPr>
            <w:tcW w:type="dxa" w:w="2660"/>
          </w:tcPr>
          <w:p>
            <w:pPr>
              <w:spacing w:after="0" w:line="240" w:lineRule="auto"/>
            </w:pPr>
            <w:r>
              <w:rPr>
                <w:rFonts w:ascii="Calibri" w:hAnsi="Calibri" w:eastAsia="等线"/>
                <w:b w:val="0"/>
                <w:color w:val="1F1F1F"/>
                <w:sz w:val="17"/>
              </w:rPr>
              <w:t>文档完善、基准数据准备；不得冻结性能语义。</w:t>
            </w:r>
          </w:p>
        </w:tc>
      </w:tr>
      <w:tr>
        <w:tc>
          <w:tcPr>
            <w:tcW w:type="dxa" w:w="1700"/>
          </w:tcPr>
          <w:p>
            <w:pPr>
              <w:spacing w:after="0" w:line="240" w:lineRule="auto"/>
            </w:pPr>
            <w:r>
              <w:rPr>
                <w:rFonts w:ascii="Calibri" w:hAnsi="Calibri" w:eastAsia="等线"/>
                <w:b/>
                <w:color w:val="1F1F1F"/>
                <w:sz w:val="17"/>
              </w:rPr>
              <w:t>G1 详细设计</w:t>
            </w:r>
          </w:p>
        </w:tc>
        <w:tc>
          <w:tcPr>
            <w:tcW w:type="dxa" w:w="5000"/>
          </w:tcPr>
          <w:p>
            <w:pPr>
              <w:spacing w:after="0" w:line="240" w:lineRule="auto"/>
            </w:pPr>
            <w:r>
              <w:rPr>
                <w:rFonts w:ascii="Calibri" w:hAnsi="Calibri" w:eastAsia="等线"/>
                <w:b w:val="0"/>
                <w:color w:val="1F1F1F"/>
                <w:sz w:val="17"/>
              </w:rPr>
              <w:t>接口、状态机、资源表、调度顺序、Schema和验证矩阵评审通过。</w:t>
            </w:r>
          </w:p>
        </w:tc>
        <w:tc>
          <w:tcPr>
            <w:tcW w:type="dxa" w:w="2660"/>
          </w:tcPr>
          <w:p>
            <w:pPr>
              <w:spacing w:after="0" w:line="240" w:lineRule="auto"/>
            </w:pPr>
            <w:r>
              <w:rPr>
                <w:rFonts w:ascii="Calibri" w:hAnsi="Calibri" w:eastAsia="等线"/>
                <w:b w:val="0"/>
                <w:color w:val="1F1F1F"/>
                <w:sz w:val="17"/>
              </w:rPr>
              <w:t>可开发配置/统计基础设施和非争议原型。</w:t>
            </w:r>
          </w:p>
        </w:tc>
      </w:tr>
      <w:tr>
        <w:tc>
          <w:tcPr>
            <w:tcW w:type="dxa" w:w="1700"/>
          </w:tcPr>
          <w:p>
            <w:pPr>
              <w:spacing w:after="0" w:line="240" w:lineRule="auto"/>
            </w:pPr>
            <w:r>
              <w:rPr>
                <w:rFonts w:ascii="Calibri" w:hAnsi="Calibri" w:eastAsia="等线"/>
                <w:b/>
                <w:color w:val="1F1F1F"/>
                <w:sz w:val="17"/>
              </w:rPr>
              <w:t>G2 全面编码</w:t>
            </w:r>
          </w:p>
        </w:tc>
        <w:tc>
          <w:tcPr>
            <w:tcW w:type="dxa" w:w="5000"/>
          </w:tcPr>
          <w:p>
            <w:pPr>
              <w:spacing w:after="0" w:line="240" w:lineRule="auto"/>
            </w:pPr>
            <w:r>
              <w:rPr>
                <w:rFonts w:ascii="Calibri" w:hAnsi="Calibri" w:eastAsia="等线"/>
                <w:b w:val="0"/>
                <w:color w:val="1F1F1F"/>
                <w:sz w:val="17"/>
              </w:rPr>
              <w:t>Major验证项可执行，Target参数/参考数据计划已落实。</w:t>
            </w:r>
          </w:p>
        </w:tc>
        <w:tc>
          <w:tcPr>
            <w:tcW w:type="dxa" w:w="2660"/>
          </w:tcPr>
          <w:p>
            <w:pPr>
              <w:spacing w:after="0" w:line="240" w:lineRule="auto"/>
            </w:pPr>
            <w:r>
              <w:rPr>
                <w:rFonts w:ascii="Calibri" w:hAnsi="Calibri" w:eastAsia="等线"/>
                <w:b w:val="0"/>
                <w:color w:val="1F1F1F"/>
                <w:sz w:val="17"/>
              </w:rPr>
              <w:t>若未满足，不应以模型数值支持架构签核。</w:t>
            </w:r>
          </w:p>
        </w:tc>
      </w:tr>
      <w:tr>
        <w:tc>
          <w:tcPr>
            <w:tcW w:type="dxa" w:w="1700"/>
          </w:tcPr>
          <w:p>
            <w:pPr>
              <w:spacing w:after="0" w:line="240" w:lineRule="auto"/>
            </w:pPr>
            <w:r>
              <w:rPr>
                <w:rFonts w:ascii="Calibri" w:hAnsi="Calibri" w:eastAsia="等线"/>
                <w:b/>
                <w:color w:val="1F1F1F"/>
                <w:sz w:val="17"/>
              </w:rPr>
              <w:t>G3 精度签核</w:t>
            </w:r>
          </w:p>
        </w:tc>
        <w:tc>
          <w:tcPr>
            <w:tcW w:type="dxa" w:w="5000"/>
          </w:tcPr>
          <w:p>
            <w:pPr>
              <w:spacing w:after="0" w:line="240" w:lineRule="auto"/>
            </w:pPr>
            <w:r>
              <w:rPr>
                <w:rFonts w:ascii="Calibri" w:hAnsi="Calibri" w:eastAsia="等线"/>
                <w:b w:val="0"/>
                <w:color w:val="1F1F1F"/>
                <w:sz w:val="17"/>
              </w:rPr>
              <w:t>留出集加权准确度≥0.80且硬门限全通过。</w:t>
            </w:r>
          </w:p>
        </w:tc>
        <w:tc>
          <w:tcPr>
            <w:tcW w:type="dxa" w:w="2660"/>
          </w:tcPr>
          <w:p>
            <w:pPr>
              <w:spacing w:after="0" w:line="240" w:lineRule="auto"/>
            </w:pPr>
            <w:r>
              <w:rPr>
                <w:rFonts w:ascii="Calibri" w:hAnsi="Calibri" w:eastAsia="等线"/>
                <w:b w:val="0"/>
                <w:color w:val="1F1F1F"/>
                <w:sz w:val="17"/>
              </w:rPr>
              <w:t>可继续校准或缩小适用域；不得宣称已达80%。</w:t>
            </w:r>
          </w:p>
        </w:tc>
      </w:tr>
    </w:tbl>
    <w:p>
      <w:pPr>
        <w:spacing w:after="0"/>
      </w:pPr>
    </w:p>
    <w:p>
      <w:pPr>
        <w:pStyle w:val="Heading2"/>
      </w:pPr>
      <w:r>
        <w:t>15.3 明确结论</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ED"/>
          </w:tcPr>
          <w:p>
            <w:pPr>
              <w:spacing w:after="40"/>
            </w:pPr>
            <w:r>
              <w:rPr>
                <w:rFonts w:ascii="Calibri" w:hAnsi="Calibri" w:eastAsia="等线"/>
                <w:b/>
                <w:color w:val="B45F06"/>
                <w:sz w:val="21"/>
              </w:rPr>
              <w:t>评审建议：有条件具备进入详细设计，不具备无条件全面编码</w:t>
              <w:br/>
            </w:r>
            <w:r>
              <w:rPr>
                <w:rFonts w:ascii="Calibri" w:hAnsi="Calibri" w:eastAsia="等线"/>
                <w:color w:val="1F1F1F"/>
                <w:sz w:val="20"/>
              </w:rPr>
              <w:t>本文已达到方案级架构评审所需的边界、模块职责、事务闭环、资源生命周期、时延/带宽模型、配置/统计、校准与验证深度。若专家在本次评审中关闭D-02至D-05及D-08等Critical关联决策，并将决议写回基线，则方案可进入详细设计；在这些事项未关闭前，只建议开展不依赖其语义的基础设施和验证框架工作。模型在完成留出集验收前只能声明‘精度目标约80%’，不能声明已经达到。</w:t>
            </w:r>
          </w:p>
        </w:tc>
      </w:tr>
    </w:tbl>
    <w:p>
      <w:pPr>
        <w:spacing w:after="0"/>
      </w:pPr>
    </w:p>
    <w:p>
      <w:pPr>
        <w:keepLines w:val="0"/>
        <w:widowControl/>
        <w:spacing w:after="120"/>
      </w:pPr>
      <w:r>
        <w:rPr>
          <w:rFonts w:ascii="Calibri" w:hAnsi="Calibri" w:eastAsia="等线"/>
          <w:color w:val="1F1F1F"/>
        </w:rPr>
        <w:t>评审通过后的首批详细设计输出应包括：接口信号与payload字段表、读写状态机、父子事务和多响应计数规则、每类资源的acquire/release时序、同cycle事件优先级、各输出仲裁伪代码、配置Schema、统计字段Schema、错误/复位/排空语义，以及覆盖本文件Critical/Major问题的验证计划。</w:t>
      </w:r>
    </w:p>
    <w:p>
      <w:pPr>
        <w:pStyle w:val="Heading1"/>
      </w:pPr>
      <w:r>
        <w:t>附录A 交付物索引</w:t>
      </w:r>
    </w:p>
    <w:tbl>
      <w:tblPr>
        <w:tblStyle w:val="TableGrid"/>
        <w:tblW w:type="dxa" w:w="9360"/>
        <w:jc w:val="left"/>
        <w:tblLayout w:type="fixed"/>
        <w:tblLook w:firstColumn="1" w:firstRow="1" w:lastColumn="0" w:lastRow="0" w:noHBand="0" w:noVBand="1" w:val="04A0"/>
        <w:tblInd w:w="120" w:type="dxa"/>
      </w:tblPr>
      <w:tblGrid>
        <w:gridCol w:w="1900"/>
        <w:gridCol w:w="2700"/>
        <w:gridCol w:w="4760"/>
      </w:tblGrid>
      <w:tr>
        <w:trPr>
          <w:cantSplit/>
          <w:tblHeader w:val="true"/>
        </w:trPr>
        <w:tc>
          <w:tcPr>
            <w:tcW w:type="dxa" w:w="190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交付物</w:t>
            </w:r>
          </w:p>
        </w:tc>
        <w:tc>
          <w:tcPr>
            <w:tcW w:type="dxa" w:w="270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位置/形式</w:t>
            </w:r>
          </w:p>
        </w:tc>
        <w:tc>
          <w:tcPr>
            <w:tcW w:type="dxa" w:w="4760"/>
            <w:tcMar>
              <w:top w:w="80" w:type="dxa"/>
              <w:start w:w="120" w:type="dxa"/>
              <w:bottom w:w="80" w:type="dxa"/>
              <w:end w:w="120" w:type="dxa"/>
            </w:tcMar>
            <w:vAlign w:val="center"/>
            <w:shd w:fill="F2F4F7"/>
          </w:tcPr>
          <w:p>
            <w:pPr>
              <w:spacing w:after="0"/>
              <w:jc w:val="left"/>
            </w:pPr>
            <w:r>
              <w:rPr>
                <w:rFonts w:ascii="Calibri" w:hAnsi="Calibri" w:eastAsia="等线"/>
                <w:b/>
                <w:color w:val="1F4E79"/>
                <w:sz w:val="17"/>
              </w:rPr>
              <w:t>说明</w:t>
            </w:r>
          </w:p>
        </w:tc>
      </w:tr>
      <w:tr>
        <w:tc>
          <w:tcPr>
            <w:tcW w:type="dxa" w:w="1900"/>
          </w:tcPr>
          <w:p>
            <w:pPr>
              <w:spacing w:after="0" w:line="240" w:lineRule="auto"/>
            </w:pPr>
            <w:r>
              <w:rPr>
                <w:rFonts w:ascii="Calibri" w:hAnsi="Calibri" w:eastAsia="等线"/>
                <w:b/>
                <w:color w:val="1F1F1F"/>
                <w:sz w:val="17"/>
              </w:rPr>
              <w:t>完整设计文档</w:t>
            </w:r>
          </w:p>
        </w:tc>
        <w:tc>
          <w:tcPr>
            <w:tcW w:type="dxa" w:w="2700"/>
          </w:tcPr>
          <w:p>
            <w:pPr>
              <w:spacing w:after="0" w:line="240" w:lineRule="auto"/>
            </w:pPr>
            <w:r>
              <w:rPr>
                <w:rFonts w:ascii="Calibri" w:hAnsi="Calibri" w:eastAsia="等线"/>
                <w:b w:val="0"/>
                <w:color w:val="1F1F1F"/>
                <w:sz w:val="17"/>
              </w:rPr>
              <w:t>本Word文档</w:t>
            </w:r>
          </w:p>
        </w:tc>
        <w:tc>
          <w:tcPr>
            <w:tcW w:type="dxa" w:w="4760"/>
          </w:tcPr>
          <w:p>
            <w:pPr>
              <w:spacing w:after="0" w:line="240" w:lineRule="auto"/>
            </w:pPr>
            <w:r>
              <w:rPr>
                <w:rFonts w:ascii="Calibri" w:hAnsi="Calibri" w:eastAsia="等线"/>
                <w:b w:val="0"/>
                <w:color w:val="1F1F1F"/>
                <w:sz w:val="17"/>
              </w:rPr>
              <w:t>包含正式正文、一页摘要、参数表、风险、决策和阶段结论。</w:t>
            </w:r>
          </w:p>
        </w:tc>
      </w:tr>
      <w:tr>
        <w:tc>
          <w:tcPr>
            <w:tcW w:type="dxa" w:w="1900"/>
          </w:tcPr>
          <w:p>
            <w:pPr>
              <w:spacing w:after="0" w:line="240" w:lineRule="auto"/>
            </w:pPr>
            <w:r>
              <w:rPr>
                <w:rFonts w:ascii="Calibri" w:hAnsi="Calibri" w:eastAsia="等线"/>
                <w:b/>
                <w:color w:val="1F1F1F"/>
                <w:sz w:val="17"/>
              </w:rPr>
              <w:t>一页专家评审摘要</w:t>
            </w:r>
          </w:p>
        </w:tc>
        <w:tc>
          <w:tcPr>
            <w:tcW w:type="dxa" w:w="2700"/>
          </w:tcPr>
          <w:p>
            <w:pPr>
              <w:spacing w:after="0" w:line="240" w:lineRule="auto"/>
            </w:pPr>
            <w:r>
              <w:rPr>
                <w:rFonts w:ascii="Calibri" w:hAnsi="Calibri" w:eastAsia="等线"/>
                <w:b w:val="0"/>
                <w:color w:val="1F1F1F"/>
                <w:sz w:val="17"/>
              </w:rPr>
              <w:t>封面后第1页</w:t>
            </w:r>
          </w:p>
        </w:tc>
        <w:tc>
          <w:tcPr>
            <w:tcW w:type="dxa" w:w="4760"/>
          </w:tcPr>
          <w:p>
            <w:pPr>
              <w:spacing w:after="0" w:line="240" w:lineRule="auto"/>
            </w:pPr>
            <w:r>
              <w:rPr>
                <w:rFonts w:ascii="Calibri" w:hAnsi="Calibri" w:eastAsia="等线"/>
                <w:b w:val="0"/>
                <w:color w:val="1F1F1F"/>
                <w:sz w:val="17"/>
              </w:rPr>
              <w:t>用于评审会预读和结论快速对齐。</w:t>
            </w:r>
          </w:p>
        </w:tc>
      </w:tr>
      <w:tr>
        <w:tc>
          <w:tcPr>
            <w:tcW w:type="dxa" w:w="1900"/>
          </w:tcPr>
          <w:p>
            <w:pPr>
              <w:spacing w:after="0" w:line="240" w:lineRule="auto"/>
            </w:pPr>
            <w:r>
              <w:rPr>
                <w:rFonts w:ascii="Calibri" w:hAnsi="Calibri" w:eastAsia="等线"/>
                <w:b/>
                <w:color w:val="1F1F1F"/>
                <w:sz w:val="17"/>
              </w:rPr>
              <w:t>六张架构图</w:t>
            </w:r>
          </w:p>
        </w:tc>
        <w:tc>
          <w:tcPr>
            <w:tcW w:type="dxa" w:w="2700"/>
          </w:tcPr>
          <w:p>
            <w:pPr>
              <w:spacing w:after="0" w:line="240" w:lineRule="auto"/>
            </w:pPr>
            <w:r>
              <w:rPr>
                <w:rFonts w:ascii="Calibri" w:hAnsi="Calibri" w:eastAsia="等线"/>
                <w:b w:val="0"/>
                <w:color w:val="1F1F1F"/>
                <w:sz w:val="17"/>
              </w:rPr>
              <w:t>正文图1–图6</w:t>
            </w:r>
          </w:p>
        </w:tc>
        <w:tc>
          <w:tcPr>
            <w:tcW w:type="dxa" w:w="4760"/>
          </w:tcPr>
          <w:p>
            <w:pPr>
              <w:spacing w:after="0" w:line="240" w:lineRule="auto"/>
            </w:pPr>
            <w:r>
              <w:rPr>
                <w:rFonts w:ascii="Calibri" w:hAnsi="Calibri" w:eastAsia="等线"/>
                <w:b w:val="0"/>
                <w:color w:val="1F1F1F"/>
                <w:sz w:val="17"/>
              </w:rPr>
              <w:t>每图前含图纸设计说明。</w:t>
            </w:r>
          </w:p>
        </w:tc>
      </w:tr>
      <w:tr>
        <w:tc>
          <w:tcPr>
            <w:tcW w:type="dxa" w:w="1900"/>
          </w:tcPr>
          <w:p>
            <w:pPr>
              <w:spacing w:after="0" w:line="240" w:lineRule="auto"/>
            </w:pPr>
            <w:r>
              <w:rPr>
                <w:rFonts w:ascii="Calibri" w:hAnsi="Calibri" w:eastAsia="等线"/>
                <w:b/>
                <w:color w:val="1F1F1F"/>
                <w:sz w:val="17"/>
              </w:rPr>
              <w:t>可编辑图源</w:t>
            </w:r>
          </w:p>
        </w:tc>
        <w:tc>
          <w:tcPr>
            <w:tcW w:type="dxa" w:w="2700"/>
          </w:tcPr>
          <w:p>
            <w:pPr>
              <w:spacing w:after="0" w:line="240" w:lineRule="auto"/>
            </w:pPr>
            <w:r>
              <w:rPr>
                <w:rFonts w:ascii="Calibri" w:hAnsi="Calibri" w:eastAsia="等线"/>
                <w:b w:val="0"/>
                <w:color w:val="1F1F1F"/>
                <w:sz w:val="17"/>
              </w:rPr>
              <w:t>editable_diagrams/*.svg</w:t>
            </w:r>
          </w:p>
        </w:tc>
        <w:tc>
          <w:tcPr>
            <w:tcW w:type="dxa" w:w="4760"/>
          </w:tcPr>
          <w:p>
            <w:pPr>
              <w:spacing w:after="0" w:line="240" w:lineRule="auto"/>
            </w:pPr>
            <w:r>
              <w:rPr>
                <w:rFonts w:ascii="Calibri" w:hAnsi="Calibri" w:eastAsia="等线"/>
                <w:b w:val="0"/>
                <w:color w:val="1F1F1F"/>
                <w:sz w:val="17"/>
              </w:rPr>
              <w:t>SVG 1.1，白色背景、正交连线、统一线型，可继续编辑。</w:t>
            </w:r>
          </w:p>
        </w:tc>
      </w:tr>
      <w:tr>
        <w:tc>
          <w:tcPr>
            <w:tcW w:type="dxa" w:w="1900"/>
          </w:tcPr>
          <w:p>
            <w:pPr>
              <w:spacing w:after="0" w:line="240" w:lineRule="auto"/>
            </w:pPr>
            <w:r>
              <w:rPr>
                <w:rFonts w:ascii="Calibri" w:hAnsi="Calibri" w:eastAsia="等线"/>
                <w:b/>
                <w:color w:val="1F1F1F"/>
                <w:sz w:val="17"/>
              </w:rPr>
              <w:t>参数配置表</w:t>
            </w:r>
          </w:p>
        </w:tc>
        <w:tc>
          <w:tcPr>
            <w:tcW w:type="dxa" w:w="2700"/>
          </w:tcPr>
          <w:p>
            <w:pPr>
              <w:spacing w:after="0" w:line="240" w:lineRule="auto"/>
            </w:pPr>
            <w:r>
              <w:rPr>
                <w:rFonts w:ascii="Calibri" w:hAnsi="Calibri" w:eastAsia="等线"/>
                <w:b w:val="0"/>
                <w:color w:val="1F1F1F"/>
                <w:sz w:val="17"/>
              </w:rPr>
              <w:t>第11.2节</w:t>
            </w:r>
          </w:p>
        </w:tc>
        <w:tc>
          <w:tcPr>
            <w:tcW w:type="dxa" w:w="4760"/>
          </w:tcPr>
          <w:p>
            <w:pPr>
              <w:spacing w:after="0" w:line="240" w:lineRule="auto"/>
            </w:pPr>
            <w:r>
              <w:rPr>
                <w:rFonts w:ascii="Calibri" w:hAnsi="Calibri" w:eastAsia="等线"/>
                <w:b w:val="0"/>
                <w:color w:val="1F1F1F"/>
                <w:sz w:val="17"/>
              </w:rPr>
              <w:t>包含定义、单位、建议默认、范围、作用位置和性能影响。</w:t>
            </w:r>
          </w:p>
        </w:tc>
      </w:tr>
      <w:tr>
        <w:tc>
          <w:tcPr>
            <w:tcW w:type="dxa" w:w="1900"/>
          </w:tcPr>
          <w:p>
            <w:pPr>
              <w:spacing w:after="0" w:line="240" w:lineRule="auto"/>
            </w:pPr>
            <w:r>
              <w:rPr>
                <w:rFonts w:ascii="Calibri" w:hAnsi="Calibri" w:eastAsia="等线"/>
                <w:b/>
                <w:color w:val="1F1F1F"/>
                <w:sz w:val="17"/>
              </w:rPr>
              <w:t>风险与独立审查</w:t>
            </w:r>
          </w:p>
        </w:tc>
        <w:tc>
          <w:tcPr>
            <w:tcW w:type="dxa" w:w="2700"/>
          </w:tcPr>
          <w:p>
            <w:pPr>
              <w:spacing w:after="0" w:line="240" w:lineRule="auto"/>
            </w:pPr>
            <w:r>
              <w:rPr>
                <w:rFonts w:ascii="Calibri" w:hAnsi="Calibri" w:eastAsia="等线"/>
                <w:b w:val="0"/>
                <w:color w:val="1F1F1F"/>
                <w:sz w:val="17"/>
              </w:rPr>
              <w:t>第14节</w:t>
            </w:r>
          </w:p>
        </w:tc>
        <w:tc>
          <w:tcPr>
            <w:tcW w:type="dxa" w:w="4760"/>
          </w:tcPr>
          <w:p>
            <w:pPr>
              <w:spacing w:after="0" w:line="240" w:lineRule="auto"/>
            </w:pPr>
            <w:r>
              <w:rPr>
                <w:rFonts w:ascii="Calibri" w:hAnsi="Calibri" w:eastAsia="等线"/>
                <w:b w:val="0"/>
                <w:color w:val="1F1F1F"/>
                <w:sz w:val="17"/>
              </w:rPr>
              <w:t>Critical/Major/Minor/Suggestion及修改建议。</w:t>
            </w:r>
          </w:p>
        </w:tc>
      </w:tr>
      <w:tr>
        <w:tc>
          <w:tcPr>
            <w:tcW w:type="dxa" w:w="1900"/>
          </w:tcPr>
          <w:p>
            <w:pPr>
              <w:spacing w:after="0" w:line="240" w:lineRule="auto"/>
            </w:pPr>
            <w:r>
              <w:rPr>
                <w:rFonts w:ascii="Calibri" w:hAnsi="Calibri" w:eastAsia="等线"/>
                <w:b/>
                <w:color w:val="1F1F1F"/>
                <w:sz w:val="17"/>
              </w:rPr>
              <w:t>专家拍板与准入结论</w:t>
            </w:r>
          </w:p>
        </w:tc>
        <w:tc>
          <w:tcPr>
            <w:tcW w:type="dxa" w:w="2700"/>
          </w:tcPr>
          <w:p>
            <w:pPr>
              <w:spacing w:after="0" w:line="240" w:lineRule="auto"/>
            </w:pPr>
            <w:r>
              <w:rPr>
                <w:rFonts w:ascii="Calibri" w:hAnsi="Calibri" w:eastAsia="等线"/>
                <w:b w:val="0"/>
                <w:color w:val="1F1F1F"/>
                <w:sz w:val="17"/>
              </w:rPr>
              <w:t>第15节</w:t>
            </w:r>
          </w:p>
        </w:tc>
        <w:tc>
          <w:tcPr>
            <w:tcW w:type="dxa" w:w="4760"/>
          </w:tcPr>
          <w:p>
            <w:pPr>
              <w:spacing w:after="0" w:line="240" w:lineRule="auto"/>
            </w:pPr>
            <w:r>
              <w:rPr>
                <w:rFonts w:ascii="Calibri" w:hAnsi="Calibri" w:eastAsia="等线"/>
                <w:b w:val="0"/>
                <w:color w:val="1F1F1F"/>
                <w:sz w:val="17"/>
              </w:rPr>
              <w:t>D-01至D-09、G0至G3和明确阶段结论。</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等线"/>
        <w:color w:val="666666"/>
        <w:sz w:val="17"/>
      </w:rPr>
      <w:t xml:space="preserve">内部技术资料  |  V0.9  |  第 </w:t>
    </w:r>
    <w:r>
      <w:rPr>
        <w:rFonts w:ascii="Calibri" w:hAnsi="Calibri" w:eastAsia="等线"/>
        <w:color w:val="666666"/>
        <w:sz w:val="17"/>
      </w:rPr>
      <w:fldChar w:fldCharType="begin"/>
      <w:instrText xml:space="preserve"> PAGE </w:instrText>
      <w:fldChar w:fldCharType="separate"/>
      <w:t>1</w:t>
      <w:fldChar w:fldCharType="end"/>
    </w:r>
    <w:r>
      <w:rPr>
        <w:rFonts w:ascii="Calibri" w:hAnsi="Calibri" w:eastAsia="等线"/>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等线"/>
        <w:b/>
        <w:color w:val="666666"/>
        <w:sz w:val="17"/>
      </w:rPr>
      <w:t>多核SoC总线模型方案与架构设计</w:t>
    </w:r>
    <w:r>
      <w:rPr>
        <w:rFonts w:ascii="Calibri" w:hAnsi="Calibri" w:eastAsia="等线"/>
        <w:color w:val="A6A6A6"/>
        <w:sz w:val="17"/>
      </w:rPr>
      <w:t xml:space="preserve">    |    BUS-MDL-ARCH-001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等线"/>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eastAsia="等线"/>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eastAsia="等线"/>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eastAsia="等线"/>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eastAsia="等线"/>
      <w:sz w:val="21"/>
    </w:rPr>
  </w:style>
  <w:style w:type="paragraph" w:styleId="ListBullet2">
    <w:name w:val="List Bullet 2"/>
    <w:basedOn w:val="Normal"/>
    <w:uiPriority w:val="99"/>
    <w:unhideWhenUsed/>
    <w:rsid w:val="00326F90"/>
    <w:pPr>
      <w:numPr>
        <w:numId w:val="2"/>
      </w:numPr>
      <w:spacing w:after="100" w:line="264" w:lineRule="auto"/>
      <w:ind w:left="720" w:hanging="360"/>
      <w:contextualSpacing/>
    </w:pPr>
    <w:rPr>
      <w:rFonts w:ascii="Calibri" w:hAnsi="Calibri" w:eastAsia="等线"/>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eastAsia="等线"/>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40" w:lineRule="auto" w:before="60" w:after="180"/>
      <w:jc w:val="center"/>
    </w:pPr>
    <w:rPr>
      <w:rFonts w:ascii="Calibri" w:hAnsi="Calibri" w:eastAsia="等线"/>
      <w:b/>
      <w:bCs/>
      <w:i w:val="0"/>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多核SoC总线模型方案与架构设计文档</dc:title>
  <dc:subject>多核SoC片上互连ESL性能模型架构评审</dc:subject>
  <dc:creator>SoC Architecture / Interconnect / ESL Modeling</dc:creator>
  <cp:keywords>SoC, Interconnect, Ring, ESL, OSD, Credit, Backpressure, Performance Modeling</cp:keywords>
  <dc:description>Generated as a design-code-entry architecture review input.</dc:description>
  <cp:lastModifiedBy/>
  <cp:revision>1</cp:revision>
  <dcterms:created xsi:type="dcterms:W3CDTF">2013-12-23T23:15:00Z</dcterms:created>
  <dcterms:modified xsi:type="dcterms:W3CDTF">2013-12-23T23:15:00Z</dcterms:modified>
  <cp:category>Architecture Review</cp:category>
</cp:coreProperties>
</file>