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800" w:after="200"/>
        <w:jc w:val="center"/>
        <w:rPr/>
      </w:pPr>
      <w:r>
        <w:rPr>
          <w:rFonts w:eastAsia="微軟正黑體"/>
          <w:b/>
          <w:bCs/>
          <w:color w:val="1F4E79"/>
          <w:sz w:val="52"/>
          <w:szCs w:val="52"/>
        </w:rPr>
        <w:t xml:space="preserve">軟體系統規格書 </w:t>
      </w:r>
      <w:r>
        <w:rPr>
          <w:rFonts w:eastAsia="微軟正黑體"/>
          <w:b/>
          <w:bCs/>
          <w:color w:val="1F4E79"/>
          <w:sz w:val="52"/>
          <w:szCs w:val="52"/>
        </w:rPr>
        <w:t>SDD</w:t>
      </w:r>
    </w:p>
    <w:p>
      <w:pPr>
        <w:pStyle w:val="Normal"/>
        <w:spacing w:before="0" w:after="200"/>
        <w:jc w:val="center"/>
        <w:rPr/>
      </w:pPr>
      <w:r>
        <w:rPr>
          <w:rFonts w:eastAsia="微軟正黑體"/>
          <w:sz w:val="32"/>
          <w:szCs w:val="32"/>
        </w:rPr>
        <w:t xml:space="preserve">SGS </w:t>
      </w:r>
      <w:r>
        <w:rPr>
          <w:rFonts w:eastAsia="微軟正黑體"/>
          <w:sz w:val="32"/>
          <w:szCs w:val="32"/>
        </w:rPr>
        <w:t>基礎框架系統（</w:t>
      </w:r>
      <w:r>
        <w:rPr>
          <w:rFonts w:eastAsia="微軟正黑體"/>
          <w:sz w:val="32"/>
          <w:szCs w:val="32"/>
        </w:rPr>
        <w:t>PhysLIMS 2.0 Framework</w:t>
      </w:r>
      <w:r>
        <w:rPr>
          <w:rFonts w:eastAsia="微軟正黑體"/>
          <w:sz w:val="32"/>
          <w:szCs w:val="32"/>
        </w:rPr>
        <w:t>）</w:t>
      </w:r>
    </w:p>
    <w:p>
      <w:pPr>
        <w:pStyle w:val="Normal"/>
        <w:spacing w:before="0" w:after="100"/>
        <w:jc w:val="center"/>
        <w:rPr/>
      </w:pPr>
      <w:r>
        <w:rPr>
          <w:rFonts w:eastAsia="微軟正黑體"/>
          <w:color w:val="555555"/>
          <w:sz w:val="22"/>
          <w:szCs w:val="22"/>
        </w:rPr>
        <w:t>版本：</w:t>
      </w:r>
      <w:r>
        <w:rPr>
          <w:rFonts w:eastAsia="微軟正黑體"/>
          <w:color w:val="555555"/>
          <w:sz w:val="22"/>
          <w:szCs w:val="22"/>
        </w:rPr>
        <w:t>v1.1</w:t>
      </w:r>
      <w:r>
        <w:rPr>
          <w:rFonts w:eastAsia="微軟正黑體"/>
          <w:color w:val="555555"/>
          <w:sz w:val="22"/>
          <w:szCs w:val="22"/>
        </w:rPr>
        <w:t xml:space="preserve">（依現行 </w:t>
      </w:r>
      <w:r>
        <w:rPr>
          <w:rFonts w:eastAsia="微軟正黑體"/>
          <w:color w:val="555555"/>
          <w:sz w:val="22"/>
          <w:szCs w:val="22"/>
        </w:rPr>
        <w:t xml:space="preserve">SGSFramework </w:t>
      </w:r>
      <w:r>
        <w:rPr>
          <w:rFonts w:eastAsia="微軟正黑體"/>
          <w:color w:val="555555"/>
          <w:sz w:val="22"/>
          <w:szCs w:val="22"/>
        </w:rPr>
        <w:t>原始碼修訂草稿）</w:t>
      </w:r>
    </w:p>
    <w:p>
      <w:pPr>
        <w:pStyle w:val="Normal"/>
        <w:spacing w:before="0" w:after="100"/>
        <w:jc w:val="center"/>
        <w:rPr/>
      </w:pPr>
      <w:r>
        <w:rPr>
          <w:rFonts w:eastAsia="微軟正黑體"/>
          <w:color w:val="555555"/>
          <w:sz w:val="22"/>
          <w:szCs w:val="22"/>
        </w:rPr>
        <w:t>修訂日期：</w:t>
      </w:r>
      <w:r>
        <w:rPr>
          <w:rFonts w:eastAsia="微軟正黑體"/>
          <w:color w:val="555555"/>
          <w:sz w:val="22"/>
          <w:szCs w:val="22"/>
        </w:rPr>
        <w:t>2026-10-21</w:t>
      </w:r>
    </w:p>
    <w:p>
      <w:pPr>
        <w:pStyle w:val="Normal"/>
        <w:spacing w:before="600" w:after="100"/>
        <w:jc w:val="center"/>
        <w:rPr>
          <w:rFonts w:eastAsia="微軟正黑體"/>
          <w:color w:val="777777"/>
          <w:sz w:val="20"/>
          <w:szCs w:val="20"/>
        </w:rPr>
      </w:pPr>
      <w:r>
        <w:rPr>
          <w:rFonts w:eastAsia="微軟正黑體"/>
          <w:color w:val="777777"/>
          <w:sz w:val="20"/>
          <w:szCs w:val="20"/>
        </w:rPr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200"/>
        <w:rPr/>
      </w:pPr>
      <w:r>
        <w:rPr>
          <w:rFonts w:eastAsia="微軟正黑體"/>
          <w:b/>
          <w:bCs/>
          <w:color w:val="1F4E79"/>
          <w:sz w:val="36"/>
          <w:szCs w:val="36"/>
        </w:rPr>
        <w:t>文件版本履歷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1891"/>
        <w:gridCol w:w="2309"/>
        <w:gridCol w:w="3300"/>
        <w:gridCol w:w="2138"/>
      </w:tblGrid>
      <w:tr>
        <w:trPr>
          <w:tblHeader w:val="true"/>
        </w:trPr>
        <w:tc>
          <w:tcPr>
            <w:tcW w:w="1891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>
                <w:rFonts w:eastAsia="微軟正黑體"/>
                <w:b/>
                <w:bCs/>
                <w:sz w:val="19"/>
                <w:szCs w:val="19"/>
              </w:rPr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版本</w:t>
            </w:r>
          </w:p>
        </w:tc>
        <w:tc>
          <w:tcPr>
            <w:tcW w:w="2309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>
                <w:rFonts w:eastAsia="微軟正黑體"/>
                <w:b/>
                <w:bCs/>
                <w:sz w:val="19"/>
                <w:szCs w:val="19"/>
              </w:rPr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日期</w:t>
            </w:r>
          </w:p>
        </w:tc>
        <w:tc>
          <w:tcPr>
            <w:tcW w:w="33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>
                <w:rFonts w:eastAsia="微軟正黑體"/>
                <w:b/>
                <w:bCs/>
                <w:sz w:val="19"/>
                <w:szCs w:val="19"/>
              </w:rPr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變更說明</w:t>
            </w:r>
          </w:p>
        </w:tc>
        <w:tc>
          <w:tcPr>
            <w:tcW w:w="21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>
                <w:rFonts w:eastAsia="微軟正黑體"/>
                <w:b/>
                <w:bCs/>
                <w:sz w:val="19"/>
                <w:szCs w:val="19"/>
              </w:rPr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修訂者</w:t>
            </w:r>
          </w:p>
        </w:tc>
      </w:tr>
      <w:tr>
        <w:trPr>
          <w:cantSplit/>
        </w:trPr>
        <w:tc>
          <w:tcPr>
            <w:tcW w:w="1891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>
                <w:rFonts w:eastAsia="微軟正黑體"/>
                <w:sz w:val="19"/>
                <w:szCs w:val="19"/>
              </w:rPr>
            </w:pPr>
            <w:r>
              <w:rPr>
                <w:rFonts w:eastAsia="微軟正黑體"/>
                <w:sz w:val="19"/>
                <w:szCs w:val="19"/>
              </w:rPr>
              <w:t>v1.0</w:t>
            </w:r>
          </w:p>
        </w:tc>
        <w:tc>
          <w:tcPr>
            <w:tcW w:w="2309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>
                <w:rFonts w:eastAsia="微軟正黑體"/>
                <w:sz w:val="19"/>
                <w:szCs w:val="19"/>
              </w:rPr>
            </w:pPr>
            <w:r>
              <w:rPr>
                <w:rFonts w:eastAsia="微軟正黑體"/>
                <w:sz w:val="19"/>
                <w:szCs w:val="19"/>
              </w:rPr>
              <w:t>待補</w:t>
            </w:r>
          </w:p>
        </w:tc>
        <w:tc>
          <w:tcPr>
            <w:tcW w:w="33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>
                <w:rFonts w:eastAsia="微軟正黑體"/>
                <w:sz w:val="19"/>
                <w:szCs w:val="19"/>
              </w:rPr>
            </w:pPr>
            <w:r>
              <w:rPr>
                <w:rFonts w:eastAsia="微軟正黑體"/>
                <w:sz w:val="19"/>
                <w:szCs w:val="19"/>
              </w:rPr>
              <w:t>桌面稿初版。</w:t>
            </w:r>
          </w:p>
        </w:tc>
        <w:tc>
          <w:tcPr>
            <w:tcW w:w="21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>
                <w:rFonts w:eastAsia="微軟正黑體"/>
                <w:sz w:val="19"/>
                <w:szCs w:val="19"/>
              </w:rPr>
            </w:pPr>
            <w:r>
              <w:rPr>
                <w:rFonts w:eastAsia="微軟正黑體"/>
                <w:sz w:val="19"/>
                <w:szCs w:val="19"/>
              </w:rPr>
              <w:t>待補</w:t>
            </w:r>
          </w:p>
        </w:tc>
      </w:tr>
      <w:tr>
        <w:trPr>
          <w:cantSplit/>
        </w:trPr>
        <w:tc>
          <w:tcPr>
            <w:tcW w:w="1891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>
                <w:rFonts w:eastAsia="微軟正黑體"/>
                <w:sz w:val="19"/>
                <w:szCs w:val="19"/>
              </w:rPr>
            </w:pPr>
            <w:r>
              <w:rPr>
                <w:rFonts w:eastAsia="微軟正黑體"/>
                <w:sz w:val="19"/>
                <w:szCs w:val="19"/>
              </w:rPr>
              <w:t>v1.1</w:t>
            </w:r>
          </w:p>
        </w:tc>
        <w:tc>
          <w:tcPr>
            <w:tcW w:w="2309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>
                <w:rFonts w:eastAsia="微軟正黑體"/>
                <w:sz w:val="19"/>
                <w:szCs w:val="19"/>
              </w:rPr>
            </w:pPr>
            <w:r>
              <w:rPr>
                <w:rFonts w:eastAsia="微軟正黑體"/>
                <w:sz w:val="19"/>
                <w:szCs w:val="19"/>
              </w:rPr>
              <w:t>2026-10-21</w:t>
            </w:r>
          </w:p>
        </w:tc>
        <w:tc>
          <w:tcPr>
            <w:tcW w:w="33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>
                <w:rFonts w:eastAsia="微軟正黑體"/>
                <w:sz w:val="19"/>
                <w:szCs w:val="19"/>
              </w:rPr>
            </w:pPr>
            <w:r>
              <w:rPr>
                <w:rFonts w:eastAsia="微軟正黑體"/>
                <w:sz w:val="19"/>
                <w:szCs w:val="19"/>
              </w:rPr>
              <w:t xml:space="preserve">依現行 </w:t>
            </w:r>
            <w:r>
              <w:rPr>
                <w:rFonts w:eastAsia="微軟正黑體"/>
                <w:sz w:val="19"/>
                <w:szCs w:val="19"/>
              </w:rPr>
              <w:t xml:space="preserve">SGSFramework </w:t>
            </w:r>
            <w:r>
              <w:rPr>
                <w:rFonts w:eastAsia="微軟正黑體"/>
                <w:sz w:val="19"/>
                <w:szCs w:val="19"/>
              </w:rPr>
              <w:t>原始碼修訂：校正技術版本、類別與專案對應，新增差異及待確認事項。</w:t>
            </w:r>
          </w:p>
        </w:tc>
        <w:tc>
          <w:tcPr>
            <w:tcW w:w="21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>
                <w:rFonts w:eastAsia="微軟正黑體"/>
                <w:sz w:val="19"/>
                <w:szCs w:val="19"/>
              </w:rPr>
            </w:pPr>
            <w:r>
              <w:rPr>
                <w:rFonts w:eastAsia="微軟正黑體"/>
                <w:sz w:val="19"/>
                <w:szCs w:val="19"/>
              </w:rPr>
              <w:t>Wayne</w:t>
            </w:r>
          </w:p>
        </w:tc>
      </w:tr>
      <w:tr>
        <w:trPr>
          <w:cantSplit/>
        </w:trPr>
        <w:tc>
          <w:tcPr>
            <w:tcW w:w="1891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>
                <w:rFonts w:eastAsia="微軟正黑體"/>
                <w:sz w:val="19"/>
                <w:szCs w:val="19"/>
              </w:rPr>
            </w:pPr>
            <w:r>
              <w:rPr>
                <w:rFonts w:eastAsia="微軟正黑體"/>
                <w:sz w:val="19"/>
                <w:szCs w:val="19"/>
              </w:rPr>
              <w:t>v1.1</w:t>
            </w:r>
            <w:r>
              <w:rPr>
                <w:rFonts w:eastAsia="微軟正黑體"/>
                <w:sz w:val="19"/>
                <w:szCs w:val="19"/>
              </w:rPr>
              <w:t>（優化）</w:t>
            </w:r>
          </w:p>
        </w:tc>
        <w:tc>
          <w:tcPr>
            <w:tcW w:w="2309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>
                <w:rFonts w:eastAsia="微軟正黑體"/>
                <w:sz w:val="19"/>
                <w:szCs w:val="19"/>
              </w:rPr>
            </w:pPr>
            <w:r>
              <w:rPr>
                <w:rFonts w:eastAsia="微軟正黑體"/>
                <w:sz w:val="19"/>
                <w:szCs w:val="19"/>
              </w:rPr>
              <w:t>2026-10-21</w:t>
            </w:r>
          </w:p>
        </w:tc>
        <w:tc>
          <w:tcPr>
            <w:tcW w:w="33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>
                <w:rFonts w:eastAsia="微軟正黑體"/>
                <w:sz w:val="19"/>
                <w:szCs w:val="19"/>
              </w:rPr>
            </w:pPr>
            <w:r>
              <w:rPr>
                <w:rFonts w:eastAsia="微軟正黑體"/>
                <w:sz w:val="19"/>
                <w:szCs w:val="19"/>
              </w:rPr>
              <w:t xml:space="preserve">補充 </w:t>
            </w:r>
            <w:r>
              <w:rPr>
                <w:rFonts w:eastAsia="微軟正黑體"/>
                <w:sz w:val="19"/>
                <w:szCs w:val="19"/>
              </w:rPr>
              <w:t xml:space="preserve">1.2 </w:t>
            </w:r>
            <w:r>
              <w:rPr>
                <w:rFonts w:eastAsia="微軟正黑體"/>
                <w:sz w:val="19"/>
                <w:szCs w:val="19"/>
              </w:rPr>
              <w:t>文件範圍、</w:t>
            </w:r>
            <w:r>
              <w:rPr>
                <w:rFonts w:eastAsia="微軟正黑體"/>
                <w:sz w:val="19"/>
                <w:szCs w:val="19"/>
              </w:rPr>
              <w:t xml:space="preserve">2.1.2 </w:t>
            </w:r>
            <w:r>
              <w:rPr>
                <w:rFonts w:eastAsia="微軟正黑體"/>
                <w:sz w:val="19"/>
                <w:szCs w:val="19"/>
              </w:rPr>
              <w:t xml:space="preserve">技術棧（前端 </w:t>
            </w:r>
            <w:r>
              <w:rPr>
                <w:rFonts w:eastAsia="微軟正黑體"/>
                <w:sz w:val="19"/>
                <w:szCs w:val="19"/>
              </w:rPr>
              <w:t>Vue 3</w:t>
            </w:r>
            <w:r>
              <w:rPr>
                <w:rFonts w:eastAsia="微軟正黑體"/>
                <w:sz w:val="19"/>
                <w:szCs w:val="19"/>
              </w:rPr>
              <w:t xml:space="preserve">、後端外掛與 </w:t>
            </w:r>
            <w:r>
              <w:rPr>
                <w:rFonts w:eastAsia="微軟正黑體"/>
                <w:sz w:val="19"/>
                <w:szCs w:val="19"/>
              </w:rPr>
              <w:t xml:space="preserve">SPA </w:t>
            </w:r>
            <w:r>
              <w:rPr>
                <w:rFonts w:eastAsia="微軟正黑體"/>
                <w:sz w:val="19"/>
                <w:szCs w:val="19"/>
              </w:rPr>
              <w:t>模組擴充）、</w:t>
            </w:r>
            <w:r>
              <w:rPr>
                <w:rFonts w:eastAsia="微軟正黑體"/>
                <w:sz w:val="19"/>
                <w:szCs w:val="19"/>
              </w:rPr>
              <w:t xml:space="preserve">2.1.3 </w:t>
            </w:r>
            <w:r>
              <w:rPr>
                <w:rFonts w:eastAsia="微軟正黑體"/>
                <w:sz w:val="19"/>
                <w:szCs w:val="19"/>
              </w:rPr>
              <w:t>資安指標對應、</w:t>
            </w:r>
            <w:r>
              <w:rPr>
                <w:rFonts w:eastAsia="微軟正黑體"/>
                <w:sz w:val="19"/>
                <w:szCs w:val="19"/>
              </w:rPr>
              <w:t xml:space="preserve">2.2.3 </w:t>
            </w:r>
            <w:r>
              <w:rPr>
                <w:rFonts w:eastAsia="微軟正黑體"/>
                <w:sz w:val="19"/>
                <w:szCs w:val="19"/>
              </w:rPr>
              <w:t>排除範圍、</w:t>
            </w:r>
            <w:r>
              <w:rPr>
                <w:rFonts w:eastAsia="微軟正黑體"/>
                <w:sz w:val="19"/>
                <w:szCs w:val="19"/>
              </w:rPr>
              <w:t xml:space="preserve">2.3 </w:t>
            </w:r>
            <w:r>
              <w:rPr>
                <w:rFonts w:eastAsia="微軟正黑體"/>
                <w:sz w:val="19"/>
                <w:szCs w:val="19"/>
              </w:rPr>
              <w:t>系統架構圖、</w:t>
            </w:r>
            <w:r>
              <w:rPr>
                <w:rFonts w:eastAsia="微軟正黑體"/>
                <w:sz w:val="19"/>
                <w:szCs w:val="19"/>
              </w:rPr>
              <w:t xml:space="preserve">2.4 </w:t>
            </w:r>
            <w:r>
              <w:rPr>
                <w:rFonts w:eastAsia="微軟正黑體"/>
                <w:sz w:val="19"/>
                <w:szCs w:val="19"/>
              </w:rPr>
              <w:t>前端技術項目、</w:t>
            </w:r>
            <w:r>
              <w:rPr>
                <w:rFonts w:eastAsia="微軟正黑體"/>
                <w:sz w:val="19"/>
                <w:szCs w:val="19"/>
              </w:rPr>
              <w:t xml:space="preserve">4.2.2 </w:t>
            </w:r>
            <w:r>
              <w:rPr>
                <w:rFonts w:eastAsia="微軟正黑體"/>
                <w:sz w:val="19"/>
                <w:szCs w:val="19"/>
              </w:rPr>
              <w:t xml:space="preserve">前端核心類別、第 </w:t>
            </w:r>
            <w:r>
              <w:rPr>
                <w:rFonts w:eastAsia="微軟正黑體"/>
                <w:sz w:val="19"/>
                <w:szCs w:val="19"/>
              </w:rPr>
              <w:t xml:space="preserve">3 </w:t>
            </w:r>
            <w:r>
              <w:rPr>
                <w:rFonts w:eastAsia="微軟正黑體"/>
                <w:sz w:val="19"/>
                <w:szCs w:val="19"/>
              </w:rPr>
              <w:t>章系統初步設計（</w:t>
            </w:r>
            <w:r>
              <w:rPr>
                <w:rFonts w:eastAsia="微軟正黑體"/>
                <w:sz w:val="19"/>
                <w:szCs w:val="19"/>
              </w:rPr>
              <w:t>UML</w:t>
            </w:r>
            <w:r>
              <w:rPr>
                <w:rFonts w:eastAsia="微軟正黑體"/>
                <w:sz w:val="19"/>
                <w:szCs w:val="19"/>
              </w:rPr>
              <w:t>）及本版本履歷。</w:t>
            </w:r>
          </w:p>
        </w:tc>
        <w:tc>
          <w:tcPr>
            <w:tcW w:w="21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>
                <w:rFonts w:eastAsia="微軟正黑體"/>
                <w:sz w:val="19"/>
                <w:szCs w:val="19"/>
              </w:rPr>
            </w:pPr>
            <w:r>
              <w:rPr>
                <w:rFonts w:eastAsia="微軟正黑體"/>
                <w:sz w:val="19"/>
                <w:szCs w:val="19"/>
              </w:rPr>
              <w:t>Wayne</w:t>
            </w:r>
          </w:p>
        </w:tc>
      </w:tr>
      <w:tr>
        <w:trPr>
          <w:cantSplit/>
        </w:trPr>
        <w:tc>
          <w:tcPr>
            <w:tcW w:w="1891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>
                <w:rFonts w:eastAsia="微軟正黑體"/>
                <w:sz w:val="19"/>
                <w:szCs w:val="19"/>
              </w:rPr>
            </w:pPr>
            <w:r>
              <w:rPr>
                <w:rFonts w:eastAsia="微軟正黑體"/>
                <w:sz w:val="19"/>
                <w:szCs w:val="19"/>
              </w:rPr>
            </w:r>
          </w:p>
        </w:tc>
        <w:tc>
          <w:tcPr>
            <w:tcW w:w="2309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>
                <w:rFonts w:eastAsia="微軟正黑體"/>
                <w:sz w:val="19"/>
                <w:szCs w:val="19"/>
              </w:rPr>
            </w:pPr>
            <w:r>
              <w:rPr>
                <w:rFonts w:eastAsia="微軟正黑體"/>
                <w:sz w:val="19"/>
                <w:szCs w:val="19"/>
              </w:rPr>
            </w:r>
          </w:p>
        </w:tc>
        <w:tc>
          <w:tcPr>
            <w:tcW w:w="33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>
                <w:rFonts w:eastAsia="微軟正黑體"/>
                <w:sz w:val="19"/>
                <w:szCs w:val="19"/>
              </w:rPr>
            </w:pPr>
            <w:r>
              <w:rPr>
                <w:rFonts w:eastAsia="微軟正黑體"/>
                <w:sz w:val="19"/>
                <w:szCs w:val="19"/>
              </w:rPr>
            </w:r>
          </w:p>
        </w:tc>
        <w:tc>
          <w:tcPr>
            <w:tcW w:w="21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>
                <w:rFonts w:eastAsia="微軟正黑體"/>
                <w:sz w:val="19"/>
                <w:szCs w:val="19"/>
              </w:rPr>
            </w:pPr>
            <w:r>
              <w:rPr>
                <w:rFonts w:eastAsia="微軟正黑體"/>
                <w:sz w:val="19"/>
                <w:szCs w:val="19"/>
              </w:rPr>
            </w:r>
          </w:p>
        </w:tc>
      </w:tr>
      <w:tr>
        <w:trPr>
          <w:cantSplit/>
        </w:trPr>
        <w:tc>
          <w:tcPr>
            <w:tcW w:w="1891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>
                <w:rFonts w:eastAsia="微軟正黑體"/>
                <w:sz w:val="19"/>
                <w:szCs w:val="19"/>
              </w:rPr>
            </w:pPr>
            <w:r>
              <w:rPr>
                <w:rFonts w:eastAsia="微軟正黑體"/>
                <w:sz w:val="19"/>
                <w:szCs w:val="19"/>
              </w:rPr>
            </w:r>
          </w:p>
        </w:tc>
        <w:tc>
          <w:tcPr>
            <w:tcW w:w="2309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>
                <w:rFonts w:eastAsia="微軟正黑體"/>
                <w:sz w:val="19"/>
                <w:szCs w:val="19"/>
              </w:rPr>
            </w:pPr>
            <w:r>
              <w:rPr>
                <w:rFonts w:eastAsia="微軟正黑體"/>
                <w:sz w:val="19"/>
                <w:szCs w:val="19"/>
              </w:rPr>
            </w:r>
          </w:p>
        </w:tc>
        <w:tc>
          <w:tcPr>
            <w:tcW w:w="33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>
                <w:rFonts w:eastAsia="微軟正黑體"/>
                <w:sz w:val="19"/>
                <w:szCs w:val="19"/>
              </w:rPr>
            </w:pPr>
            <w:r>
              <w:rPr>
                <w:rFonts w:eastAsia="微軟正黑體"/>
                <w:sz w:val="19"/>
                <w:szCs w:val="19"/>
              </w:rPr>
            </w:r>
          </w:p>
        </w:tc>
        <w:tc>
          <w:tcPr>
            <w:tcW w:w="21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>
                <w:rFonts w:eastAsia="微軟正黑體"/>
                <w:sz w:val="19"/>
                <w:szCs w:val="19"/>
              </w:rPr>
            </w:pPr>
            <w:r>
              <w:rPr>
                <w:rFonts w:eastAsia="微軟正黑體"/>
                <w:sz w:val="19"/>
                <w:szCs w:val="19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>
          <w:rFonts w:eastAsia="微軟正黑體"/>
          <w:b/>
          <w:bCs/>
          <w:sz w:val="32"/>
          <w:szCs w:val="32"/>
        </w:rPr>
        <w:t>目錄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480"/>
              <w:tab w:val="right" w:pos="9637" w:leader="dot"/>
            </w:tabs>
            <w:rPr/>
          </w:pPr>
          <w:r>
            <w:fldChar w:fldCharType="begin"/>
          </w:r>
          <w:r>
            <w:rPr>
              <w:rStyle w:val="Style14"/>
            </w:rPr>
            <w:instrText xml:space="preserve"> TOC \o "1-3" \h</w:instrText>
          </w:r>
          <w:r>
            <w:rPr>
              <w:rStyle w:val="Style14"/>
            </w:rPr>
            <w:fldChar w:fldCharType="separate"/>
          </w:r>
          <w:hyperlink w:anchor="__RefHeading___Toc3270_1895412299" w:tooltip="1. 簡介">
            <w:r>
              <w:rPr>
                <w:rStyle w:val="Style14"/>
              </w:rPr>
              <w:t xml:space="preserve">1. </w:t>
            </w:r>
            <w:r>
              <w:rPr>
                <w:rStyle w:val="Style14"/>
              </w:rPr>
              <w:t>簡介</w:t>
            </w:r>
            <w:r>
              <w:rPr>
                <w:rStyle w:val="Style14"/>
              </w:rPr>
              <w:tab/>
              <w:t>5</w:t>
            </w:r>
          </w:hyperlink>
        </w:p>
        <w:p>
          <w:pPr>
            <w:pStyle w:val="TOC2"/>
            <w:tabs>
              <w:tab w:val="clear" w:pos="480"/>
              <w:tab w:val="right" w:pos="9637" w:leader="dot"/>
            </w:tabs>
            <w:rPr/>
          </w:pPr>
          <w:hyperlink w:anchor="__RefHeading___Toc3272_1895412299" w:tooltip="1.1 文件目的">
            <w:r>
              <w:rPr>
                <w:rStyle w:val="Style14"/>
              </w:rPr>
              <w:t xml:space="preserve">1.1 </w:t>
            </w:r>
            <w:r>
              <w:rPr>
                <w:rStyle w:val="Style14"/>
              </w:rPr>
              <w:t>文件目的</w:t>
            </w:r>
            <w:r>
              <w:rPr>
                <w:rStyle w:val="Style14"/>
              </w:rPr>
              <w:tab/>
              <w:t>5</w:t>
            </w:r>
          </w:hyperlink>
        </w:p>
        <w:p>
          <w:pPr>
            <w:pStyle w:val="TOC2"/>
            <w:tabs>
              <w:tab w:val="clear" w:pos="480"/>
              <w:tab w:val="right" w:pos="9637" w:leader="dot"/>
            </w:tabs>
            <w:rPr/>
          </w:pPr>
          <w:hyperlink w:anchor="__RefHeading___Toc3274_1895412299" w:tooltip="1.2 文件範圍">
            <w:r>
              <w:rPr>
                <w:rStyle w:val="Style14"/>
              </w:rPr>
              <w:t xml:space="preserve">1.2 </w:t>
            </w:r>
            <w:r>
              <w:rPr>
                <w:rStyle w:val="Style14"/>
              </w:rPr>
              <w:t>文件範圍</w:t>
            </w:r>
            <w:r>
              <w:rPr>
                <w:rStyle w:val="Style14"/>
              </w:rPr>
              <w:tab/>
              <w:t>5</w:t>
            </w:r>
          </w:hyperlink>
        </w:p>
        <w:p>
          <w:pPr>
            <w:pStyle w:val="TOC1"/>
            <w:tabs>
              <w:tab w:val="clear" w:pos="480"/>
              <w:tab w:val="right" w:pos="9637" w:leader="dot"/>
            </w:tabs>
            <w:rPr/>
          </w:pPr>
          <w:hyperlink w:anchor="__RefHeading___Toc3276_1895412299" w:tooltip="2. 系統概述">
            <w:r>
              <w:rPr>
                <w:rStyle w:val="Style14"/>
              </w:rPr>
              <w:t xml:space="preserve">2. </w:t>
            </w:r>
            <w:r>
              <w:rPr>
                <w:rStyle w:val="Style14"/>
              </w:rPr>
              <w:t>系統概述</w:t>
            </w:r>
            <w:r>
              <w:rPr>
                <w:rStyle w:val="Style14"/>
              </w:rPr>
              <w:tab/>
              <w:t>5</w:t>
            </w:r>
          </w:hyperlink>
        </w:p>
        <w:p>
          <w:pPr>
            <w:pStyle w:val="TOC2"/>
            <w:tabs>
              <w:tab w:val="clear" w:pos="480"/>
              <w:tab w:val="right" w:pos="9637" w:leader="dot"/>
            </w:tabs>
            <w:rPr/>
          </w:pPr>
          <w:hyperlink w:anchor="__RefHeading___Toc3278_1895412299" w:tooltip="2.1 系統目標">
            <w:r>
              <w:rPr>
                <w:rStyle w:val="Style14"/>
              </w:rPr>
              <w:t xml:space="preserve">2.1 </w:t>
            </w:r>
            <w:r>
              <w:rPr>
                <w:rStyle w:val="Style14"/>
              </w:rPr>
              <w:t>系統目標</w:t>
            </w:r>
            <w:r>
              <w:rPr>
                <w:rStyle w:val="Style14"/>
              </w:rPr>
              <w:tab/>
              <w:t>5</w:t>
            </w:r>
          </w:hyperlink>
        </w:p>
        <w:p>
          <w:pPr>
            <w:pStyle w:val="TOC3"/>
            <w:tabs>
              <w:tab w:val="clear" w:pos="480"/>
              <w:tab w:val="right" w:pos="9637" w:leader="dot"/>
            </w:tabs>
            <w:rPr/>
          </w:pPr>
          <w:hyperlink w:anchor="__RefHeading___Toc3280_1895412299" w:tooltip="2.1.1 商業價值與合規要求">
            <w:r>
              <w:rPr>
                <w:rStyle w:val="Style14"/>
              </w:rPr>
              <w:t xml:space="preserve">2.1.1 </w:t>
            </w:r>
            <w:r>
              <w:rPr>
                <w:rStyle w:val="Style14"/>
              </w:rPr>
              <w:t>商業價值與合規要求</w:t>
            </w:r>
            <w:r>
              <w:rPr>
                <w:rStyle w:val="Style14"/>
              </w:rPr>
              <w:tab/>
              <w:t>5</w:t>
            </w:r>
          </w:hyperlink>
        </w:p>
        <w:p>
          <w:pPr>
            <w:pStyle w:val="TOC3"/>
            <w:tabs>
              <w:tab w:val="clear" w:pos="480"/>
              <w:tab w:val="right" w:pos="9637" w:leader="dot"/>
            </w:tabs>
            <w:rPr/>
          </w:pPr>
          <w:hyperlink w:anchor="__RefHeading___Toc3282_1895412299" w:tooltip="2.1.2 現代化技術棧與架構設計">
            <w:r>
              <w:rPr>
                <w:rStyle w:val="Style14"/>
              </w:rPr>
              <w:t xml:space="preserve">2.1.2 </w:t>
            </w:r>
            <w:r>
              <w:rPr>
                <w:rStyle w:val="Style14"/>
              </w:rPr>
              <w:t>現代化技術棧與架構設計</w:t>
            </w:r>
            <w:r>
              <w:rPr>
                <w:rStyle w:val="Style14"/>
              </w:rPr>
              <w:tab/>
              <w:t>5</w:t>
            </w:r>
          </w:hyperlink>
        </w:p>
        <w:p>
          <w:pPr>
            <w:pStyle w:val="TOC3"/>
            <w:tabs>
              <w:tab w:val="clear" w:pos="480"/>
              <w:tab w:val="right" w:pos="9637" w:leader="dot"/>
            </w:tabs>
            <w:rPr/>
          </w:pPr>
          <w:hyperlink w:anchor="__RefHeading___Toc3284_1895412299" w:tooltip="2.1.3 關鍵效能與資安指標">
            <w:r>
              <w:rPr>
                <w:rStyle w:val="Style14"/>
              </w:rPr>
              <w:t xml:space="preserve">2.1.3 </w:t>
            </w:r>
            <w:r>
              <w:rPr>
                <w:rStyle w:val="Style14"/>
              </w:rPr>
              <w:t>關鍵效能與資安指標</w:t>
            </w:r>
            <w:r>
              <w:rPr>
                <w:rStyle w:val="Style14"/>
              </w:rPr>
              <w:tab/>
              <w:t>6</w:t>
            </w:r>
          </w:hyperlink>
        </w:p>
        <w:p>
          <w:pPr>
            <w:pStyle w:val="TOC2"/>
            <w:tabs>
              <w:tab w:val="clear" w:pos="480"/>
              <w:tab w:val="right" w:pos="9637" w:leader="dot"/>
            </w:tabs>
            <w:rPr/>
          </w:pPr>
          <w:hyperlink w:anchor="__RefHeading___Toc3286_1895412299" w:tooltip="2.2 系統範圍">
            <w:r>
              <w:rPr>
                <w:rStyle w:val="Style14"/>
              </w:rPr>
              <w:t xml:space="preserve">2.2 </w:t>
            </w:r>
            <w:r>
              <w:rPr>
                <w:rStyle w:val="Style14"/>
              </w:rPr>
              <w:t>系統範圍</w:t>
            </w:r>
            <w:r>
              <w:rPr>
                <w:rStyle w:val="Style14"/>
              </w:rPr>
              <w:tab/>
              <w:t>7</w:t>
            </w:r>
          </w:hyperlink>
        </w:p>
        <w:p>
          <w:pPr>
            <w:pStyle w:val="TOC3"/>
            <w:tabs>
              <w:tab w:val="clear" w:pos="480"/>
              <w:tab w:val="right" w:pos="9637" w:leader="dot"/>
            </w:tabs>
            <w:rPr/>
          </w:pPr>
          <w:hyperlink w:anchor="__RefHeading___Toc3288_1895412299" w:tooltip="2.2.1 涵蓋功能與模組邊界">
            <w:r>
              <w:rPr>
                <w:rStyle w:val="Style14"/>
              </w:rPr>
              <w:t xml:space="preserve">2.2.1 </w:t>
            </w:r>
            <w:r>
              <w:rPr>
                <w:rStyle w:val="Style14"/>
              </w:rPr>
              <w:t>涵蓋功能與模組邊界</w:t>
            </w:r>
            <w:r>
              <w:rPr>
                <w:rStyle w:val="Style14"/>
              </w:rPr>
              <w:tab/>
              <w:t>7</w:t>
            </w:r>
          </w:hyperlink>
        </w:p>
        <w:p>
          <w:pPr>
            <w:pStyle w:val="TOC3"/>
            <w:tabs>
              <w:tab w:val="clear" w:pos="480"/>
              <w:tab w:val="right" w:pos="9637" w:leader="dot"/>
            </w:tabs>
            <w:rPr/>
          </w:pPr>
          <w:hyperlink w:anchor="__RefHeading___Toc3290_1895412299" w:tooltip="2.2.2 使用者與角色範疇">
            <w:r>
              <w:rPr>
                <w:rStyle w:val="Style14"/>
              </w:rPr>
              <w:t xml:space="preserve">2.2.2 </w:t>
            </w:r>
            <w:r>
              <w:rPr>
                <w:rStyle w:val="Style14"/>
              </w:rPr>
              <w:t>使用者與角色範疇</w:t>
            </w:r>
            <w:r>
              <w:rPr>
                <w:rStyle w:val="Style14"/>
              </w:rPr>
              <w:tab/>
              <w:t>7</w:t>
            </w:r>
          </w:hyperlink>
        </w:p>
        <w:p>
          <w:pPr>
            <w:pStyle w:val="TOC3"/>
            <w:tabs>
              <w:tab w:val="clear" w:pos="480"/>
              <w:tab w:val="right" w:pos="9637" w:leader="dot"/>
            </w:tabs>
            <w:rPr/>
          </w:pPr>
          <w:hyperlink w:anchor="__RefHeading___Toc3292_1895412299" w:tooltip="2.2.3 明確不包含之功能（Out of Scope）">
            <w:r>
              <w:rPr>
                <w:rStyle w:val="Style14"/>
              </w:rPr>
              <w:t xml:space="preserve">2.2.3 </w:t>
            </w:r>
            <w:r>
              <w:rPr>
                <w:rStyle w:val="Style14"/>
              </w:rPr>
              <w:t>明確不包含之功能（</w:t>
            </w:r>
            <w:r>
              <w:rPr>
                <w:rStyle w:val="Style14"/>
              </w:rPr>
              <w:t>Out of Scope</w:t>
            </w:r>
            <w:r>
              <w:rPr>
                <w:rStyle w:val="Style14"/>
              </w:rPr>
              <w:t>）</w:t>
            </w:r>
            <w:r>
              <w:rPr>
                <w:rStyle w:val="Style14"/>
              </w:rPr>
              <w:tab/>
              <w:t>8</w:t>
            </w:r>
          </w:hyperlink>
        </w:p>
        <w:p>
          <w:pPr>
            <w:pStyle w:val="TOC2"/>
            <w:tabs>
              <w:tab w:val="clear" w:pos="480"/>
              <w:tab w:val="right" w:pos="9637" w:leader="dot"/>
            </w:tabs>
            <w:rPr/>
          </w:pPr>
          <w:hyperlink w:anchor="__RefHeading___Toc3294_1895412299" w:tooltip="2.3 系統架構">
            <w:r>
              <w:rPr>
                <w:rStyle w:val="Style14"/>
              </w:rPr>
              <w:t xml:space="preserve">2.3 </w:t>
            </w:r>
            <w:r>
              <w:rPr>
                <w:rStyle w:val="Style14"/>
              </w:rPr>
              <w:t>系統架構</w:t>
            </w:r>
            <w:r>
              <w:rPr>
                <w:rStyle w:val="Style14"/>
              </w:rPr>
              <w:tab/>
              <w:t>8</w:t>
            </w:r>
          </w:hyperlink>
        </w:p>
        <w:p>
          <w:pPr>
            <w:pStyle w:val="TOC3"/>
            <w:tabs>
              <w:tab w:val="clear" w:pos="480"/>
              <w:tab w:val="right" w:pos="9637" w:leader="dot"/>
            </w:tabs>
            <w:rPr/>
          </w:pPr>
          <w:hyperlink w:anchor="__RefHeading___Toc3296_1895412299" w:tooltip="2.3.1 分層與專案對應">
            <w:r>
              <w:rPr>
                <w:rStyle w:val="Style14"/>
              </w:rPr>
              <w:t xml:space="preserve">2.3.1 </w:t>
            </w:r>
            <w:r>
              <w:rPr>
                <w:rStyle w:val="Style14"/>
              </w:rPr>
              <w:t>分層與專案對應</w:t>
            </w:r>
            <w:r>
              <w:rPr>
                <w:rStyle w:val="Style14"/>
              </w:rPr>
              <w:tab/>
              <w:t>9</w:t>
            </w:r>
          </w:hyperlink>
        </w:p>
        <w:p>
          <w:pPr>
            <w:pStyle w:val="TOC3"/>
            <w:tabs>
              <w:tab w:val="clear" w:pos="480"/>
              <w:tab w:val="right" w:pos="9637" w:leader="dot"/>
            </w:tabs>
            <w:rPr/>
          </w:pPr>
          <w:hyperlink w:anchor="__RefHeading___Toc3298_1895412299" w:tooltip="2.3.2 主要專案依賴方向">
            <w:r>
              <w:rPr>
                <w:rStyle w:val="Style14"/>
              </w:rPr>
              <w:t xml:space="preserve">2.3.2 </w:t>
            </w:r>
            <w:r>
              <w:rPr>
                <w:rStyle w:val="Style14"/>
              </w:rPr>
              <w:t>主要專案依賴方向</w:t>
            </w:r>
            <w:r>
              <w:rPr>
                <w:rStyle w:val="Style14"/>
              </w:rPr>
              <w:tab/>
              <w:t>10</w:t>
            </w:r>
          </w:hyperlink>
        </w:p>
        <w:p>
          <w:pPr>
            <w:pStyle w:val="TOC3"/>
            <w:tabs>
              <w:tab w:val="clear" w:pos="480"/>
              <w:tab w:val="right" w:pos="9637" w:leader="dot"/>
            </w:tabs>
            <w:rPr/>
          </w:pPr>
          <w:hyperlink w:anchor="__RefHeading___Toc3300_1895412299" w:tooltip="2.3.3 高階部署結構">
            <w:r>
              <w:rPr>
                <w:rStyle w:val="Style14"/>
              </w:rPr>
              <w:t xml:space="preserve">2.3.3 </w:t>
            </w:r>
            <w:r>
              <w:rPr>
                <w:rStyle w:val="Style14"/>
              </w:rPr>
              <w:t>高階部署結構</w:t>
            </w:r>
            <w:r>
              <w:rPr>
                <w:rStyle w:val="Style14"/>
              </w:rPr>
              <w:tab/>
              <w:t>11</w:t>
            </w:r>
          </w:hyperlink>
        </w:p>
        <w:p>
          <w:pPr>
            <w:pStyle w:val="TOC2"/>
            <w:tabs>
              <w:tab w:val="clear" w:pos="480"/>
              <w:tab w:val="right" w:pos="9637" w:leader="dot"/>
            </w:tabs>
            <w:rPr/>
          </w:pPr>
          <w:hyperlink w:anchor="__RefHeading___Toc3302_1895412299" w:tooltip="2.4 系統軟體需求概述">
            <w:r>
              <w:rPr>
                <w:rStyle w:val="Style14"/>
              </w:rPr>
              <w:t xml:space="preserve">2.4 </w:t>
            </w:r>
            <w:r>
              <w:rPr>
                <w:rStyle w:val="Style14"/>
              </w:rPr>
              <w:t>系統軟體需求概述</w:t>
            </w:r>
            <w:r>
              <w:rPr>
                <w:rStyle w:val="Style14"/>
              </w:rPr>
              <w:tab/>
              <w:t>11</w:t>
            </w:r>
          </w:hyperlink>
        </w:p>
        <w:p>
          <w:pPr>
            <w:pStyle w:val="TOC2"/>
            <w:tabs>
              <w:tab w:val="clear" w:pos="480"/>
              <w:tab w:val="right" w:pos="9637" w:leader="dot"/>
            </w:tabs>
            <w:rPr/>
          </w:pPr>
          <w:hyperlink w:anchor="__RefHeading___Toc3304_1895412299" w:tooltip="2.5 系統軟體環境需求">
            <w:r>
              <w:rPr>
                <w:rStyle w:val="Style14"/>
              </w:rPr>
              <w:t xml:space="preserve">2.5 </w:t>
            </w:r>
            <w:r>
              <w:rPr>
                <w:rStyle w:val="Style14"/>
              </w:rPr>
              <w:t>系統軟體環境需求</w:t>
            </w:r>
            <w:r>
              <w:rPr>
                <w:rStyle w:val="Style14"/>
              </w:rPr>
              <w:tab/>
              <w:t>12</w:t>
            </w:r>
          </w:hyperlink>
        </w:p>
        <w:p>
          <w:pPr>
            <w:pStyle w:val="TOC3"/>
            <w:tabs>
              <w:tab w:val="clear" w:pos="480"/>
              <w:tab w:val="right" w:pos="9637" w:leader="dot"/>
            </w:tabs>
            <w:rPr/>
          </w:pPr>
          <w:hyperlink w:anchor="__RefHeading___Toc3306_1895412299" w:tooltip="2.5.1 開發環境（DEV）">
            <w:r>
              <w:rPr>
                <w:rStyle w:val="Style14"/>
              </w:rPr>
              <w:t xml:space="preserve">2.5.1 </w:t>
            </w:r>
            <w:r>
              <w:rPr>
                <w:rStyle w:val="Style14"/>
              </w:rPr>
              <w:t>開發環境（</w:t>
            </w:r>
            <w:r>
              <w:rPr>
                <w:rStyle w:val="Style14"/>
              </w:rPr>
              <w:t>DEV</w:t>
            </w:r>
            <w:r>
              <w:rPr>
                <w:rStyle w:val="Style14"/>
              </w:rPr>
              <w:t>）</w:t>
            </w:r>
            <w:r>
              <w:rPr>
                <w:rStyle w:val="Style14"/>
              </w:rPr>
              <w:tab/>
              <w:t>12</w:t>
            </w:r>
          </w:hyperlink>
        </w:p>
        <w:p>
          <w:pPr>
            <w:pStyle w:val="TOC3"/>
            <w:tabs>
              <w:tab w:val="clear" w:pos="480"/>
              <w:tab w:val="right" w:pos="9637" w:leader="dot"/>
            </w:tabs>
            <w:rPr/>
          </w:pPr>
          <w:hyperlink w:anchor="__RefHeading___Toc3308_1895412299" w:tooltip="2.5.2 測試與 UAT 環境">
            <w:r>
              <w:rPr>
                <w:rStyle w:val="Style14"/>
              </w:rPr>
              <w:t xml:space="preserve">2.5.2 </w:t>
            </w:r>
            <w:r>
              <w:rPr>
                <w:rStyle w:val="Style14"/>
              </w:rPr>
              <w:t xml:space="preserve">測試與 </w:t>
            </w:r>
            <w:r>
              <w:rPr>
                <w:rStyle w:val="Style14"/>
              </w:rPr>
              <w:t xml:space="preserve">UAT </w:t>
            </w:r>
            <w:r>
              <w:rPr>
                <w:rStyle w:val="Style14"/>
              </w:rPr>
              <w:t>環境</w:t>
            </w:r>
            <w:r>
              <w:rPr>
                <w:rStyle w:val="Style14"/>
              </w:rPr>
              <w:tab/>
              <w:t>12</w:t>
            </w:r>
          </w:hyperlink>
        </w:p>
        <w:p>
          <w:pPr>
            <w:pStyle w:val="TOC3"/>
            <w:tabs>
              <w:tab w:val="clear" w:pos="480"/>
              <w:tab w:val="right" w:pos="9637" w:leader="dot"/>
            </w:tabs>
            <w:rPr/>
          </w:pPr>
          <w:hyperlink w:anchor="__RefHeading___Toc3310_1895412299" w:tooltip="2.5.3 生產環境（PROD）">
            <w:r>
              <w:rPr>
                <w:rStyle w:val="Style14"/>
              </w:rPr>
              <w:t xml:space="preserve">2.5.3 </w:t>
            </w:r>
            <w:r>
              <w:rPr>
                <w:rStyle w:val="Style14"/>
              </w:rPr>
              <w:t>生產環境（</w:t>
            </w:r>
            <w:r>
              <w:rPr>
                <w:rStyle w:val="Style14"/>
              </w:rPr>
              <w:t>PROD</w:t>
            </w:r>
            <w:r>
              <w:rPr>
                <w:rStyle w:val="Style14"/>
              </w:rPr>
              <w:t>）</w:t>
            </w:r>
            <w:r>
              <w:rPr>
                <w:rStyle w:val="Style14"/>
              </w:rPr>
              <w:tab/>
              <w:t>12</w:t>
            </w:r>
          </w:hyperlink>
        </w:p>
        <w:p>
          <w:pPr>
            <w:pStyle w:val="TOC2"/>
            <w:tabs>
              <w:tab w:val="clear" w:pos="480"/>
              <w:tab w:val="right" w:pos="9637" w:leader="dot"/>
            </w:tabs>
            <w:rPr/>
          </w:pPr>
          <w:hyperlink w:anchor="__RefHeading___Toc3312_1895412299" w:tooltip="2.6 系統軟體設計限制">
            <w:r>
              <w:rPr>
                <w:rStyle w:val="Style14"/>
              </w:rPr>
              <w:t xml:space="preserve">2.6 </w:t>
            </w:r>
            <w:r>
              <w:rPr>
                <w:rStyle w:val="Style14"/>
              </w:rPr>
              <w:t>系統軟體設計限制</w:t>
            </w:r>
            <w:r>
              <w:rPr>
                <w:rStyle w:val="Style14"/>
              </w:rPr>
              <w:tab/>
              <w:t>13</w:t>
            </w:r>
          </w:hyperlink>
        </w:p>
        <w:p>
          <w:pPr>
            <w:pStyle w:val="TOC3"/>
            <w:tabs>
              <w:tab w:val="clear" w:pos="480"/>
              <w:tab w:val="right" w:pos="9637" w:leader="dot"/>
            </w:tabs>
            <w:rPr/>
          </w:pPr>
          <w:hyperlink w:anchor="__RefHeading___Toc3314_1895412299" w:tooltip="2.6.1 資安與法規合規性約束">
            <w:r>
              <w:rPr>
                <w:rStyle w:val="Style14"/>
              </w:rPr>
              <w:t xml:space="preserve">2.6.1 </w:t>
            </w:r>
            <w:r>
              <w:rPr>
                <w:rStyle w:val="Style14"/>
              </w:rPr>
              <w:t>資安與法規合規性約束</w:t>
            </w:r>
            <w:r>
              <w:rPr>
                <w:rStyle w:val="Style14"/>
              </w:rPr>
              <w:tab/>
              <w:t>13</w:t>
            </w:r>
          </w:hyperlink>
        </w:p>
        <w:p>
          <w:pPr>
            <w:pStyle w:val="TOC3"/>
            <w:tabs>
              <w:tab w:val="clear" w:pos="480"/>
              <w:tab w:val="right" w:pos="9637" w:leader="dot"/>
            </w:tabs>
            <w:rPr/>
          </w:pPr>
          <w:hyperlink w:anchor="__RefHeading___Toc3316_1895412299" w:tooltip="2.6.2 架構與依賴原則">
            <w:r>
              <w:rPr>
                <w:rStyle w:val="Style14"/>
              </w:rPr>
              <w:t xml:space="preserve">2.6.2 </w:t>
            </w:r>
            <w:r>
              <w:rPr>
                <w:rStyle w:val="Style14"/>
              </w:rPr>
              <w:t>架構與依賴原則</w:t>
            </w:r>
            <w:r>
              <w:rPr>
                <w:rStyle w:val="Style14"/>
              </w:rPr>
              <w:tab/>
              <w:t>13</w:t>
            </w:r>
          </w:hyperlink>
        </w:p>
        <w:p>
          <w:pPr>
            <w:pStyle w:val="TOC3"/>
            <w:tabs>
              <w:tab w:val="clear" w:pos="480"/>
              <w:tab w:val="right" w:pos="9637" w:leader="dot"/>
            </w:tabs>
            <w:rPr/>
          </w:pPr>
          <w:hyperlink w:anchor="__RefHeading___Toc3318_1895412299" w:tooltip="2.6.3 高併發與 Race Condition 控制">
            <w:r>
              <w:rPr>
                <w:rStyle w:val="Style14"/>
              </w:rPr>
              <w:t xml:space="preserve">2.6.3 </w:t>
            </w:r>
            <w:r>
              <w:rPr>
                <w:rStyle w:val="Style14"/>
              </w:rPr>
              <w:t xml:space="preserve">高併發與 </w:t>
            </w:r>
            <w:r>
              <w:rPr>
                <w:rStyle w:val="Style14"/>
              </w:rPr>
              <w:t xml:space="preserve">Race Condition </w:t>
            </w:r>
            <w:r>
              <w:rPr>
                <w:rStyle w:val="Style14"/>
              </w:rPr>
              <w:t>控制</w:t>
            </w:r>
            <w:r>
              <w:rPr>
                <w:rStyle w:val="Style14"/>
              </w:rPr>
              <w:tab/>
              <w:t>14</w:t>
            </w:r>
          </w:hyperlink>
        </w:p>
        <w:p>
          <w:pPr>
            <w:pStyle w:val="TOC3"/>
            <w:tabs>
              <w:tab w:val="clear" w:pos="480"/>
              <w:tab w:val="right" w:pos="9637" w:leader="dot"/>
            </w:tabs>
            <w:rPr/>
          </w:pPr>
          <w:hyperlink w:anchor="__RefHeading___Toc3320_1895412299" w:tooltip="2.6.4 前端顯示與相容性">
            <w:r>
              <w:rPr>
                <w:rStyle w:val="Style14"/>
              </w:rPr>
              <w:t xml:space="preserve">2.6.4 </w:t>
            </w:r>
            <w:r>
              <w:rPr>
                <w:rStyle w:val="Style14"/>
              </w:rPr>
              <w:t>前端顯示與相容性</w:t>
            </w:r>
            <w:r>
              <w:rPr>
                <w:rStyle w:val="Style14"/>
              </w:rPr>
              <w:tab/>
              <w:t>14</w:t>
            </w:r>
          </w:hyperlink>
        </w:p>
        <w:p>
          <w:pPr>
            <w:pStyle w:val="TOC1"/>
            <w:tabs>
              <w:tab w:val="clear" w:pos="480"/>
              <w:tab w:val="right" w:pos="9637" w:leader="dot"/>
            </w:tabs>
            <w:rPr/>
          </w:pPr>
          <w:hyperlink w:anchor="__RefHeading___Toc3322_1895412299" w:tooltip="3. 系統初步設計 (UML)">
            <w:r>
              <w:rPr>
                <w:rStyle w:val="Style14"/>
              </w:rPr>
              <w:t xml:space="preserve">3. </w:t>
            </w:r>
            <w:r>
              <w:rPr>
                <w:rStyle w:val="Style14"/>
              </w:rPr>
              <w:t xml:space="preserve">系統初步設計 </w:t>
            </w:r>
            <w:r>
              <w:rPr>
                <w:rStyle w:val="Style14"/>
              </w:rPr>
              <w:t>(UML)</w:t>
              <w:tab/>
              <w:t>14</w:t>
            </w:r>
          </w:hyperlink>
        </w:p>
        <w:p>
          <w:pPr>
            <w:pStyle w:val="TOC2"/>
            <w:tabs>
              <w:tab w:val="clear" w:pos="480"/>
              <w:tab w:val="right" w:pos="9637" w:leader="dot"/>
            </w:tabs>
            <w:rPr/>
          </w:pPr>
          <w:hyperlink w:anchor="__RefHeading___Toc3324_1895412299" w:tooltip="3.1 系統使用者介面結構層次圖 (Use Case Diagram)">
            <w:r>
              <w:rPr>
                <w:rStyle w:val="Style14"/>
              </w:rPr>
              <w:t xml:space="preserve">3.1 </w:t>
            </w:r>
            <w:r>
              <w:rPr>
                <w:rStyle w:val="Style14"/>
              </w:rPr>
              <w:t xml:space="preserve">系統使用者介面結構層次圖 </w:t>
            </w:r>
            <w:r>
              <w:rPr>
                <w:rStyle w:val="Style14"/>
              </w:rPr>
              <w:t>(Use Case Diagram)</w:t>
              <w:tab/>
              <w:t>14</w:t>
            </w:r>
          </w:hyperlink>
        </w:p>
        <w:p>
          <w:pPr>
            <w:pStyle w:val="TOC2"/>
            <w:tabs>
              <w:tab w:val="clear" w:pos="480"/>
              <w:tab w:val="right" w:pos="9637" w:leader="dot"/>
            </w:tabs>
            <w:rPr/>
          </w:pPr>
          <w:hyperlink w:anchor="__RefHeading___Toc3326_1895412299" w:tooltip="3.2 系統模組循序圖 (Sequence Diagram)">
            <w:r>
              <w:rPr>
                <w:rStyle w:val="Style14"/>
              </w:rPr>
              <w:t xml:space="preserve">3.2 </w:t>
            </w:r>
            <w:r>
              <w:rPr>
                <w:rStyle w:val="Style14"/>
              </w:rPr>
              <w:t xml:space="preserve">系統模組循序圖 </w:t>
            </w:r>
            <w:r>
              <w:rPr>
                <w:rStyle w:val="Style14"/>
              </w:rPr>
              <w:t>(Sequence Diagram)</w:t>
              <w:tab/>
              <w:t>14</w:t>
            </w:r>
          </w:hyperlink>
        </w:p>
        <w:p>
          <w:pPr>
            <w:pStyle w:val="TOC1"/>
            <w:tabs>
              <w:tab w:val="clear" w:pos="480"/>
              <w:tab w:val="right" w:pos="9637" w:leader="dot"/>
            </w:tabs>
            <w:rPr/>
          </w:pPr>
          <w:hyperlink w:anchor="__RefHeading___Toc3328_1895412299" w:tooltip="4. 系統模組設計">
            <w:r>
              <w:rPr>
                <w:rStyle w:val="Style14"/>
              </w:rPr>
              <w:t xml:space="preserve">4. </w:t>
            </w:r>
            <w:r>
              <w:rPr>
                <w:rStyle w:val="Style14"/>
              </w:rPr>
              <w:t>系統模組設計</w:t>
            </w:r>
            <w:r>
              <w:rPr>
                <w:rStyle w:val="Style14"/>
              </w:rPr>
              <w:tab/>
              <w:t>15</w:t>
            </w:r>
          </w:hyperlink>
        </w:p>
        <w:p>
          <w:pPr>
            <w:pStyle w:val="TOC2"/>
            <w:tabs>
              <w:tab w:val="clear" w:pos="480"/>
              <w:tab w:val="right" w:pos="9637" w:leader="dot"/>
            </w:tabs>
            <w:rPr/>
          </w:pPr>
          <w:hyperlink w:anchor="__RefHeading___Toc3330_1895412299" w:tooltip="4.1 系統模組功能">
            <w:r>
              <w:rPr>
                <w:rStyle w:val="Style14"/>
              </w:rPr>
              <w:t xml:space="preserve">4.1 </w:t>
            </w:r>
            <w:r>
              <w:rPr>
                <w:rStyle w:val="Style14"/>
              </w:rPr>
              <w:t>系統模組功能</w:t>
            </w:r>
            <w:r>
              <w:rPr>
                <w:rStyle w:val="Style14"/>
              </w:rPr>
              <w:tab/>
              <w:t>15</w:t>
            </w:r>
          </w:hyperlink>
        </w:p>
        <w:p>
          <w:pPr>
            <w:pStyle w:val="TOC2"/>
            <w:tabs>
              <w:tab w:val="clear" w:pos="480"/>
              <w:tab w:val="right" w:pos="9637" w:leader="dot"/>
            </w:tabs>
            <w:rPr/>
          </w:pPr>
          <w:hyperlink w:anchor="__RefHeading___Toc3332_1895412299" w:tooltip="4.2 系統類別細部">
            <w:r>
              <w:rPr>
                <w:rStyle w:val="Style14"/>
              </w:rPr>
              <w:t xml:space="preserve">4.2 </w:t>
            </w:r>
            <w:r>
              <w:rPr>
                <w:rStyle w:val="Style14"/>
              </w:rPr>
              <w:t>系統類別細部</w:t>
            </w:r>
            <w:r>
              <w:rPr>
                <w:rStyle w:val="Style14"/>
              </w:rPr>
              <w:tab/>
              <w:t>15</w:t>
            </w:r>
          </w:hyperlink>
        </w:p>
        <w:p>
          <w:pPr>
            <w:pStyle w:val="TOC3"/>
            <w:tabs>
              <w:tab w:val="clear" w:pos="480"/>
              <w:tab w:val="right" w:pos="9637" w:leader="dot"/>
            </w:tabs>
            <w:rPr/>
          </w:pPr>
          <w:hyperlink w:anchor="__RefHeading___Toc3334_1895412299" w:tooltip="4.2.1 後端核心類別">
            <w:r>
              <w:rPr>
                <w:rStyle w:val="Style14"/>
              </w:rPr>
              <w:t xml:space="preserve">4.2.1 </w:t>
            </w:r>
            <w:r>
              <w:rPr>
                <w:rStyle w:val="Style14"/>
              </w:rPr>
              <w:t>後端核心類別</w:t>
            </w:r>
            <w:r>
              <w:rPr>
                <w:rStyle w:val="Style14"/>
              </w:rPr>
              <w:tab/>
              <w:t>15</w:t>
            </w:r>
          </w:hyperlink>
        </w:p>
        <w:p>
          <w:pPr>
            <w:pStyle w:val="TOC3"/>
            <w:tabs>
              <w:tab w:val="clear" w:pos="480"/>
              <w:tab w:val="right" w:pos="9637" w:leader="dot"/>
            </w:tabs>
            <w:rPr/>
          </w:pPr>
          <w:hyperlink w:anchor="__RefHeading___Toc3336_1895412299" w:tooltip="4.2.2 前端 Vue 3 (JavaScript) 核心類別">
            <w:r>
              <w:rPr>
                <w:rStyle w:val="Style14"/>
              </w:rPr>
              <w:t xml:space="preserve">4.2.2 </w:t>
            </w:r>
            <w:r>
              <w:rPr>
                <w:rStyle w:val="Style14"/>
              </w:rPr>
              <w:t xml:space="preserve">前端 </w:t>
            </w:r>
            <w:r>
              <w:rPr>
                <w:rStyle w:val="Style14"/>
              </w:rPr>
              <w:t xml:space="preserve">Vue 3 (JavaScript) </w:t>
            </w:r>
            <w:r>
              <w:rPr>
                <w:rStyle w:val="Style14"/>
              </w:rPr>
              <w:t>核心類別</w:t>
            </w:r>
            <w:r>
              <w:rPr>
                <w:rStyle w:val="Style14"/>
              </w:rPr>
              <w:tab/>
              <w:t>16</w:t>
            </w:r>
          </w:hyperlink>
        </w:p>
        <w:p>
          <w:pPr>
            <w:pStyle w:val="TOC2"/>
            <w:tabs>
              <w:tab w:val="clear" w:pos="480"/>
              <w:tab w:val="right" w:pos="9637" w:leader="dot"/>
            </w:tabs>
            <w:rPr/>
          </w:pPr>
          <w:hyperlink w:anchor="__RefHeading___Toc3338_1895412299" w:tooltip="4.3 系統類別資料結構">
            <w:r>
              <w:rPr>
                <w:rStyle w:val="Style14"/>
              </w:rPr>
              <w:t xml:space="preserve">4.3 </w:t>
            </w:r>
            <w:r>
              <w:rPr>
                <w:rStyle w:val="Style14"/>
              </w:rPr>
              <w:t>系統類別資料結構</w:t>
            </w:r>
            <w:r>
              <w:rPr>
                <w:rStyle w:val="Style14"/>
              </w:rPr>
              <w:tab/>
              <w:t>17</w:t>
            </w:r>
          </w:hyperlink>
        </w:p>
        <w:p>
          <w:pPr>
            <w:pStyle w:val="TOC2"/>
            <w:tabs>
              <w:tab w:val="clear" w:pos="480"/>
              <w:tab w:val="right" w:pos="9637" w:leader="dot"/>
            </w:tabs>
            <w:rPr/>
          </w:pPr>
          <w:hyperlink w:anchor="__RefHeading___Toc3340_1895412299" w:tooltip="4.4 系統類別成員函數">
            <w:r>
              <w:rPr>
                <w:rStyle w:val="Style14"/>
              </w:rPr>
              <w:t xml:space="preserve">4.4 </w:t>
            </w:r>
            <w:r>
              <w:rPr>
                <w:rStyle w:val="Style14"/>
              </w:rPr>
              <w:t>系統類別成員函數</w:t>
            </w:r>
            <w:r>
              <w:rPr>
                <w:rStyle w:val="Style14"/>
              </w:rPr>
              <w:tab/>
              <w:t>18</w:t>
            </w:r>
          </w:hyperlink>
        </w:p>
        <w:p>
          <w:pPr>
            <w:pStyle w:val="TOC3"/>
            <w:tabs>
              <w:tab w:val="clear" w:pos="480"/>
              <w:tab w:val="right" w:pos="9637" w:leader="dot"/>
            </w:tabs>
            <w:rPr/>
          </w:pPr>
          <w:hyperlink w:anchor="__RefHeading___Toc3342_1895412299" w:tooltip="4.4.1 角色有效性規則（`RoleEffectivePermissionProvider.GetEffectiveRoleIdsAsync`）">
            <w:r>
              <w:rPr>
                <w:rStyle w:val="Style14"/>
              </w:rPr>
              <w:t xml:space="preserve">4.4.1 </w:t>
            </w:r>
            <w:r>
              <w:rPr>
                <w:rStyle w:val="Style14"/>
              </w:rPr>
              <w:t>角色有效性規則（</w:t>
            </w:r>
            <w:r>
              <w:rPr>
                <w:rStyle w:val="Style14"/>
              </w:rPr>
              <w:t>`RoleEffectivePermissionProvider.GetEffectiveRoleIdsAsync`</w:t>
            </w:r>
            <w:r>
              <w:rPr>
                <w:rStyle w:val="Style14"/>
              </w:rPr>
              <w:t>）</w:t>
            </w:r>
            <w:r>
              <w:rPr>
                <w:rStyle w:val="Style14"/>
              </w:rPr>
              <w:tab/>
              <w:t>18</w:t>
            </w:r>
          </w:hyperlink>
        </w:p>
        <w:p>
          <w:pPr>
            <w:pStyle w:val="TOC3"/>
            <w:tabs>
              <w:tab w:val="clear" w:pos="480"/>
              <w:tab w:val="right" w:pos="9637" w:leader="dot"/>
            </w:tabs>
            <w:rPr/>
          </w:pPr>
          <w:hyperlink w:anchor="__RefHeading___Toc3344_1895412299" w:tooltip="4.4.2 其他關鍵函數">
            <w:r>
              <w:rPr>
                <w:rStyle w:val="Style14"/>
              </w:rPr>
              <w:t xml:space="preserve">4.4.2 </w:t>
            </w:r>
            <w:r>
              <w:rPr>
                <w:rStyle w:val="Style14"/>
              </w:rPr>
              <w:t>其他關鍵函數</w:t>
            </w:r>
            <w:r>
              <w:rPr>
                <w:rStyle w:val="Style14"/>
              </w:rPr>
              <w:tab/>
              <w:t>19</w:t>
            </w:r>
          </w:hyperlink>
        </w:p>
        <w:p>
          <w:pPr>
            <w:pStyle w:val="TOC1"/>
            <w:tabs>
              <w:tab w:val="clear" w:pos="480"/>
              <w:tab w:val="right" w:pos="9637" w:leader="dot"/>
            </w:tabs>
            <w:rPr/>
          </w:pPr>
          <w:hyperlink w:anchor="__RefHeading___Toc3346_1895412299" w:tooltip="5. 系統需求至系統設計之追溯 (RTM)">
            <w:r>
              <w:rPr>
                <w:rStyle w:val="Style14"/>
              </w:rPr>
              <w:t xml:space="preserve">5. </w:t>
            </w:r>
            <w:r>
              <w:rPr>
                <w:rStyle w:val="Style14"/>
              </w:rPr>
              <w:t xml:space="preserve">系統需求至系統設計之追溯 </w:t>
            </w:r>
            <w:r>
              <w:rPr>
                <w:rStyle w:val="Style14"/>
              </w:rPr>
              <w:t>(RTM)</w:t>
              <w:tab/>
              <w:t>19</w:t>
            </w:r>
          </w:hyperlink>
        </w:p>
        <w:p>
          <w:pPr>
            <w:pStyle w:val="TOC2"/>
            <w:tabs>
              <w:tab w:val="clear" w:pos="480"/>
              <w:tab w:val="right" w:pos="9637" w:leader="dot"/>
            </w:tabs>
            <w:rPr/>
          </w:pPr>
          <w:hyperlink w:anchor="__RefHeading___Toc3348_1895412299" w:tooltip="5.1 SGS 基礎框架各子系統之追溯">
            <w:r>
              <w:rPr>
                <w:rStyle w:val="Style14"/>
              </w:rPr>
              <w:t xml:space="preserve">5.1 SGS </w:t>
            </w:r>
            <w:r>
              <w:rPr>
                <w:rStyle w:val="Style14"/>
              </w:rPr>
              <w:t>基礎框架各子系統之追溯</w:t>
            </w:r>
            <w:r>
              <w:rPr>
                <w:rStyle w:val="Style14"/>
              </w:rPr>
              <w:tab/>
              <w:t>19</w:t>
            </w:r>
          </w:hyperlink>
        </w:p>
        <w:p>
          <w:pPr>
            <w:pStyle w:val="TOC1"/>
            <w:tabs>
              <w:tab w:val="clear" w:pos="480"/>
              <w:tab w:val="right" w:pos="9637" w:leader="dot"/>
            </w:tabs>
            <w:rPr/>
          </w:pPr>
          <w:hyperlink w:anchor="__RefHeading___Toc3350_1895412299" w:tooltip="6. 資料表">
            <w:r>
              <w:rPr>
                <w:rStyle w:val="Style14"/>
              </w:rPr>
              <w:t xml:space="preserve">6. </w:t>
            </w:r>
            <w:r>
              <w:rPr>
                <w:rStyle w:val="Style14"/>
              </w:rPr>
              <w:t>資料表</w:t>
            </w:r>
            <w:r>
              <w:rPr>
                <w:rStyle w:val="Style14"/>
              </w:rPr>
              <w:tab/>
              <w:t>20</w:t>
            </w:r>
          </w:hyperlink>
        </w:p>
        <w:p>
          <w:pPr>
            <w:pStyle w:val="TOC2"/>
            <w:tabs>
              <w:tab w:val="clear" w:pos="480"/>
              <w:tab w:val="right" w:pos="9637" w:leader="dot"/>
            </w:tabs>
            <w:rPr/>
          </w:pPr>
          <w:hyperlink w:anchor="__RefHeading___Toc3352_1895412299" w:tooltip="6.1 Table Schema">
            <w:r>
              <w:rPr>
                <w:rStyle w:val="Style14"/>
              </w:rPr>
              <w:t>6.1 Table Schema</w:t>
              <w:tab/>
              <w:t>20</w:t>
            </w:r>
          </w:hyperlink>
        </w:p>
        <w:p>
          <w:pPr>
            <w:pStyle w:val="TOC2"/>
            <w:tabs>
              <w:tab w:val="clear" w:pos="480"/>
              <w:tab w:val="right" w:pos="9637" w:leader="dot"/>
            </w:tabs>
            <w:rPr/>
          </w:pPr>
          <w:hyperlink w:anchor="__RefHeading___Toc3354_1895412299" w:tooltip="6.2 ERD">
            <w:r>
              <w:rPr>
                <w:rStyle w:val="Style14"/>
              </w:rPr>
              <w:t>6.2 ERD</w:t>
              <w:tab/>
              <w:t>21</w:t>
            </w:r>
          </w:hyperlink>
        </w:p>
        <w:p>
          <w:pPr>
            <w:pStyle w:val="TOC1"/>
            <w:tabs>
              <w:tab w:val="clear" w:pos="480"/>
              <w:tab w:val="right" w:pos="9637" w:leader="dot"/>
            </w:tabs>
            <w:rPr/>
          </w:pPr>
          <w:hyperlink w:anchor="__RefHeading___Toc3356_1895412299" w:tooltip="7. 附錄">
            <w:r>
              <w:rPr>
                <w:rStyle w:val="Style14"/>
              </w:rPr>
              <w:t xml:space="preserve">7. </w:t>
            </w:r>
            <w:r>
              <w:rPr>
                <w:rStyle w:val="Style14"/>
              </w:rPr>
              <w:t>附錄</w:t>
            </w:r>
            <w:r>
              <w:rPr>
                <w:rStyle w:val="Style14"/>
              </w:rPr>
              <w:tab/>
              <w:t>22</w:t>
            </w:r>
          </w:hyperlink>
        </w:p>
        <w:p>
          <w:pPr>
            <w:pStyle w:val="TOC2"/>
            <w:tabs>
              <w:tab w:val="clear" w:pos="480"/>
              <w:tab w:val="right" w:pos="9637" w:leader="dot"/>
            </w:tabs>
            <w:rPr/>
          </w:pPr>
          <w:hyperlink w:anchor="__RefHeading___Toc3358_1895412299" w:tooltip="7.1 參考書目">
            <w:r>
              <w:rPr>
                <w:rStyle w:val="Style14"/>
              </w:rPr>
              <w:t xml:space="preserve">7.1 </w:t>
            </w:r>
            <w:r>
              <w:rPr>
                <w:rStyle w:val="Style14"/>
              </w:rPr>
              <w:t>參考書目</w:t>
            </w:r>
            <w:r>
              <w:rPr>
                <w:rStyle w:val="Style14"/>
              </w:rPr>
              <w:tab/>
              <w:t>22</w:t>
            </w:r>
          </w:hyperlink>
        </w:p>
        <w:p>
          <w:pPr>
            <w:pStyle w:val="TOC2"/>
            <w:tabs>
              <w:tab w:val="clear" w:pos="480"/>
              <w:tab w:val="right" w:pos="9637" w:leader="dot"/>
            </w:tabs>
            <w:rPr/>
          </w:pPr>
          <w:hyperlink w:anchor="__RefHeading___Toc3360_1895412299" w:tooltip="7.2 專有名詞解釋">
            <w:r>
              <w:rPr>
                <w:rStyle w:val="Style14"/>
              </w:rPr>
              <w:t xml:space="preserve">7.2 </w:t>
            </w:r>
            <w:r>
              <w:rPr>
                <w:rStyle w:val="Style14"/>
              </w:rPr>
              <w:t>專有名詞解釋</w:t>
            </w:r>
            <w:r>
              <w:rPr>
                <w:rStyle w:val="Style14"/>
              </w:rPr>
              <w:tab/>
              <w:t>22</w:t>
            </w:r>
          </w:hyperlink>
        </w:p>
        <w:p>
          <w:pPr>
            <w:pStyle w:val="TOC2"/>
            <w:tabs>
              <w:tab w:val="clear" w:pos="480"/>
              <w:tab w:val="right" w:pos="9637" w:leader="dot"/>
            </w:tabs>
            <w:rPr/>
          </w:pPr>
          <w:hyperlink w:anchor="__RefHeading___Toc3362_1895412299" w:tooltip="7.3 專有名詞中英對照">
            <w:r>
              <w:rPr>
                <w:rStyle w:val="Style14"/>
              </w:rPr>
              <w:t xml:space="preserve">7.3 </w:t>
            </w:r>
            <w:r>
              <w:rPr>
                <w:rStyle w:val="Style14"/>
              </w:rPr>
              <w:t>專有名詞中英對照</w:t>
            </w:r>
            <w:r>
              <w:rPr>
                <w:rStyle w:val="Style14"/>
              </w:rPr>
              <w:tab/>
              <w:t>23</w:t>
            </w:r>
          </w:hyperlink>
          <w:r>
            <w:rPr>
              <w:rStyle w:val="Style14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bookmarkStart w:id="0" w:name="__RefHeading___Toc3270_1895412299"/>
      <w:bookmarkStart w:id="1" w:name="_Toc243493444"/>
      <w:bookmarkEnd w:id="0"/>
      <w:r>
        <w:rPr/>
        <w:t xml:space="preserve">1. </w:t>
      </w:r>
      <w:r>
        <w:rPr/>
        <w:t>簡介</w:t>
      </w:r>
      <w:bookmarkEnd w:id="1"/>
    </w:p>
    <w:p>
      <w:pPr>
        <w:pStyle w:val="Heading2"/>
        <w:rPr/>
      </w:pPr>
      <w:bookmarkStart w:id="2" w:name="__RefHeading___Toc3272_1895412299"/>
      <w:bookmarkStart w:id="3" w:name="_Toc243493445"/>
      <w:bookmarkEnd w:id="2"/>
      <w:r>
        <w:rPr/>
        <w:t xml:space="preserve">1.1 </w:t>
      </w:r>
      <w:r>
        <w:rPr/>
        <w:t>文件目的</w:t>
      </w:r>
      <w:bookmarkEnd w:id="3"/>
    </w:p>
    <w:p>
      <w:pPr>
        <w:pStyle w:val="Normal"/>
        <w:spacing w:lineRule="auto" w:line="300" w:before="0" w:after="100"/>
        <w:rPr/>
      </w:pPr>
      <w:r>
        <w:rPr>
          <w:rFonts w:eastAsia="微軟正黑體"/>
        </w:rPr>
        <w:t>本文件為「</w:t>
      </w:r>
      <w:r>
        <w:rPr>
          <w:rFonts w:eastAsia="微軟正黑體"/>
        </w:rPr>
        <w:t xml:space="preserve">SGS </w:t>
      </w:r>
      <w:r>
        <w:rPr>
          <w:rFonts w:eastAsia="微軟正黑體"/>
        </w:rPr>
        <w:t>基礎框架系統」之軟體設計文件（</w:t>
      </w:r>
      <w:r>
        <w:rPr>
          <w:rFonts w:eastAsia="微軟正黑體"/>
        </w:rPr>
        <w:t>Software Design Document, SDD</w:t>
      </w:r>
      <w:r>
        <w:rPr>
          <w:rFonts w:eastAsia="微軟正黑體"/>
        </w:rPr>
        <w:t>），包含初步設計與細部設計兩部分。目的是透過設計文件的製作，讓系統開發者進一步確認並契合系統的實際需求，並在實體建構查核後成為產品基準（</w:t>
      </w:r>
      <w:r>
        <w:rPr>
          <w:rFonts w:eastAsia="微軟正黑體"/>
        </w:rPr>
        <w:t>Product Baseline</w:t>
      </w:r>
      <w:r>
        <w:rPr>
          <w:rFonts w:eastAsia="微軟正黑體"/>
        </w:rPr>
        <w:t>）。本文件同時作為開發者實作時可依循的準則。</w:t>
      </w:r>
    </w:p>
    <w:p>
      <w:pPr>
        <w:pStyle w:val="Heading2"/>
        <w:rPr/>
      </w:pPr>
      <w:bookmarkStart w:id="4" w:name="__RefHeading___Toc3274_1895412299"/>
      <w:bookmarkStart w:id="5" w:name="_Toc243493446"/>
      <w:bookmarkEnd w:id="4"/>
      <w:r>
        <w:rPr/>
        <w:t xml:space="preserve">1.2 </w:t>
      </w:r>
      <w:r>
        <w:rPr/>
        <w:t>文件範圍</w:t>
      </w:r>
      <w:bookmarkEnd w:id="5"/>
    </w:p>
    <w:p>
      <w:pPr>
        <w:pStyle w:val="Normal"/>
        <w:spacing w:lineRule="auto" w:line="300" w:before="0" w:after="100"/>
        <w:rPr/>
      </w:pPr>
      <w:r>
        <w:rPr>
          <w:rFonts w:eastAsia="微軟正黑體"/>
        </w:rPr>
        <w:t xml:space="preserve">本文件適用於 </w:t>
      </w:r>
      <w:r>
        <w:rPr>
          <w:rFonts w:eastAsia="微軟正黑體"/>
        </w:rPr>
        <w:t xml:space="preserve">SGS </w:t>
      </w:r>
      <w:r>
        <w:rPr>
          <w:rFonts w:eastAsia="微軟正黑體"/>
        </w:rPr>
        <w:t>基礎框架系統（</w:t>
      </w:r>
      <w:r>
        <w:rPr>
          <w:rFonts w:eastAsia="微軟正黑體"/>
        </w:rPr>
        <w:t>SGSFramework</w:t>
      </w:r>
      <w:r>
        <w:rPr>
          <w:rFonts w:eastAsia="微軟正黑體"/>
        </w:rPr>
        <w:t>，</w:t>
      </w:r>
      <w:r>
        <w:rPr>
          <w:rFonts w:eastAsia="微軟正黑體"/>
        </w:rPr>
        <w:t xml:space="preserve">PhysLIMS 2.0 </w:t>
      </w:r>
      <w:r>
        <w:rPr>
          <w:rFonts w:eastAsia="微軟正黑體"/>
        </w:rPr>
        <w:t>基礎平台）軟體研製開發之所有階段，包含需求確認、初步設計、細部設計、實作、測試與維運，是系統開發時必須遵循的準繩，所有開發者均應依本文件內容從事開發。</w:t>
      </w:r>
    </w:p>
    <w:p>
      <w:pPr>
        <w:pStyle w:val="Normal"/>
        <w:spacing w:lineRule="auto" w:line="300" w:before="0" w:after="100"/>
        <w:rPr/>
      </w:pPr>
      <w:r>
        <w:rPr>
          <w:rFonts w:eastAsia="微軟正黑體"/>
        </w:rPr>
        <w:t>範圍涵蓋後端（</w:t>
      </w:r>
      <w:r>
        <w:rPr>
          <w:rFonts w:eastAsia="微軟正黑體"/>
        </w:rPr>
        <w:t>Host</w:t>
      </w:r>
      <w:r>
        <w:rPr>
          <w:rFonts w:eastAsia="微軟正黑體"/>
        </w:rPr>
        <w:t>、</w:t>
      </w:r>
      <w:r>
        <w:rPr>
          <w:rFonts w:eastAsia="微軟正黑體"/>
        </w:rPr>
        <w:t>Infrastructure</w:t>
      </w:r>
      <w:r>
        <w:rPr>
          <w:rFonts w:eastAsia="微軟正黑體"/>
        </w:rPr>
        <w:t>、</w:t>
      </w:r>
      <w:r>
        <w:rPr>
          <w:rFonts w:eastAsia="微軟正黑體"/>
        </w:rPr>
        <w:t>Shared</w:t>
      </w:r>
      <w:r>
        <w:rPr>
          <w:rFonts w:eastAsia="微軟正黑體"/>
        </w:rPr>
        <w:t>、</w:t>
      </w:r>
      <w:r>
        <w:rPr>
          <w:rFonts w:eastAsia="微軟正黑體"/>
        </w:rPr>
        <w:t>Modules</w:t>
      </w:r>
      <w:r>
        <w:rPr>
          <w:rFonts w:eastAsia="微軟正黑體"/>
        </w:rPr>
        <w:t xml:space="preserve">）與前端 </w:t>
      </w:r>
      <w:r>
        <w:rPr>
          <w:rFonts w:eastAsia="微軟正黑體"/>
        </w:rPr>
        <w:t>Vue 3</w:t>
      </w:r>
      <w:r>
        <w:rPr>
          <w:rFonts w:eastAsia="微軟正黑體"/>
        </w:rPr>
        <w:t>（</w:t>
      </w:r>
      <w:r>
        <w:rPr>
          <w:rFonts w:eastAsia="微軟正黑體"/>
        </w:rPr>
        <w:t>JavaScript</w:t>
      </w:r>
      <w:r>
        <w:rPr>
          <w:rFonts w:eastAsia="微軟正黑體"/>
        </w:rPr>
        <w:t>）單頁應用（</w:t>
      </w:r>
      <w:r>
        <w:rPr>
          <w:rFonts w:eastAsia="微軟正黑體"/>
        </w:rPr>
        <w:t>SPA</w:t>
      </w:r>
      <w:r>
        <w:rPr>
          <w:rFonts w:eastAsia="微軟正黑體"/>
        </w:rPr>
        <w:t>）及其共用元件。實作內容若與本文件不一致，應經變更審查後同步修訂本文件，以確保文件與程式碼一致。</w:t>
      </w:r>
    </w:p>
    <w:p>
      <w:pPr>
        <w:pStyle w:val="Heading1"/>
        <w:rPr/>
      </w:pPr>
      <w:bookmarkStart w:id="6" w:name="__RefHeading___Toc3276_1895412299"/>
      <w:bookmarkStart w:id="7" w:name="_Toc243493447"/>
      <w:bookmarkEnd w:id="6"/>
      <w:r>
        <w:rPr/>
        <w:t xml:space="preserve">2. </w:t>
      </w:r>
      <w:r>
        <w:rPr/>
        <w:t>系統概述</w:t>
      </w:r>
      <w:bookmarkEnd w:id="7"/>
    </w:p>
    <w:p>
      <w:pPr>
        <w:pStyle w:val="Heading2"/>
        <w:rPr/>
      </w:pPr>
      <w:bookmarkStart w:id="8" w:name="__RefHeading___Toc3278_1895412299"/>
      <w:bookmarkStart w:id="9" w:name="_Toc243493448"/>
      <w:bookmarkEnd w:id="8"/>
      <w:r>
        <w:rPr/>
        <w:t xml:space="preserve">2.1 </w:t>
      </w:r>
      <w:r>
        <w:rPr/>
        <w:t>系統目標</w:t>
      </w:r>
      <w:bookmarkEnd w:id="9"/>
    </w:p>
    <w:p>
      <w:pPr>
        <w:pStyle w:val="Heading3"/>
        <w:rPr/>
      </w:pPr>
      <w:bookmarkStart w:id="10" w:name="__RefHeading___Toc3280_1895412299"/>
      <w:bookmarkStart w:id="11" w:name="_Toc243493449"/>
      <w:bookmarkEnd w:id="10"/>
      <w:r>
        <w:rPr/>
        <w:t xml:space="preserve">2.1.1 </w:t>
      </w:r>
      <w:r>
        <w:rPr/>
        <w:t>商業價值與合規要求</w:t>
      </w:r>
      <w:bookmarkEnd w:id="11"/>
    </w:p>
    <w:p>
      <w:pPr>
        <w:pStyle w:val="Normal"/>
        <w:spacing w:lineRule="auto" w:line="300" w:before="0" w:after="100"/>
        <w:rPr/>
      </w:pPr>
      <w:r>
        <w:rPr>
          <w:rFonts w:eastAsia="微軟正黑體"/>
        </w:rPr>
        <w:t xml:space="preserve">打造符合 </w:t>
      </w:r>
      <w:r>
        <w:rPr>
          <w:rFonts w:eastAsia="微軟正黑體"/>
        </w:rPr>
        <w:t>ISO 27001</w:t>
      </w:r>
      <w:r>
        <w:rPr>
          <w:rFonts w:eastAsia="微軟正黑體"/>
        </w:rPr>
        <w:t>（資訊安全管理）、</w:t>
      </w:r>
      <w:r>
        <w:rPr>
          <w:rFonts w:eastAsia="微軟正黑體"/>
        </w:rPr>
        <w:t>ISO 17025</w:t>
      </w:r>
      <w:r>
        <w:rPr>
          <w:rFonts w:eastAsia="微軟正黑體"/>
        </w:rPr>
        <w:t>（實驗室測試與校準能力）及《資通安全管理法》要求的企業級實驗室資訊管理系統基礎框架（</w:t>
      </w:r>
      <w:r>
        <w:rPr>
          <w:rFonts w:eastAsia="微軟正黑體"/>
        </w:rPr>
        <w:t>PhysLIMS 2.0</w:t>
      </w:r>
      <w:r>
        <w:rPr>
          <w:rFonts w:eastAsia="微軟正黑體"/>
        </w:rPr>
        <w:t xml:space="preserve">）。框架提供身分驗證、動態授權、稽核追溯與外掛模組機制，讓各業務子系統（如組織管理 </w:t>
      </w:r>
      <w:r>
        <w:rPr>
          <w:rFonts w:eastAsia="微軟正黑體"/>
        </w:rPr>
        <w:t>ORG</w:t>
      </w:r>
      <w:r>
        <w:rPr>
          <w:rFonts w:eastAsia="微軟正黑體"/>
        </w:rPr>
        <w:t>）在同一套安全基礎上快速擴充。</w:t>
      </w:r>
    </w:p>
    <w:p>
      <w:pPr>
        <w:pStyle w:val="Heading3"/>
        <w:rPr/>
      </w:pPr>
      <w:bookmarkStart w:id="12" w:name="__RefHeading___Toc3282_1895412299"/>
      <w:bookmarkStart w:id="13" w:name="_Toc243493450"/>
      <w:bookmarkEnd w:id="12"/>
      <w:r>
        <w:rPr/>
        <w:t xml:space="preserve">2.1.2 </w:t>
      </w:r>
      <w:r>
        <w:rPr/>
        <w:t>現代化技術棧與架構設計</w:t>
      </w:r>
      <w:bookmarkEnd w:id="13"/>
    </w:p>
    <w:p>
      <w:pPr>
        <w:pStyle w:val="ListParagraph"/>
        <w:numPr>
          <w:ilvl w:val="0"/>
          <w:numId w:val="6"/>
        </w:numPr>
        <w:spacing w:lineRule="auto" w:line="290" w:before="0" w:after="60"/>
        <w:rPr/>
      </w:pPr>
      <w:r>
        <w:rPr>
          <w:rFonts w:eastAsia="微軟正黑體"/>
          <w:b/>
          <w:bCs/>
        </w:rPr>
        <w:t>後端</w:t>
      </w:r>
      <w:r>
        <w:rPr>
          <w:rFonts w:eastAsia="微軟正黑體"/>
        </w:rPr>
        <w:t>：</w:t>
      </w:r>
      <w:r>
        <w:rPr>
          <w:rFonts w:eastAsia="微軟正黑體"/>
        </w:rPr>
        <w:t>.NET 10</w:t>
      </w:r>
      <w:r>
        <w:rPr>
          <w:rFonts w:eastAsia="微軟正黑體"/>
        </w:rPr>
        <w:t xml:space="preserve">（全部 專案皆為 </w:t>
      </w:r>
      <w:r>
        <w:rPr>
          <w:rFonts w:eastAsia="Consolas" w:cs="Consolas" w:ascii="Consolas" w:hAnsi="Consolas"/>
          <w:sz w:val="19"/>
          <w:szCs w:val="19"/>
        </w:rPr>
        <w:t>net10.0</w:t>
      </w:r>
      <w:r>
        <w:rPr>
          <w:rFonts w:eastAsia="微軟正黑體"/>
        </w:rPr>
        <w:t xml:space="preserve">）與 </w:t>
      </w:r>
      <w:r>
        <w:rPr>
          <w:rFonts w:eastAsia="微軟正黑體"/>
        </w:rPr>
        <w:t>C# 14</w:t>
      </w:r>
      <w:r>
        <w:rPr>
          <w:rFonts w:eastAsia="微軟正黑體"/>
        </w:rPr>
        <w:t xml:space="preserve">，採 </w:t>
      </w:r>
      <w:r>
        <w:rPr>
          <w:rFonts w:eastAsia="微軟正黑體"/>
          <w:b/>
          <w:bCs/>
        </w:rPr>
        <w:t>Clean Architecture</w:t>
      </w:r>
      <w:r>
        <w:rPr>
          <w:rFonts w:eastAsia="微軟正黑體"/>
        </w:rPr>
        <w:t xml:space="preserve"> </w:t>
      </w:r>
      <w:r>
        <w:rPr>
          <w:rFonts w:eastAsia="微軟正黑體"/>
        </w:rPr>
        <w:t xml:space="preserve">搭配 </w:t>
      </w:r>
      <w:r>
        <w:rPr>
          <w:rFonts w:eastAsia="微軟正黑體"/>
          <w:b/>
          <w:bCs/>
        </w:rPr>
        <w:t>Modular Monolith</w:t>
      </w:r>
      <w:r>
        <w:rPr>
          <w:rFonts w:eastAsia="微軟正黑體"/>
        </w:rPr>
        <w:t>，業務模組以獨立組件（外掛）形式載入，兼顧模組內聚與單體部署的簡易性。</w:t>
      </w:r>
    </w:p>
    <w:p>
      <w:pPr>
        <w:pStyle w:val="ListParagraph"/>
        <w:numPr>
          <w:ilvl w:val="0"/>
          <w:numId w:val="3"/>
        </w:numPr>
        <w:spacing w:lineRule="auto" w:line="290" w:before="0" w:after="60"/>
        <w:rPr/>
      </w:pPr>
      <w:r>
        <w:rPr>
          <w:rFonts w:eastAsia="微軟正黑體"/>
          <w:b/>
          <w:bCs/>
        </w:rPr>
        <w:t xml:space="preserve">行程內 </w:t>
      </w:r>
      <w:r>
        <w:rPr>
          <w:rFonts w:eastAsia="微軟正黑體"/>
          <w:b/>
          <w:bCs/>
        </w:rPr>
        <w:t>CQRS</w:t>
      </w:r>
      <w:r>
        <w:rPr>
          <w:rFonts w:eastAsia="微軟正黑體"/>
        </w:rPr>
        <w:t xml:space="preserve">：以 </w:t>
      </w:r>
      <w:r>
        <w:rPr>
          <w:rFonts w:eastAsia="微軟正黑體"/>
          <w:b/>
          <w:bCs/>
        </w:rPr>
        <w:t>MediatR 12.0.1</w:t>
      </w:r>
      <w:r>
        <w:rPr>
          <w:rFonts w:eastAsia="微軟正黑體"/>
        </w:rPr>
        <w:t xml:space="preserve"> </w:t>
      </w:r>
      <w:r>
        <w:rPr>
          <w:rFonts w:eastAsia="微軟正黑體"/>
        </w:rPr>
        <w:t xml:space="preserve">實作 </w:t>
      </w:r>
      <w:r>
        <w:rPr>
          <w:rFonts w:eastAsia="微軟正黑體"/>
        </w:rPr>
        <w:t xml:space="preserve">Command/Query </w:t>
      </w:r>
      <w:r>
        <w:rPr>
          <w:rFonts w:eastAsia="微軟正黑體"/>
        </w:rPr>
        <w:t xml:space="preserve">派發（例如選單管理的 </w:t>
      </w:r>
      <w:r>
        <w:rPr>
          <w:rFonts w:eastAsia="Consolas" w:cs="Consolas" w:ascii="Consolas" w:hAnsi="Consolas"/>
          <w:sz w:val="19"/>
          <w:szCs w:val="19"/>
        </w:rPr>
        <w:t>CreateMenuItemCommand</w:t>
      </w:r>
      <w:r>
        <w:rPr>
          <w:rFonts w:eastAsia="微軟正黑體"/>
        </w:rPr>
        <w:t>、</w:t>
      </w:r>
      <w:r>
        <w:rPr>
          <w:rFonts w:eastAsia="Consolas" w:cs="Consolas" w:ascii="Consolas" w:hAnsi="Consolas"/>
          <w:sz w:val="19"/>
          <w:szCs w:val="19"/>
        </w:rPr>
        <w:t>MoveMenuItemCommand</w:t>
      </w:r>
      <w:r>
        <w:rPr>
          <w:rFonts w:eastAsia="微軟正黑體"/>
        </w:rPr>
        <w:t xml:space="preserve"> </w:t>
      </w:r>
      <w:r>
        <w:rPr>
          <w:rFonts w:eastAsia="微軟正黑體"/>
        </w:rPr>
        <w:t>等）；目前為局部採用，未涵蓋全部功能。</w:t>
      </w:r>
    </w:p>
    <w:p>
      <w:pPr>
        <w:pStyle w:val="ListParagraph"/>
        <w:numPr>
          <w:ilvl w:val="0"/>
          <w:numId w:val="3"/>
        </w:numPr>
        <w:spacing w:lineRule="auto" w:line="290" w:before="0" w:after="60"/>
        <w:rPr>
          <w:b/>
          <w:bCs/>
        </w:rPr>
      </w:pPr>
      <w:r>
        <w:rPr>
          <w:rFonts w:eastAsia="微軟正黑體"/>
          <w:b/>
          <w:bCs/>
        </w:rPr>
        <w:t>前端：</w:t>
      </w:r>
      <w:r>
        <w:rPr>
          <w:rFonts w:eastAsia="微軟正黑體"/>
        </w:rPr>
        <w:t xml:space="preserve">採 </w:t>
      </w:r>
      <w:r>
        <w:rPr>
          <w:rFonts w:eastAsia="微軟正黑體"/>
        </w:rPr>
        <w:t>Vue 3</w:t>
      </w:r>
      <w:r>
        <w:rPr>
          <w:rFonts w:eastAsia="微軟正黑體"/>
        </w:rPr>
        <w:t>（</w:t>
      </w:r>
      <w:r>
        <w:rPr>
          <w:rFonts w:eastAsia="微軟正黑體"/>
        </w:rPr>
        <w:t>JavaScript</w:t>
      </w:r>
      <w:r>
        <w:rPr>
          <w:rFonts w:eastAsia="微軟正黑體"/>
        </w:rPr>
        <w:t xml:space="preserve">）搭配 </w:t>
      </w:r>
      <w:r>
        <w:rPr>
          <w:rFonts w:eastAsia="微軟正黑體"/>
        </w:rPr>
        <w:t xml:space="preserve">Vite </w:t>
      </w:r>
      <w:r>
        <w:rPr>
          <w:rFonts w:eastAsia="微軟正黑體"/>
        </w:rPr>
        <w:t>建置單頁應用（</w:t>
      </w:r>
      <w:r>
        <w:rPr>
          <w:rFonts w:eastAsia="微軟正黑體"/>
        </w:rPr>
        <w:t>SPA</w:t>
      </w:r>
      <w:r>
        <w:rPr>
          <w:rFonts w:eastAsia="微軟正黑體"/>
        </w:rPr>
        <w:t xml:space="preserve">），介面採 </w:t>
      </w:r>
      <w:r>
        <w:rPr>
          <w:rFonts w:eastAsia="微軟正黑體"/>
        </w:rPr>
        <w:t>Naive UI</w:t>
      </w:r>
      <w:r>
        <w:rPr>
          <w:rFonts w:eastAsia="微軟正黑體"/>
        </w:rPr>
        <w:t xml:space="preserve">；統一以 </w:t>
      </w:r>
      <w:r>
        <w:rPr>
          <w:rFonts w:eastAsia="微軟正黑體"/>
        </w:rPr>
        <w:t xml:space="preserve">Axios </w:t>
      </w:r>
      <w:r>
        <w:rPr>
          <w:rFonts w:eastAsia="微軟正黑體"/>
        </w:rPr>
        <w:t xml:space="preserve">呼叫後端 </w:t>
      </w:r>
      <w:r>
        <w:rPr>
          <w:rFonts w:eastAsia="微軟正黑體"/>
        </w:rPr>
        <w:t>REST API</w:t>
      </w:r>
      <w:r>
        <w:rPr>
          <w:rFonts w:eastAsia="微軟正黑體"/>
        </w:rPr>
        <w:t xml:space="preserve">，自動帶入 </w:t>
      </w:r>
      <w:r>
        <w:rPr>
          <w:rFonts w:eastAsia="微軟正黑體"/>
        </w:rPr>
        <w:t>JWT Bearer Token</w:t>
      </w:r>
      <w:r>
        <w:rPr>
          <w:rFonts w:eastAsia="微軟正黑體"/>
        </w:rPr>
        <w:t>、目前路由（</w:t>
      </w:r>
      <w:r>
        <w:rPr>
          <w:rFonts w:eastAsia="微軟正黑體"/>
        </w:rPr>
        <w:t>X-Current-Route</w:t>
      </w:r>
      <w:r>
        <w:rPr>
          <w:rFonts w:eastAsia="微軟正黑體"/>
        </w:rPr>
        <w:t>）、裝置識別（</w:t>
      </w:r>
      <w:r>
        <w:rPr>
          <w:rFonts w:eastAsia="微軟正黑體"/>
        </w:rPr>
        <w:t>X-Device-Id</w:t>
      </w:r>
      <w:r>
        <w:rPr>
          <w:rFonts w:eastAsia="微軟正黑體"/>
        </w:rPr>
        <w:t>）、時區（</w:t>
      </w:r>
      <w:r>
        <w:rPr>
          <w:rFonts w:eastAsia="微軟正黑體"/>
        </w:rPr>
        <w:t>X-User-Timezone</w:t>
      </w:r>
      <w:r>
        <w:rPr>
          <w:rFonts w:eastAsia="微軟正黑體"/>
        </w:rPr>
        <w:t>）及防重放之一次性票證（</w:t>
      </w:r>
      <w:r>
        <w:rPr>
          <w:rFonts w:eastAsia="微軟正黑體"/>
        </w:rPr>
        <w:t>X-Once-Token</w:t>
      </w:r>
      <w:r>
        <w:rPr>
          <w:rFonts w:eastAsia="微軟正黑體"/>
        </w:rPr>
        <w:t xml:space="preserve">），並以 </w:t>
      </w:r>
      <w:r>
        <w:rPr>
          <w:rFonts w:eastAsia="微軟正黑體"/>
        </w:rPr>
        <w:t xml:space="preserve">SignalR </w:t>
      </w:r>
      <w:r>
        <w:rPr>
          <w:rFonts w:eastAsia="微軟正黑體"/>
        </w:rPr>
        <w:t>連線通知中樞（</w:t>
      </w:r>
      <w:r>
        <w:rPr>
          <w:rFonts w:eastAsia="微軟正黑體"/>
        </w:rPr>
        <w:t>/hubs/notification</w:t>
      </w:r>
      <w:r>
        <w:rPr>
          <w:rFonts w:eastAsia="微軟正黑體"/>
        </w:rPr>
        <w:t>）。</w:t>
      </w:r>
    </w:p>
    <w:p>
      <w:pPr>
        <w:pStyle w:val="ListParagraph"/>
        <w:numPr>
          <w:ilvl w:val="0"/>
          <w:numId w:val="3"/>
        </w:numPr>
        <w:spacing w:lineRule="auto" w:line="290" w:before="0" w:after="60"/>
        <w:rPr>
          <w:rFonts w:eastAsia="微軟正黑體"/>
          <w:b/>
          <w:bCs/>
        </w:rPr>
      </w:pPr>
      <w:r>
        <w:rPr>
          <w:rFonts w:eastAsia="微軟正黑體"/>
          <w:b/>
          <w:bCs/>
        </w:rPr>
        <w:t>後端外掛業務功能模組：</w:t>
      </w:r>
      <w:r>
        <w:rPr>
          <w:rFonts w:eastAsia="微軟正黑體"/>
        </w:rPr>
        <w:t xml:space="preserve">各業務模組（如 </w:t>
      </w:r>
      <w:r>
        <w:rPr>
          <w:rFonts w:eastAsia="微軟正黑體"/>
        </w:rPr>
        <w:t xml:space="preserve">ORG </w:t>
      </w:r>
      <w:r>
        <w:rPr>
          <w:rFonts w:eastAsia="微軟正黑體"/>
        </w:rPr>
        <w:t>組織／實驗室）以獨立組件（</w:t>
      </w:r>
      <w:r>
        <w:rPr>
          <w:rFonts w:eastAsia="微軟正黑體"/>
        </w:rPr>
        <w:t>DLL</w:t>
      </w:r>
      <w:r>
        <w:rPr>
          <w:rFonts w:eastAsia="微軟正黑體"/>
        </w:rPr>
        <w:t xml:space="preserve">）形式放置於 </w:t>
      </w:r>
      <w:r>
        <w:rPr>
          <w:rFonts w:eastAsia="微軟正黑體"/>
        </w:rPr>
        <w:t xml:space="preserve">plugins </w:t>
      </w:r>
      <w:r>
        <w:rPr>
          <w:rFonts w:eastAsia="微軟正黑體"/>
        </w:rPr>
        <w:t xml:space="preserve">目錄，載入前先驗證數位簽章與憑證指紋，再於獨立的 </w:t>
      </w:r>
      <w:r>
        <w:rPr>
          <w:rFonts w:eastAsia="微軟正黑體"/>
        </w:rPr>
        <w:t xml:space="preserve">AssemblyLoadContext </w:t>
      </w:r>
      <w:r>
        <w:rPr>
          <w:rFonts w:eastAsia="微軟正黑體"/>
        </w:rPr>
        <w:t xml:space="preserve">中載入，使模組之間相互隔離；模組透過 </w:t>
      </w:r>
      <w:r>
        <w:rPr>
          <w:rFonts w:eastAsia="微軟正黑體"/>
        </w:rPr>
        <w:t>Controller</w:t>
      </w:r>
      <w:r>
        <w:rPr>
          <w:rFonts w:eastAsia="微軟正黑體"/>
        </w:rPr>
        <w:t>／</w:t>
      </w:r>
      <w:r>
        <w:rPr>
          <w:rFonts w:eastAsia="微軟正黑體"/>
        </w:rPr>
        <w:t xml:space="preserve">Action </w:t>
      </w:r>
      <w:r>
        <w:rPr>
          <w:rFonts w:eastAsia="微軟正黑體"/>
        </w:rPr>
        <w:t xml:space="preserve">元資料同步、選單樹與模組啟停機制向主機註冊，並與核心共用同一 </w:t>
      </w:r>
      <w:r>
        <w:rPr>
          <w:rFonts w:eastAsia="微軟正黑體"/>
        </w:rPr>
        <w:t xml:space="preserve">DI </w:t>
      </w:r>
      <w:r>
        <w:rPr>
          <w:rFonts w:eastAsia="微軟正黑體"/>
        </w:rPr>
        <w:t>容器與資料庫，達到模組內聚與單體部署並存。</w:t>
      </w:r>
    </w:p>
    <w:p>
      <w:pPr>
        <w:pStyle w:val="ListParagraph"/>
        <w:numPr>
          <w:ilvl w:val="0"/>
          <w:numId w:val="3"/>
        </w:numPr>
        <w:spacing w:lineRule="auto" w:line="290" w:before="0" w:after="60"/>
        <w:rPr>
          <w:b/>
          <w:bCs/>
        </w:rPr>
      </w:pPr>
      <w:r>
        <w:rPr>
          <w:rFonts w:eastAsia="微軟正黑體"/>
          <w:b/>
          <w:bCs/>
        </w:rPr>
        <w:t xml:space="preserve">前端 </w:t>
      </w:r>
      <w:r>
        <w:rPr>
          <w:rFonts w:eastAsia="微軟正黑體"/>
          <w:b/>
          <w:bCs/>
        </w:rPr>
        <w:t xml:space="preserve">SPA </w:t>
      </w:r>
      <w:r>
        <w:rPr>
          <w:rFonts w:eastAsia="微軟正黑體"/>
          <w:b/>
          <w:bCs/>
        </w:rPr>
        <w:t>模組擴充：</w:t>
      </w:r>
      <w:r>
        <w:rPr>
          <w:rFonts w:eastAsia="微軟正黑體"/>
        </w:rPr>
        <w:t xml:space="preserve">後端已具備 </w:t>
      </w:r>
      <w:r>
        <w:rPr>
          <w:rFonts w:eastAsia="微軟正黑體"/>
        </w:rPr>
        <w:t xml:space="preserve">SGSFramework.SPAModulePlugin </w:t>
      </w:r>
      <w:r>
        <w:rPr>
          <w:rFonts w:eastAsia="微軟正黑體"/>
        </w:rPr>
        <w:t xml:space="preserve">與 </w:t>
      </w:r>
      <w:r>
        <w:rPr>
          <w:rFonts w:eastAsia="微軟正黑體"/>
        </w:rPr>
        <w:t>SPAModuleController</w:t>
      </w:r>
      <w:r>
        <w:rPr>
          <w:rFonts w:eastAsia="微軟正黑體"/>
        </w:rPr>
        <w:t xml:space="preserve">，支援以 </w:t>
      </w:r>
      <w:r>
        <w:rPr>
          <w:rFonts w:eastAsia="微軟正黑體"/>
        </w:rPr>
        <w:t>Vue.js 3</w:t>
      </w:r>
      <w:r>
        <w:rPr>
          <w:rFonts w:eastAsia="微軟正黑體"/>
        </w:rPr>
        <w:t>（</w:t>
      </w:r>
      <w:r>
        <w:rPr>
          <w:rFonts w:eastAsia="微軟正黑體"/>
        </w:rPr>
        <w:t>JavaScript</w:t>
      </w:r>
      <w:r>
        <w:rPr>
          <w:rFonts w:eastAsia="微軟正黑體"/>
        </w:rPr>
        <w:t xml:space="preserve">）開發之前端模組擴充：可透過 </w:t>
      </w:r>
      <w:r>
        <w:rPr>
          <w:rFonts w:eastAsia="微軟正黑體"/>
        </w:rPr>
        <w:t xml:space="preserve">API </w:t>
      </w:r>
      <w:r>
        <w:rPr>
          <w:rFonts w:eastAsia="微軟正黑體"/>
        </w:rPr>
        <w:t>上傳部署模組套件（</w:t>
      </w:r>
      <w:r>
        <w:rPr>
          <w:rFonts w:eastAsia="微軟正黑體"/>
        </w:rPr>
        <w:t xml:space="preserve">.zip </w:t>
      </w:r>
      <w:r>
        <w:rPr>
          <w:rFonts w:eastAsia="微軟正黑體"/>
        </w:rPr>
        <w:t xml:space="preserve">或單一資產）、線上動態卸載，並由 </w:t>
      </w:r>
      <w:r>
        <w:rPr>
          <w:rFonts w:eastAsia="微軟正黑體"/>
        </w:rPr>
        <w:t xml:space="preserve">manifest </w:t>
      </w:r>
      <w:r>
        <w:rPr>
          <w:rFonts w:eastAsia="微軟正黑體"/>
        </w:rPr>
        <w:t xml:space="preserve">端點依使用者授權回傳可用之 </w:t>
      </w:r>
      <w:r>
        <w:rPr>
          <w:rFonts w:eastAsia="微軟正黑體"/>
        </w:rPr>
        <w:t xml:space="preserve">SPA </w:t>
      </w:r>
      <w:r>
        <w:rPr>
          <w:rFonts w:eastAsia="微軟正黑體"/>
        </w:rPr>
        <w:t>模組清單，前端據此動態載入對應頁面與選單。</w:t>
      </w:r>
    </w:p>
    <w:p>
      <w:pPr>
        <w:pStyle w:val="Heading3"/>
        <w:rPr/>
      </w:pPr>
      <w:bookmarkStart w:id="14" w:name="__RefHeading___Toc3284_1895412299"/>
      <w:bookmarkStart w:id="15" w:name="_Toc243493451"/>
      <w:bookmarkEnd w:id="14"/>
      <w:r>
        <w:rPr/>
        <w:t xml:space="preserve">2.1.3 </w:t>
      </w:r>
      <w:r>
        <w:rPr/>
        <w:t>關鍵效能與資安指標</w:t>
      </w:r>
      <w:bookmarkEnd w:id="15"/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1835"/>
        <w:gridCol w:w="4479"/>
        <w:gridCol w:w="3324"/>
      </w:tblGrid>
      <w:tr>
        <w:trPr>
          <w:tblHeader w:val="true"/>
        </w:trPr>
        <w:tc>
          <w:tcPr>
            <w:tcW w:w="1835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指標</w:t>
            </w:r>
          </w:p>
        </w:tc>
        <w:tc>
          <w:tcPr>
            <w:tcW w:w="4479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設計目標／做法</w:t>
            </w:r>
          </w:p>
        </w:tc>
        <w:tc>
          <w:tcPr>
            <w:tcW w:w="332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現況</w:t>
            </w:r>
          </w:p>
        </w:tc>
      </w:tr>
      <w:tr>
        <w:trPr>
          <w:cantSplit/>
        </w:trPr>
        <w:tc>
          <w:tcPr>
            <w:tcW w:w="1835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API </w:t>
            </w:r>
            <w:r>
              <w:rPr>
                <w:rFonts w:eastAsia="微軟正黑體"/>
                <w:sz w:val="19"/>
                <w:szCs w:val="19"/>
              </w:rPr>
              <w:t>回應時間</w:t>
            </w:r>
          </w:p>
        </w:tc>
        <w:tc>
          <w:tcPr>
            <w:tcW w:w="4479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P95 &lt; 100 ms</w:t>
            </w:r>
          </w:p>
        </w:tc>
        <w:tc>
          <w:tcPr>
            <w:tcW w:w="332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>目標</w:t>
            </w:r>
            <w:r>
              <w:rPr>
                <w:rFonts w:eastAsia="微軟正黑體"/>
                <w:sz w:val="19"/>
                <w:szCs w:val="19"/>
              </w:rPr>
              <w:t>；尚無壓測／</w:t>
            </w:r>
            <w:r>
              <w:rPr>
                <w:rFonts w:eastAsia="微軟正黑體"/>
                <w:sz w:val="19"/>
                <w:szCs w:val="19"/>
              </w:rPr>
              <w:t xml:space="preserve">APM </w:t>
            </w:r>
            <w:r>
              <w:rPr>
                <w:rFonts w:eastAsia="微軟正黑體"/>
                <w:sz w:val="19"/>
                <w:szCs w:val="19"/>
              </w:rPr>
              <w:t>數據，待驗證</w:t>
            </w:r>
          </w:p>
        </w:tc>
      </w:tr>
      <w:tr>
        <w:trPr>
          <w:cantSplit/>
        </w:trPr>
        <w:tc>
          <w:tcPr>
            <w:tcW w:w="1835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權限運算</w:t>
            </w:r>
          </w:p>
        </w:tc>
        <w:tc>
          <w:tcPr>
            <w:tcW w:w="4479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位元運算於毫秒級（</w:t>
            </w:r>
            <w:r>
              <w:rPr>
                <w:rFonts w:eastAsia="微軟正黑體"/>
                <w:sz w:val="19"/>
                <w:szCs w:val="19"/>
              </w:rPr>
              <w:t>&lt; 1 ms</w:t>
            </w:r>
            <w:r>
              <w:rPr>
                <w:rFonts w:eastAsia="微軟正黑體"/>
                <w:sz w:val="19"/>
                <w:szCs w:val="19"/>
              </w:rPr>
              <w:t xml:space="preserve">）；權限結果以 </w:t>
            </w:r>
            <w:r>
              <w:rPr>
                <w:rFonts w:eastAsia="微軟正黑體"/>
                <w:sz w:val="19"/>
                <w:szCs w:val="19"/>
              </w:rPr>
              <w:t xml:space="preserve">FusionCache </w:t>
            </w:r>
            <w:r>
              <w:rPr>
                <w:rFonts w:eastAsia="微軟正黑體"/>
                <w:sz w:val="19"/>
                <w:szCs w:val="19"/>
              </w:rPr>
              <w:t>快取並以使用者標籤失效</w:t>
            </w:r>
          </w:p>
        </w:tc>
        <w:tc>
          <w:tcPr>
            <w:tcW w:w="332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機制已實作（</w:t>
            </w:r>
            <w:r>
              <w:rPr>
                <w:rFonts w:eastAsia="微軟正黑體"/>
                <w:sz w:val="19"/>
                <w:szCs w:val="19"/>
              </w:rPr>
              <w:t>FusionCache 2.9.0</w:t>
            </w:r>
            <w:r>
              <w:rPr>
                <w:rFonts w:eastAsia="微軟正黑體"/>
                <w:sz w:val="19"/>
                <w:szCs w:val="19"/>
              </w:rPr>
              <w:t>）；</w:t>
            </w:r>
            <w:r>
              <w:rPr>
                <w:rFonts w:eastAsia="微軟正黑體"/>
                <w:sz w:val="19"/>
                <w:szCs w:val="19"/>
              </w:rPr>
              <w:t xml:space="preserve">&lt; 1 ms </w:t>
            </w:r>
            <w:r>
              <w:rPr>
                <w:rFonts w:eastAsia="微軟正黑體"/>
                <w:sz w:val="19"/>
                <w:szCs w:val="19"/>
              </w:rPr>
              <w:t>待量測</w:t>
            </w:r>
          </w:p>
        </w:tc>
      </w:tr>
      <w:tr>
        <w:trPr>
          <w:cantSplit/>
        </w:trPr>
        <w:tc>
          <w:tcPr>
            <w:tcW w:w="1835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稽核不可否認性</w:t>
            </w:r>
          </w:p>
        </w:tc>
        <w:tc>
          <w:tcPr>
            <w:tcW w:w="4479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背景通道（</w:t>
            </w:r>
            <w:r>
              <w:rPr>
                <w:rFonts w:eastAsia="微軟正黑體"/>
                <w:sz w:val="19"/>
                <w:szCs w:val="19"/>
              </w:rPr>
              <w:t>.NET Channel</w:t>
            </w:r>
            <w:r>
              <w:rPr>
                <w:rFonts w:eastAsia="微軟正黑體"/>
                <w:sz w:val="19"/>
                <w:szCs w:val="19"/>
              </w:rPr>
              <w:t xml:space="preserve">）非同步批次寫入；每筆稽核含 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PreviousHash</w:t>
            </w:r>
            <w:r>
              <w:rPr>
                <w:rFonts w:eastAsia="微軟正黑體"/>
                <w:sz w:val="19"/>
                <w:szCs w:val="19"/>
              </w:rPr>
              <w:t xml:space="preserve">，以 </w:t>
            </w:r>
            <w:r>
              <w:rPr>
                <w:rFonts w:eastAsia="微軟正黑體"/>
                <w:sz w:val="19"/>
                <w:szCs w:val="19"/>
              </w:rPr>
              <w:t xml:space="preserve">SHA-256 </w:t>
            </w:r>
            <w:r>
              <w:rPr>
                <w:rFonts w:eastAsia="微軟正黑體"/>
                <w:sz w:val="19"/>
                <w:szCs w:val="19"/>
              </w:rPr>
              <w:t xml:space="preserve">形成雜湊鏈；資料表再啟用 </w:t>
            </w:r>
            <w:r>
              <w:rPr>
                <w:rFonts w:eastAsia="微軟正黑體"/>
                <w:sz w:val="19"/>
                <w:szCs w:val="19"/>
              </w:rPr>
              <w:t>SQL Server Ledger</w:t>
            </w:r>
            <w:r>
              <w:rPr>
                <w:rFonts w:eastAsia="微軟正黑體"/>
                <w:sz w:val="19"/>
                <w:szCs w:val="19"/>
              </w:rPr>
              <w:t>（</w:t>
            </w:r>
            <w:r>
              <w:rPr>
                <w:rFonts w:eastAsia="微軟正黑體"/>
                <w:sz w:val="19"/>
                <w:szCs w:val="19"/>
              </w:rPr>
              <w:t>APPEND_ONLY</w:t>
            </w:r>
            <w:r>
              <w:rPr>
                <w:rFonts w:eastAsia="微軟正黑體"/>
                <w:sz w:val="19"/>
                <w:szCs w:val="19"/>
              </w:rPr>
              <w:t>）</w:t>
            </w:r>
          </w:p>
        </w:tc>
        <w:tc>
          <w:tcPr>
            <w:tcW w:w="332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>已實作</w:t>
            </w:r>
            <w:r>
              <w:rPr>
                <w:rFonts w:eastAsia="微軟正黑體"/>
                <w:sz w:val="19"/>
                <w:szCs w:val="19"/>
              </w:rPr>
              <w:t>（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AuditChannel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AuditWorker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SqlBulkAuditStorageStrategy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LedgerVerificationController</w:t>
            </w:r>
            <w:r>
              <w:rPr>
                <w:rFonts w:eastAsia="微軟正黑體"/>
                <w:sz w:val="19"/>
                <w:szCs w:val="19"/>
              </w:rPr>
              <w:t>）</w:t>
            </w:r>
          </w:p>
        </w:tc>
      </w:tr>
      <w:tr>
        <w:trPr>
          <w:cantSplit/>
        </w:trPr>
        <w:tc>
          <w:tcPr>
            <w:tcW w:w="1835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動態擴充</w:t>
            </w:r>
          </w:p>
        </w:tc>
        <w:tc>
          <w:tcPr>
            <w:tcW w:w="4479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自訂 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AssemblyLoadContext</w:t>
            </w:r>
            <w:r>
              <w:rPr>
                <w:rFonts w:eastAsia="微軟正黑體"/>
                <w:sz w:val="19"/>
                <w:szCs w:val="19"/>
              </w:rPr>
              <w:t xml:space="preserve"> </w:t>
            </w:r>
            <w:r>
              <w:rPr>
                <w:rFonts w:eastAsia="微軟正黑體"/>
                <w:sz w:val="19"/>
                <w:szCs w:val="19"/>
              </w:rPr>
              <w:t>載入、隔離外掛模組；載入前驗證數位簽章與憑證指紋</w:t>
            </w:r>
          </w:p>
        </w:tc>
        <w:tc>
          <w:tcPr>
            <w:tcW w:w="332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載入、隔離與簽章驗證已實作（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SGSFramework.ModulePlugin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SGSFramework.CodeSecurity</w:t>
            </w:r>
            <w:r>
              <w:rPr>
                <w:rFonts w:eastAsia="微軟正黑體"/>
                <w:sz w:val="19"/>
                <w:szCs w:val="19"/>
              </w:rPr>
              <w:t>）；卸載回收驗證依架構文件設計</w:t>
            </w:r>
          </w:p>
        </w:tc>
      </w:tr>
      <w:tr>
        <w:trPr>
          <w:cantSplit/>
        </w:trPr>
        <w:tc>
          <w:tcPr>
            <w:tcW w:w="1835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工作階段即時管控</w:t>
            </w:r>
          </w:p>
        </w:tc>
        <w:tc>
          <w:tcPr>
            <w:tcW w:w="4479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SignalR 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SessionHub</w:t>
            </w:r>
            <w:r>
              <w:rPr>
                <w:rFonts w:eastAsia="微軟正黑體"/>
                <w:sz w:val="19"/>
                <w:szCs w:val="19"/>
              </w:rPr>
              <w:t xml:space="preserve"> </w:t>
            </w:r>
            <w:r>
              <w:rPr>
                <w:rFonts w:eastAsia="微軟正黑體"/>
                <w:sz w:val="19"/>
                <w:szCs w:val="19"/>
              </w:rPr>
              <w:t>即時推播工作階段撤銷與權限異動；心跳為備援</w:t>
            </w:r>
          </w:p>
        </w:tc>
        <w:tc>
          <w:tcPr>
            <w:tcW w:w="332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>已實作</w:t>
            </w:r>
            <w:r>
              <w:rPr>
                <w:rFonts w:eastAsia="微軟正黑體"/>
                <w:sz w:val="19"/>
                <w:szCs w:val="19"/>
              </w:rPr>
              <w:t>（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SessionHub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SessionHeartbeatService</w:t>
            </w:r>
            <w:r>
              <w:rPr>
                <w:rFonts w:eastAsia="微軟正黑體"/>
                <w:sz w:val="19"/>
                <w:szCs w:val="19"/>
              </w:rPr>
              <w:t>）</w:t>
            </w:r>
          </w:p>
        </w:tc>
      </w:tr>
      <w:tr>
        <w:trPr>
          <w:cantSplit/>
        </w:trPr>
        <w:tc>
          <w:tcPr>
            <w:tcW w:w="1835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ISO/IEC 27001 </w:t>
            </w:r>
            <w:r>
              <w:rPr>
                <w:rFonts w:eastAsia="微軟正黑體"/>
                <w:sz w:val="19"/>
                <w:szCs w:val="19"/>
              </w:rPr>
              <w:t>資訊安全管理</w:t>
            </w:r>
          </w:p>
        </w:tc>
        <w:tc>
          <w:tcPr>
            <w:tcW w:w="4479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對應存取控制（</w:t>
            </w:r>
            <w:r>
              <w:rPr>
                <w:rFonts w:eastAsia="微軟正黑體"/>
                <w:sz w:val="19"/>
                <w:szCs w:val="19"/>
              </w:rPr>
              <w:t>RBAC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Maker-Checker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SoD</w:t>
            </w:r>
            <w:r>
              <w:rPr>
                <w:rFonts w:eastAsia="微軟正黑體"/>
                <w:sz w:val="19"/>
                <w:szCs w:val="19"/>
              </w:rPr>
              <w:t>、角色到期與定期存取覆核）、日誌與監控（稽核雜湊鏈、系統／資安日誌與告警）、密碼學控制（</w:t>
            </w:r>
            <w:r>
              <w:rPr>
                <w:rFonts w:eastAsia="微軟正黑體"/>
                <w:sz w:val="19"/>
                <w:szCs w:val="19"/>
              </w:rPr>
              <w:t xml:space="preserve">JWT </w:t>
            </w:r>
            <w:r>
              <w:rPr>
                <w:rFonts w:eastAsia="微軟正黑體"/>
                <w:sz w:val="19"/>
                <w:szCs w:val="19"/>
              </w:rPr>
              <w:t xml:space="preserve">簽章、欄位級 </w:t>
            </w:r>
            <w:r>
              <w:rPr>
                <w:rFonts w:eastAsia="微軟正黑體"/>
                <w:sz w:val="19"/>
                <w:szCs w:val="19"/>
              </w:rPr>
              <w:t xml:space="preserve">AES-256-GCM </w:t>
            </w:r>
            <w:r>
              <w:rPr>
                <w:rFonts w:eastAsia="微軟正黑體"/>
                <w:sz w:val="19"/>
                <w:szCs w:val="19"/>
              </w:rPr>
              <w:t>加密）及安全開發（外掛數位簽章驗證）</w:t>
            </w:r>
          </w:p>
        </w:tc>
        <w:tc>
          <w:tcPr>
            <w:tcW w:w="332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>設計對應</w:t>
            </w:r>
            <w:r>
              <w:rPr>
                <w:rFonts w:eastAsia="微軟正黑體"/>
                <w:sz w:val="19"/>
                <w:szCs w:val="19"/>
              </w:rPr>
              <w:t>；實際符合性須經內部稽核或第三方驗證後確認</w:t>
            </w:r>
          </w:p>
        </w:tc>
      </w:tr>
      <w:tr>
        <w:trPr>
          <w:cantSplit/>
        </w:trPr>
        <w:tc>
          <w:tcPr>
            <w:tcW w:w="1835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ISO/IEC 17025 </w:t>
            </w:r>
            <w:r>
              <w:rPr>
                <w:rFonts w:eastAsia="微軟正黑體"/>
                <w:sz w:val="19"/>
                <w:szCs w:val="19"/>
              </w:rPr>
              <w:t>檢測及校正實驗室能力</w:t>
            </w:r>
          </w:p>
        </w:tc>
        <w:tc>
          <w:tcPr>
            <w:tcW w:w="4479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對應紀錄控制與資料完整性，以不可否認之稽核軌跡（</w:t>
            </w:r>
            <w:r>
              <w:rPr>
                <w:rFonts w:eastAsia="微軟正黑體"/>
                <w:sz w:val="19"/>
                <w:szCs w:val="19"/>
              </w:rPr>
              <w:t xml:space="preserve">SHA-256 </w:t>
            </w:r>
            <w:r>
              <w:rPr>
                <w:rFonts w:eastAsia="微軟正黑體"/>
                <w:sz w:val="19"/>
                <w:szCs w:val="19"/>
              </w:rPr>
              <w:t xml:space="preserve">雜湊鏈搭配 </w:t>
            </w:r>
            <w:r>
              <w:rPr>
                <w:rFonts w:eastAsia="微軟正黑體"/>
                <w:sz w:val="19"/>
                <w:szCs w:val="19"/>
              </w:rPr>
              <w:t>SQL Server Ledger</w:t>
            </w:r>
            <w:r>
              <w:rPr>
                <w:rFonts w:eastAsia="微軟正黑體"/>
                <w:sz w:val="19"/>
                <w:szCs w:val="19"/>
              </w:rPr>
              <w:t>）及實驗室別之資料與權限隔離，確保檢測相關紀錄可追溯且防竄改</w:t>
            </w:r>
          </w:p>
        </w:tc>
        <w:tc>
          <w:tcPr>
            <w:tcW w:w="332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>設計對應</w:t>
            </w:r>
            <w:r>
              <w:rPr>
                <w:rFonts w:eastAsia="微軟正黑體"/>
                <w:sz w:val="19"/>
                <w:szCs w:val="19"/>
              </w:rPr>
              <w:t>；實際符合性須經內部稽核或第三方驗證後確認</w:t>
            </w:r>
          </w:p>
        </w:tc>
      </w:tr>
      <w:tr>
        <w:trPr>
          <w:cantSplit/>
        </w:trPr>
        <w:tc>
          <w:tcPr>
            <w:tcW w:w="1835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《資通安全管理法》</w:t>
            </w:r>
          </w:p>
        </w:tc>
        <w:tc>
          <w:tcPr>
            <w:tcW w:w="4479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對應資通系統防護之存取控制、稽核與可歸責性、系統與通訊保護（</w:t>
            </w:r>
            <w:r>
              <w:rPr>
                <w:rFonts w:eastAsia="微軟正黑體"/>
                <w:sz w:val="19"/>
                <w:szCs w:val="19"/>
              </w:rPr>
              <w:t>HTTPS</w:t>
            </w:r>
            <w:r>
              <w:rPr>
                <w:rFonts w:eastAsia="微軟正黑體"/>
                <w:sz w:val="19"/>
                <w:szCs w:val="19"/>
              </w:rPr>
              <w:t>／</w:t>
            </w:r>
            <w:r>
              <w:rPr>
                <w:rFonts w:eastAsia="微軟正黑體"/>
                <w:sz w:val="19"/>
                <w:szCs w:val="19"/>
              </w:rPr>
              <w:t>WSS</w:t>
            </w:r>
            <w:r>
              <w:rPr>
                <w:rFonts w:eastAsia="微軟正黑體"/>
                <w:sz w:val="19"/>
                <w:szCs w:val="19"/>
              </w:rPr>
              <w:t>）、識別與鑑別（</w:t>
            </w:r>
            <w:r>
              <w:rPr>
                <w:rFonts w:eastAsia="微軟正黑體"/>
                <w:sz w:val="19"/>
                <w:szCs w:val="19"/>
              </w:rPr>
              <w:t>JWT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AD SSO</w:t>
            </w:r>
            <w:r>
              <w:rPr>
                <w:rFonts w:eastAsia="微軟正黑體"/>
                <w:sz w:val="19"/>
                <w:szCs w:val="19"/>
              </w:rPr>
              <w:t>、多裝置工作階段管控）及個資遮蔽</w:t>
            </w:r>
          </w:p>
        </w:tc>
        <w:tc>
          <w:tcPr>
            <w:tcW w:w="332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>設計對應</w:t>
            </w:r>
            <w:r>
              <w:rPr>
                <w:rFonts w:eastAsia="微軟正黑體"/>
                <w:sz w:val="19"/>
                <w:szCs w:val="19"/>
              </w:rPr>
              <w:t>；實際符合性須經內部稽核或第三方驗證後確認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6" w:name="__RefHeading___Toc3286_1895412299"/>
      <w:bookmarkStart w:id="17" w:name="_Toc243493452"/>
      <w:bookmarkEnd w:id="16"/>
      <w:r>
        <w:rPr/>
        <w:t xml:space="preserve">2.2 </w:t>
      </w:r>
      <w:r>
        <w:rPr/>
        <w:t>系統範圍</w:t>
      </w:r>
      <w:bookmarkEnd w:id="17"/>
    </w:p>
    <w:p>
      <w:pPr>
        <w:pStyle w:val="Heading3"/>
        <w:rPr/>
      </w:pPr>
      <w:bookmarkStart w:id="18" w:name="__RefHeading___Toc3288_1895412299"/>
      <w:bookmarkStart w:id="19" w:name="_Toc243493453"/>
      <w:bookmarkEnd w:id="18"/>
      <w:r>
        <w:rPr/>
        <w:t xml:space="preserve">2.2.1 </w:t>
      </w:r>
      <w:r>
        <w:rPr/>
        <w:t>涵蓋功能與模組邊界</w:t>
      </w:r>
      <w:bookmarkEnd w:id="19"/>
    </w:p>
    <w:p>
      <w:pPr>
        <w:pStyle w:val="ListParagraph"/>
        <w:numPr>
          <w:ilvl w:val="0"/>
          <w:numId w:val="7"/>
        </w:numPr>
        <w:spacing w:lineRule="auto" w:line="290" w:before="0" w:after="60"/>
        <w:rPr/>
      </w:pPr>
      <w:r>
        <w:rPr>
          <w:rFonts w:eastAsia="微軟正黑體"/>
          <w:b/>
          <w:bCs/>
        </w:rPr>
        <w:t>身分驗證與工作階段管理（</w:t>
      </w:r>
      <w:r>
        <w:rPr>
          <w:rFonts w:eastAsia="微軟正黑體"/>
          <w:b/>
          <w:bCs/>
        </w:rPr>
        <w:t>AuthTokenBucket</w:t>
      </w:r>
      <w:r>
        <w:rPr>
          <w:rFonts w:eastAsia="微軟正黑體"/>
          <w:b/>
          <w:bCs/>
        </w:rPr>
        <w:t>、</w:t>
      </w:r>
      <w:r>
        <w:rPr>
          <w:rFonts w:eastAsia="微軟正黑體"/>
          <w:b/>
          <w:bCs/>
        </w:rPr>
        <w:t>Identity</w:t>
      </w:r>
      <w:r>
        <w:rPr>
          <w:rFonts w:eastAsia="微軟正黑體"/>
          <w:b/>
          <w:bCs/>
        </w:rPr>
        <w:t>）</w:t>
      </w:r>
      <w:r>
        <w:rPr>
          <w:rFonts w:eastAsia="微軟正黑體"/>
        </w:rPr>
        <w:t>：</w:t>
      </w:r>
      <w:r>
        <w:rPr>
          <w:rFonts w:eastAsia="微軟正黑體"/>
        </w:rPr>
        <w:t>JWT Access Token</w:t>
      </w:r>
      <w:r>
        <w:rPr>
          <w:rFonts w:eastAsia="微軟正黑體"/>
        </w:rPr>
        <w:t xml:space="preserve">（有效 </w:t>
      </w:r>
      <w:r>
        <w:rPr>
          <w:rFonts w:eastAsia="微軟正黑體"/>
        </w:rPr>
        <w:t xml:space="preserve">15 </w:t>
      </w:r>
      <w:r>
        <w:rPr>
          <w:rFonts w:eastAsia="微軟正黑體"/>
        </w:rPr>
        <w:t>分鐘）、</w:t>
      </w:r>
      <w:r>
        <w:rPr>
          <w:rFonts w:eastAsia="微軟正黑體"/>
        </w:rPr>
        <w:t xml:space="preserve">Refresh Token </w:t>
      </w:r>
      <w:r>
        <w:rPr>
          <w:rFonts w:eastAsia="微軟正黑體"/>
        </w:rPr>
        <w:t xml:space="preserve">輪替（雜湊後儲存）、以 </w:t>
      </w:r>
      <w:r>
        <w:rPr>
          <w:rFonts w:eastAsia="Consolas" w:cs="Consolas" w:ascii="Consolas" w:hAnsi="Consolas"/>
          <w:sz w:val="19"/>
          <w:szCs w:val="19"/>
        </w:rPr>
        <w:t>device_id</w:t>
      </w:r>
      <w:r>
        <w:rPr>
          <w:rFonts w:eastAsia="微軟正黑體"/>
        </w:rPr>
        <w:t xml:space="preserve"> </w:t>
      </w:r>
      <w:r>
        <w:rPr>
          <w:rFonts w:eastAsia="微軟正黑體"/>
        </w:rPr>
        <w:t xml:space="preserve">綁定的多裝置工作階段、登出／全裝置登出／裝置數上限淘汰；支援 </w:t>
      </w:r>
      <w:r>
        <w:rPr>
          <w:rFonts w:eastAsia="微軟正黑體"/>
        </w:rPr>
        <w:t xml:space="preserve">AD SSO </w:t>
      </w:r>
      <w:r>
        <w:rPr>
          <w:rFonts w:eastAsia="微軟正黑體"/>
        </w:rPr>
        <w:t xml:space="preserve">與 </w:t>
      </w:r>
      <w:r>
        <w:rPr>
          <w:rFonts w:eastAsia="微軟正黑體"/>
        </w:rPr>
        <w:t xml:space="preserve">Windows </w:t>
      </w:r>
      <w:r>
        <w:rPr>
          <w:rFonts w:eastAsia="微軟正黑體"/>
        </w:rPr>
        <w:t>整合驗證（</w:t>
      </w:r>
      <w:r>
        <w:rPr>
          <w:rFonts w:eastAsia="Consolas" w:cs="Consolas" w:ascii="Consolas" w:hAnsi="Consolas"/>
          <w:sz w:val="19"/>
          <w:szCs w:val="19"/>
        </w:rPr>
        <w:t>AdSsoController</w:t>
      </w:r>
      <w:r>
        <w:rPr>
          <w:rFonts w:eastAsia="微軟正黑體"/>
        </w:rPr>
        <w:t>、</w:t>
      </w:r>
      <w:r>
        <w:rPr>
          <w:rFonts w:eastAsia="Consolas" w:cs="Consolas" w:ascii="Consolas" w:hAnsi="Consolas"/>
          <w:sz w:val="19"/>
          <w:szCs w:val="19"/>
        </w:rPr>
        <w:t>WindowsAuthController</w:t>
      </w:r>
      <w:r>
        <w:rPr>
          <w:rFonts w:eastAsia="微軟正黑體"/>
        </w:rPr>
        <w:t>）；</w:t>
      </w:r>
      <w:r>
        <w:rPr>
          <w:rFonts w:eastAsia="微軟正黑體"/>
        </w:rPr>
        <w:t xml:space="preserve">SignalR </w:t>
      </w:r>
      <w:r>
        <w:rPr>
          <w:rFonts w:eastAsia="微軟正黑體"/>
        </w:rPr>
        <w:t>即時撤銷。</w:t>
      </w:r>
    </w:p>
    <w:p>
      <w:pPr>
        <w:pStyle w:val="ListParagraph"/>
        <w:numPr>
          <w:ilvl w:val="0"/>
          <w:numId w:val="4"/>
        </w:numPr>
        <w:spacing w:lineRule="auto" w:line="290" w:before="0" w:after="60"/>
        <w:rPr/>
      </w:pPr>
      <w:r>
        <w:rPr>
          <w:rFonts w:eastAsia="微軟正黑體"/>
          <w:b/>
          <w:bCs/>
        </w:rPr>
        <w:t>動態授權與角色治理</w:t>
      </w:r>
      <w:r>
        <w:rPr>
          <w:rFonts w:eastAsia="微軟正黑體"/>
        </w:rPr>
        <w:t>：</w:t>
      </w:r>
      <w:r>
        <w:rPr>
          <w:rFonts w:eastAsia="微軟正黑體"/>
        </w:rPr>
        <w:t xml:space="preserve">RBAC </w:t>
      </w:r>
      <w:r>
        <w:rPr>
          <w:rFonts w:eastAsia="微軟正黑體"/>
        </w:rPr>
        <w:t xml:space="preserve">為核心，權限以位元遮罩／位元向量表示並於註冊表統一編號（可超過 </w:t>
      </w:r>
      <w:r>
        <w:rPr>
          <w:rFonts w:eastAsia="微軟正黑體"/>
        </w:rPr>
        <w:t xml:space="preserve">64 </w:t>
      </w:r>
      <w:r>
        <w:rPr>
          <w:rFonts w:eastAsia="微軟正黑體"/>
        </w:rPr>
        <w:t>位元）。角色分「全域角色」與「實驗室專屬角色」（</w:t>
      </w:r>
      <w:r>
        <w:rPr>
          <w:rFonts w:eastAsia="Consolas" w:cs="Consolas" w:ascii="Consolas" w:hAnsi="Consolas"/>
          <w:sz w:val="19"/>
          <w:szCs w:val="19"/>
        </w:rPr>
        <w:t>RoleLabScopes</w:t>
      </w:r>
      <w:r>
        <w:rPr>
          <w:rFonts w:eastAsia="微軟正黑體"/>
        </w:rPr>
        <w:t>），使用者有效權限＝直接權限 ∪ 角色權限，再經「實驗室功能開放範圍」（</w:t>
      </w:r>
      <w:r>
        <w:rPr>
          <w:rFonts w:eastAsia="Consolas" w:cs="Consolas" w:ascii="Consolas" w:hAnsi="Consolas"/>
          <w:sz w:val="19"/>
          <w:szCs w:val="19"/>
        </w:rPr>
        <w:t>LabFunctionScopes</w:t>
      </w:r>
      <w:r>
        <w:rPr>
          <w:rFonts w:eastAsia="微軟正黑體"/>
        </w:rPr>
        <w:t xml:space="preserve">）過濾。治理機制含 </w:t>
      </w:r>
      <w:r>
        <w:rPr>
          <w:rFonts w:eastAsia="微軟正黑體"/>
        </w:rPr>
        <w:t xml:space="preserve">Maker-Checker </w:t>
      </w:r>
      <w:r>
        <w:rPr>
          <w:rFonts w:eastAsia="微軟正黑體"/>
        </w:rPr>
        <w:t>權限變更審核（</w:t>
      </w:r>
      <w:r>
        <w:rPr>
          <w:rFonts w:eastAsia="Consolas" w:cs="Consolas" w:ascii="Consolas" w:hAnsi="Consolas"/>
          <w:sz w:val="19"/>
          <w:szCs w:val="19"/>
        </w:rPr>
        <w:t>RoleChangeRequests</w:t>
      </w:r>
      <w:r>
        <w:rPr>
          <w:rFonts w:eastAsia="微軟正黑體"/>
        </w:rPr>
        <w:t xml:space="preserve">）、職責分離 </w:t>
      </w:r>
      <w:r>
        <w:rPr>
          <w:rFonts w:eastAsia="微軟正黑體"/>
        </w:rPr>
        <w:t>SoD</w:t>
      </w:r>
      <w:r>
        <w:rPr>
          <w:rFonts w:eastAsia="微軟正黑體"/>
        </w:rPr>
        <w:t>（</w:t>
      </w:r>
      <w:r>
        <w:rPr>
          <w:rFonts w:eastAsia="Consolas" w:cs="Consolas" w:ascii="Consolas" w:hAnsi="Consolas"/>
          <w:sz w:val="19"/>
          <w:szCs w:val="19"/>
        </w:rPr>
        <w:t>SodRules</w:t>
      </w:r>
      <w:r>
        <w:rPr>
          <w:rFonts w:eastAsia="微軟正黑體"/>
        </w:rPr>
        <w:t>）、角色到期（</w:t>
      </w:r>
      <w:r>
        <w:rPr>
          <w:rFonts w:eastAsia="Consolas" w:cs="Consolas" w:ascii="Consolas" w:hAnsi="Consolas"/>
          <w:sz w:val="19"/>
          <w:szCs w:val="19"/>
        </w:rPr>
        <w:t>UserRoleExpirations</w:t>
      </w:r>
      <w:r>
        <w:rPr>
          <w:rFonts w:eastAsia="微軟正黑體"/>
        </w:rPr>
        <w:t>）與定期存取覆核（</w:t>
      </w:r>
      <w:r>
        <w:rPr>
          <w:rFonts w:eastAsia="Consolas" w:cs="Consolas" w:ascii="Consolas" w:hAnsi="Consolas"/>
          <w:sz w:val="19"/>
          <w:szCs w:val="19"/>
        </w:rPr>
        <w:t>AccessReviewCampaigns</w:t>
      </w:r>
      <w:r>
        <w:rPr>
          <w:rFonts w:eastAsia="微軟正黑體"/>
        </w:rPr>
        <w:t xml:space="preserve">）。組織樹以 </w:t>
      </w:r>
      <w:r>
        <w:rPr>
          <w:rFonts w:eastAsia="微軟正黑體"/>
        </w:rPr>
        <w:t xml:space="preserve">SQL Server HierarchyId </w:t>
      </w:r>
      <w:r>
        <w:rPr>
          <w:rFonts w:eastAsia="微軟正黑體"/>
        </w:rPr>
        <w:t>支援。</w:t>
      </w:r>
    </w:p>
    <w:p>
      <w:pPr>
        <w:pStyle w:val="ListParagraph"/>
        <w:numPr>
          <w:ilvl w:val="0"/>
          <w:numId w:val="4"/>
        </w:numPr>
        <w:spacing w:lineRule="auto" w:line="290" w:before="0" w:after="60"/>
        <w:rPr/>
      </w:pPr>
      <w:r>
        <w:rPr>
          <w:rFonts w:eastAsia="微軟正黑體"/>
          <w:b/>
          <w:bCs/>
        </w:rPr>
        <w:t>外掛與動態控制器（</w:t>
      </w:r>
      <w:r>
        <w:rPr>
          <w:rFonts w:eastAsia="微軟正黑體"/>
          <w:b/>
          <w:bCs/>
        </w:rPr>
        <w:t>ModulePlugin</w:t>
      </w:r>
      <w:r>
        <w:rPr>
          <w:rFonts w:eastAsia="微軟正黑體"/>
          <w:b/>
          <w:bCs/>
        </w:rPr>
        <w:t>、</w:t>
      </w:r>
      <w:r>
        <w:rPr>
          <w:rFonts w:eastAsia="微軟正黑體"/>
          <w:b/>
          <w:bCs/>
        </w:rPr>
        <w:t>SPAModulePlugin</w:t>
      </w:r>
      <w:r>
        <w:rPr>
          <w:rFonts w:eastAsia="微軟正黑體"/>
          <w:b/>
          <w:bCs/>
        </w:rPr>
        <w:t>、</w:t>
      </w:r>
      <w:r>
        <w:rPr>
          <w:rFonts w:eastAsia="微軟正黑體"/>
          <w:b/>
          <w:bCs/>
        </w:rPr>
        <w:t>CodeSecurity</w:t>
      </w:r>
      <w:r>
        <w:rPr>
          <w:rFonts w:eastAsia="微軟正黑體"/>
          <w:b/>
          <w:bCs/>
        </w:rPr>
        <w:t>）</w:t>
      </w:r>
      <w:r>
        <w:rPr>
          <w:rFonts w:eastAsia="微軟正黑體"/>
        </w:rPr>
        <w:t>：外掛載入、</w:t>
      </w:r>
      <w:r>
        <w:rPr>
          <w:rFonts w:eastAsia="微軟正黑體"/>
        </w:rPr>
        <w:t>Controller</w:t>
      </w:r>
      <w:r>
        <w:rPr>
          <w:rFonts w:eastAsia="微軟正黑體"/>
        </w:rPr>
        <w:t>／</w:t>
      </w:r>
      <w:r>
        <w:rPr>
          <w:rFonts w:eastAsia="微軟正黑體"/>
        </w:rPr>
        <w:t xml:space="preserve">Action </w:t>
      </w:r>
      <w:r>
        <w:rPr>
          <w:rFonts w:eastAsia="微軟正黑體"/>
        </w:rPr>
        <w:t>元資料同步（</w:t>
      </w:r>
      <w:r>
        <w:rPr>
          <w:rFonts w:eastAsia="Consolas" w:cs="Consolas" w:ascii="Consolas" w:hAnsi="Consolas"/>
          <w:sz w:val="19"/>
          <w:szCs w:val="19"/>
        </w:rPr>
        <w:t>ControllerMetadatas</w:t>
      </w:r>
      <w:r>
        <w:rPr>
          <w:rFonts w:eastAsia="微軟正黑體"/>
        </w:rPr>
        <w:t>、</w:t>
      </w:r>
      <w:r>
        <w:rPr>
          <w:rFonts w:eastAsia="Consolas" w:cs="Consolas" w:ascii="Consolas" w:hAnsi="Consolas"/>
          <w:sz w:val="19"/>
          <w:szCs w:val="19"/>
        </w:rPr>
        <w:t>ModuleMetadatas</w:t>
      </w:r>
      <w:r>
        <w:rPr>
          <w:rFonts w:eastAsia="微軟正黑體"/>
        </w:rPr>
        <w:t>）、選單樹（</w:t>
      </w:r>
      <w:r>
        <w:rPr>
          <w:rFonts w:eastAsia="Consolas" w:cs="Consolas" w:ascii="Consolas" w:hAnsi="Consolas"/>
          <w:sz w:val="19"/>
          <w:szCs w:val="19"/>
        </w:rPr>
        <w:t>MenuItems</w:t>
      </w:r>
      <w:r>
        <w:rPr>
          <w:rFonts w:eastAsia="微軟正黑體"/>
        </w:rPr>
        <w:t>）、模組啟停與路由一致性檢查。</w:t>
      </w:r>
    </w:p>
    <w:p>
      <w:pPr>
        <w:pStyle w:val="ListParagraph"/>
        <w:numPr>
          <w:ilvl w:val="0"/>
          <w:numId w:val="4"/>
        </w:numPr>
        <w:spacing w:lineRule="auto" w:line="290" w:before="0" w:after="60"/>
        <w:rPr/>
      </w:pPr>
      <w:r>
        <w:rPr>
          <w:rFonts w:eastAsia="微軟正黑體"/>
          <w:b/>
          <w:bCs/>
        </w:rPr>
        <w:t>持久化與稽核（</w:t>
      </w:r>
      <w:r>
        <w:rPr>
          <w:rFonts w:eastAsia="微軟正黑體"/>
          <w:b/>
          <w:bCs/>
        </w:rPr>
        <w:t>Persistent</w:t>
      </w:r>
      <w:r>
        <w:rPr>
          <w:rFonts w:eastAsia="微軟正黑體"/>
          <w:b/>
          <w:bCs/>
        </w:rPr>
        <w:t>、</w:t>
      </w:r>
      <w:r>
        <w:rPr>
          <w:rFonts w:eastAsia="微軟正黑體"/>
          <w:b/>
          <w:bCs/>
        </w:rPr>
        <w:t>AuditLog</w:t>
      </w:r>
      <w:r>
        <w:rPr>
          <w:rFonts w:eastAsia="微軟正黑體"/>
          <w:b/>
          <w:bCs/>
        </w:rPr>
        <w:t>、</w:t>
      </w:r>
      <w:r>
        <w:rPr>
          <w:rFonts w:eastAsia="微軟正黑體"/>
          <w:b/>
          <w:bCs/>
        </w:rPr>
        <w:t>SystemLog</w:t>
      </w:r>
      <w:r>
        <w:rPr>
          <w:rFonts w:eastAsia="微軟正黑體"/>
          <w:b/>
          <w:bCs/>
        </w:rPr>
        <w:t>、</w:t>
      </w:r>
      <w:r>
        <w:rPr>
          <w:rFonts w:eastAsia="微軟正黑體"/>
          <w:b/>
          <w:bCs/>
        </w:rPr>
        <w:t>VerifyLedger</w:t>
      </w:r>
      <w:r>
        <w:rPr>
          <w:rFonts w:eastAsia="微軟正黑體"/>
          <w:b/>
          <w:bCs/>
        </w:rPr>
        <w:t>、</w:t>
      </w:r>
      <w:r>
        <w:rPr>
          <w:rFonts w:eastAsia="微軟正黑體"/>
          <w:b/>
          <w:bCs/>
        </w:rPr>
        <w:t>Alert</w:t>
      </w:r>
      <w:r>
        <w:rPr>
          <w:rFonts w:eastAsia="微軟正黑體"/>
          <w:b/>
          <w:bCs/>
        </w:rPr>
        <w:t>）</w:t>
      </w:r>
      <w:r>
        <w:rPr>
          <w:rFonts w:eastAsia="微軟正黑體"/>
        </w:rPr>
        <w:t>：</w:t>
      </w:r>
      <w:r>
        <w:rPr>
          <w:rFonts w:eastAsia="微軟正黑體"/>
        </w:rPr>
        <w:t xml:space="preserve">EF Core 10 </w:t>
      </w:r>
      <w:r>
        <w:rPr>
          <w:rFonts w:eastAsia="微軟正黑體"/>
        </w:rPr>
        <w:t xml:space="preserve">基底 </w:t>
      </w:r>
      <w:r>
        <w:rPr>
          <w:rFonts w:eastAsia="微軟正黑體"/>
        </w:rPr>
        <w:t>DbContext</w:t>
      </w:r>
      <w:r>
        <w:rPr>
          <w:rFonts w:eastAsia="微軟正黑體"/>
        </w:rPr>
        <w:t xml:space="preserve">、通用稽核攔截器與 </w:t>
      </w:r>
      <w:r>
        <w:rPr>
          <w:rFonts w:eastAsia="微軟正黑體"/>
        </w:rPr>
        <w:t>Audit Worker</w:t>
      </w:r>
      <w:r>
        <w:rPr>
          <w:rFonts w:eastAsia="微軟正黑體"/>
        </w:rPr>
        <w:t xml:space="preserve">、系統／資安日誌、雜湊鏈與 </w:t>
      </w:r>
      <w:r>
        <w:rPr>
          <w:rFonts w:eastAsia="微軟正黑體"/>
        </w:rPr>
        <w:t xml:space="preserve">Ledger </w:t>
      </w:r>
      <w:r>
        <w:rPr>
          <w:rFonts w:eastAsia="微軟正黑體"/>
        </w:rPr>
        <w:t>驗證報表、日誌告警（</w:t>
      </w:r>
      <w:r>
        <w:rPr>
          <w:rFonts w:eastAsia="微軟正黑體"/>
        </w:rPr>
        <w:t>SMTP</w:t>
      </w:r>
      <w:r>
        <w:rPr>
          <w:rFonts w:eastAsia="微軟正黑體"/>
        </w:rPr>
        <w:t>）。</w:t>
      </w:r>
    </w:p>
    <w:p>
      <w:pPr>
        <w:pStyle w:val="ListParagraph"/>
        <w:numPr>
          <w:ilvl w:val="0"/>
          <w:numId w:val="4"/>
        </w:numPr>
        <w:spacing w:lineRule="auto" w:line="290" w:before="0" w:after="60"/>
        <w:rPr/>
      </w:pPr>
      <w:r>
        <w:rPr>
          <w:rFonts w:eastAsia="微軟正黑體"/>
          <w:b/>
          <w:bCs/>
        </w:rPr>
        <w:t>資料保護（</w:t>
      </w:r>
      <w:r>
        <w:rPr>
          <w:rFonts w:eastAsia="微軟正黑體"/>
          <w:b/>
          <w:bCs/>
        </w:rPr>
        <w:t>DataProtection</w:t>
      </w:r>
      <w:r>
        <w:rPr>
          <w:rFonts w:eastAsia="微軟正黑體"/>
          <w:b/>
          <w:bCs/>
        </w:rPr>
        <w:t>）</w:t>
      </w:r>
      <w:r>
        <w:rPr>
          <w:rFonts w:eastAsia="微軟正黑體"/>
        </w:rPr>
        <w:t>：欄位級加密（</w:t>
      </w:r>
      <w:r>
        <w:rPr>
          <w:rFonts w:eastAsia="微軟正黑體"/>
        </w:rPr>
        <w:t>AES-256-GCM</w:t>
      </w:r>
      <w:r>
        <w:rPr>
          <w:rFonts w:eastAsia="微軟正黑體"/>
        </w:rPr>
        <w:t>，</w:t>
      </w:r>
      <w:r>
        <w:rPr>
          <w:rFonts w:eastAsia="Consolas" w:cs="Consolas" w:ascii="Consolas" w:hAnsi="Consolas"/>
          <w:sz w:val="19"/>
          <w:szCs w:val="19"/>
        </w:rPr>
        <w:t>[Encrypted]</w:t>
      </w:r>
      <w:r>
        <w:rPr>
          <w:rFonts w:eastAsia="微軟正黑體"/>
        </w:rPr>
        <w:t>）與個資遮蔽（</w:t>
      </w:r>
      <w:r>
        <w:rPr>
          <w:rFonts w:eastAsia="Consolas" w:cs="Consolas" w:ascii="Consolas" w:hAnsi="Consolas"/>
          <w:sz w:val="19"/>
          <w:szCs w:val="19"/>
        </w:rPr>
        <w:t>[Masked]</w:t>
      </w:r>
      <w:r>
        <w:rPr>
          <w:rFonts w:eastAsia="微軟正黑體"/>
        </w:rPr>
        <w:t>、日誌敏感資訊遮蔽）。</w:t>
      </w:r>
    </w:p>
    <w:p>
      <w:pPr>
        <w:pStyle w:val="ListParagraph"/>
        <w:numPr>
          <w:ilvl w:val="0"/>
          <w:numId w:val="4"/>
        </w:numPr>
        <w:spacing w:lineRule="auto" w:line="290" w:before="0" w:after="60"/>
        <w:rPr/>
      </w:pPr>
      <w:r>
        <w:rPr>
          <w:rFonts w:eastAsia="微軟正黑體"/>
          <w:b/>
          <w:bCs/>
        </w:rPr>
        <w:t>業務模組</w:t>
      </w:r>
      <w:r>
        <w:rPr>
          <w:rFonts w:eastAsia="微軟正黑體"/>
        </w:rPr>
        <w:t>：</w:t>
      </w:r>
      <w:r>
        <w:rPr>
          <w:rFonts w:eastAsia="Consolas" w:cs="Consolas" w:ascii="Consolas" w:hAnsi="Consolas"/>
          <w:sz w:val="19"/>
          <w:szCs w:val="19"/>
        </w:rPr>
        <w:t>SGS.Modules.ORG</w:t>
      </w:r>
      <w:r>
        <w:rPr>
          <w:rFonts w:eastAsia="微軟正黑體"/>
        </w:rPr>
        <w:t>（組織／實驗室</w:t>
      </w:r>
      <w:r>
        <w:rPr>
          <w:rFonts w:eastAsia="微軟正黑體"/>
        </w:rPr>
        <w:t>)</w:t>
      </w:r>
      <w:r>
        <w:rPr>
          <w:rFonts w:eastAsia="微軟正黑體"/>
        </w:rPr>
        <w:t>。</w:t>
      </w:r>
    </w:p>
    <w:p>
      <w:pPr>
        <w:pStyle w:val="ListParagraph"/>
        <w:numPr>
          <w:ilvl w:val="0"/>
          <w:numId w:val="4"/>
        </w:numPr>
        <w:spacing w:lineRule="auto" w:line="290" w:before="0" w:after="60"/>
        <w:rPr/>
      </w:pPr>
      <w:r>
        <w:rPr>
          <w:rFonts w:eastAsia="微軟正黑體"/>
          <w:b/>
          <w:bCs/>
        </w:rPr>
        <w:t>共用前端元件與頁面：</w:t>
      </w:r>
      <w:r>
        <w:rPr>
          <w:rFonts w:eastAsia="微軟正黑體"/>
        </w:rPr>
        <w:t>主版面（含實驗室切換器）、使用者／角色／權限／日誌管理、權限覆核、權限變更審核、資料表格、樹狀選擇器與權限控制元件。</w:t>
      </w:r>
    </w:p>
    <w:p>
      <w:pPr>
        <w:pStyle w:val="Heading3"/>
        <w:rPr/>
      </w:pPr>
      <w:bookmarkStart w:id="20" w:name="__RefHeading___Toc3290_1895412299"/>
      <w:bookmarkStart w:id="21" w:name="_Toc243493454"/>
      <w:bookmarkEnd w:id="20"/>
      <w:r>
        <w:rPr/>
        <w:t xml:space="preserve">2.2.2 </w:t>
      </w:r>
      <w:r>
        <w:rPr/>
        <w:t>使用者與角色範疇</w:t>
      </w:r>
      <w:bookmarkEnd w:id="21"/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3000"/>
        <w:gridCol w:w="6638"/>
      </w:tblGrid>
      <w:tr>
        <w:trPr>
          <w:tblHeader w:val="true"/>
        </w:trPr>
        <w:tc>
          <w:tcPr>
            <w:tcW w:w="3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預設角色（代碼）</w:t>
            </w:r>
          </w:p>
        </w:tc>
        <w:tc>
          <w:tcPr>
            <w:tcW w:w="66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職責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系統管理員（</w:t>
            </w:r>
            <w:r>
              <w:rPr>
                <w:rFonts w:eastAsia="微軟正黑體"/>
                <w:sz w:val="19"/>
                <w:szCs w:val="19"/>
              </w:rPr>
              <w:t>SA</w:t>
            </w:r>
            <w:r>
              <w:rPr>
                <w:rFonts w:eastAsia="微軟正黑體"/>
                <w:sz w:val="19"/>
                <w:szCs w:val="19"/>
              </w:rPr>
              <w:t>）</w:t>
            </w:r>
          </w:p>
        </w:tc>
        <w:tc>
          <w:tcPr>
            <w:tcW w:w="66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系統部署、資料庫遷移與基礎設施維護；全域組態、外掛載入、稽核檢索。</w:t>
            </w:r>
            <w:r>
              <w:rPr>
                <w:rFonts w:eastAsia="微軟正黑體"/>
                <w:b/>
                <w:bCs/>
                <w:sz w:val="19"/>
                <w:szCs w:val="19"/>
              </w:rPr>
              <w:t>不介入業務角色指派</w:t>
            </w:r>
            <w:r>
              <w:rPr>
                <w:rFonts w:eastAsia="微軟正黑體"/>
                <w:sz w:val="19"/>
                <w:szCs w:val="19"/>
              </w:rPr>
              <w:t>（職責分離）。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全區實驗室管理員（</w:t>
            </w:r>
            <w:r>
              <w:rPr>
                <w:rFonts w:eastAsia="微軟正黑體"/>
                <w:sz w:val="19"/>
                <w:szCs w:val="19"/>
              </w:rPr>
              <w:t>MO</w:t>
            </w:r>
            <w:r>
              <w:rPr>
                <w:rFonts w:eastAsia="微軟正黑體"/>
                <w:sz w:val="19"/>
                <w:szCs w:val="19"/>
              </w:rPr>
              <w:t>）</w:t>
            </w:r>
          </w:p>
        </w:tc>
        <w:tc>
          <w:tcPr>
            <w:tcW w:w="66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管理實驗室成員、指派角色與配置模組權限（跨區）。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各區實驗室管理員（</w:t>
            </w:r>
            <w:r>
              <w:rPr>
                <w:rFonts w:eastAsia="微軟正黑體"/>
                <w:sz w:val="19"/>
                <w:szCs w:val="19"/>
              </w:rPr>
              <w:t>MA</w:t>
            </w:r>
            <w:r>
              <w:rPr>
                <w:rFonts w:eastAsia="微軟正黑體"/>
                <w:sz w:val="19"/>
                <w:szCs w:val="19"/>
              </w:rPr>
              <w:t>）</w:t>
            </w:r>
          </w:p>
        </w:tc>
        <w:tc>
          <w:tcPr>
            <w:tcW w:w="66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管理所屬區域實驗室之成員、角色與模組權限。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各區實驗室稽核員（</w:t>
            </w:r>
            <w:r>
              <w:rPr>
                <w:rFonts w:eastAsia="微軟正黑體"/>
                <w:sz w:val="19"/>
                <w:szCs w:val="19"/>
              </w:rPr>
              <w:t>AU</w:t>
            </w:r>
            <w:r>
              <w:rPr>
                <w:rFonts w:eastAsia="微軟正黑體"/>
                <w:sz w:val="19"/>
                <w:szCs w:val="19"/>
              </w:rPr>
              <w:t>）</w:t>
            </w:r>
          </w:p>
        </w:tc>
        <w:tc>
          <w:tcPr>
            <w:tcW w:w="66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檢視所屬實驗室內所有資料與異動軌跡（唯讀）。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自訂角色（例：食安檢測人員、</w:t>
            </w:r>
            <w:r>
              <w:rPr>
                <w:rFonts w:eastAsia="微軟正黑體"/>
                <w:sz w:val="19"/>
                <w:szCs w:val="19"/>
              </w:rPr>
              <w:t>QC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FQ</w:t>
            </w:r>
            <w:r>
              <w:rPr>
                <w:rFonts w:eastAsia="微軟正黑體"/>
                <w:sz w:val="19"/>
                <w:szCs w:val="19"/>
              </w:rPr>
              <w:t>）</w:t>
            </w:r>
          </w:p>
        </w:tc>
        <w:tc>
          <w:tcPr>
            <w:tcW w:w="66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由管理員建立；可設為全域或實驗室專屬，新建與權限異動須經 </w:t>
            </w:r>
            <w:r>
              <w:rPr>
                <w:rFonts w:eastAsia="微軟正黑體"/>
                <w:sz w:val="19"/>
                <w:szCs w:val="19"/>
              </w:rPr>
              <w:t xml:space="preserve">Maker-Checker </w:t>
            </w:r>
            <w:r>
              <w:rPr>
                <w:rFonts w:eastAsia="微軟正黑體"/>
                <w:sz w:val="19"/>
                <w:szCs w:val="19"/>
              </w:rPr>
              <w:t>核准後生效。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3"/>
        <w:rPr/>
      </w:pPr>
      <w:bookmarkStart w:id="22" w:name="__RefHeading___Toc3292_1895412299"/>
      <w:bookmarkStart w:id="23" w:name="_Toc243493455"/>
      <w:bookmarkEnd w:id="22"/>
      <w:r>
        <w:rPr/>
        <w:t xml:space="preserve">2.2.3 </w:t>
      </w:r>
      <w:r>
        <w:rPr/>
        <w:t>明確不包含之功能（</w:t>
      </w:r>
      <w:r>
        <w:rPr/>
        <w:t>Out of Scope</w:t>
      </w:r>
      <w:r>
        <w:rPr/>
        <w:t>）</w:t>
      </w:r>
      <w:bookmarkEnd w:id="23"/>
    </w:p>
    <w:p>
      <w:pPr>
        <w:pStyle w:val="ListParagraph"/>
        <w:numPr>
          <w:ilvl w:val="0"/>
          <w:numId w:val="3"/>
        </w:numPr>
        <w:spacing w:lineRule="auto" w:line="290" w:before="0" w:after="60"/>
        <w:rPr/>
      </w:pPr>
      <w:r>
        <w:rPr>
          <w:rFonts w:eastAsia="微軟正黑體"/>
          <w:b/>
          <w:bCs/>
        </w:rPr>
        <w:t xml:space="preserve">外部商業 </w:t>
      </w:r>
      <w:r>
        <w:rPr>
          <w:rFonts w:eastAsia="微軟正黑體"/>
          <w:b/>
          <w:bCs/>
        </w:rPr>
        <w:t>ERP</w:t>
      </w:r>
      <w:r>
        <w:rPr>
          <w:rFonts w:eastAsia="微軟正黑體"/>
          <w:b/>
          <w:bCs/>
        </w:rPr>
        <w:t>／</w:t>
      </w:r>
      <w:r>
        <w:rPr>
          <w:rFonts w:eastAsia="微軟正黑體"/>
          <w:b/>
          <w:bCs/>
        </w:rPr>
        <w:t>CRM</w:t>
      </w:r>
      <w:r>
        <w:rPr>
          <w:rFonts w:eastAsia="微軟正黑體"/>
          <w:b/>
          <w:bCs/>
        </w:rPr>
        <w:t>／</w:t>
      </w:r>
      <w:r>
        <w:rPr>
          <w:rFonts w:eastAsia="微軟正黑體"/>
          <w:b/>
          <w:bCs/>
        </w:rPr>
        <w:t xml:space="preserve">HR </w:t>
      </w:r>
      <w:r>
        <w:rPr>
          <w:rFonts w:eastAsia="微軟正黑體"/>
          <w:b/>
          <w:bCs/>
        </w:rPr>
        <w:t>系統之功能與模組：</w:t>
      </w:r>
      <w:r>
        <w:rPr>
          <w:rFonts w:eastAsia="微軟正黑體"/>
        </w:rPr>
        <w:t xml:space="preserve">本框架不內建此類業務功能，僅提供標準 </w:t>
      </w:r>
      <w:r>
        <w:rPr>
          <w:rFonts w:eastAsia="微軟正黑體"/>
        </w:rPr>
        <w:t>RESTful API</w:t>
      </w:r>
      <w:r>
        <w:rPr>
          <w:rFonts w:eastAsia="微軟正黑體"/>
        </w:rPr>
        <w:t xml:space="preserve">（含 </w:t>
      </w:r>
      <w:r>
        <w:rPr>
          <w:rFonts w:eastAsia="微軟正黑體"/>
        </w:rPr>
        <w:t xml:space="preserve">JWT </w:t>
      </w:r>
      <w:r>
        <w:rPr>
          <w:rFonts w:eastAsia="微軟正黑體"/>
        </w:rPr>
        <w:t>驗證與權限控管）供外部系統串接；資料欄位對應與整合流程由各專案另行設計。</w:t>
      </w:r>
    </w:p>
    <w:p>
      <w:pPr>
        <w:pStyle w:val="ListParagraph"/>
        <w:numPr>
          <w:ilvl w:val="0"/>
          <w:numId w:val="3"/>
        </w:numPr>
        <w:spacing w:lineRule="auto" w:line="290" w:before="0" w:after="60"/>
        <w:rPr/>
      </w:pPr>
      <w:r>
        <w:rPr>
          <w:rFonts w:eastAsia="微軟正黑體"/>
          <w:b/>
          <w:bCs/>
        </w:rPr>
        <w:t>實體檢測儀器之底層驅動程式與韌體開發：</w:t>
      </w:r>
      <w:r>
        <w:rPr>
          <w:rFonts w:eastAsia="微軟正黑體"/>
        </w:rPr>
        <w:t xml:space="preserve">系統僅透過儀器廠商提供之標準 </w:t>
      </w:r>
      <w:r>
        <w:rPr>
          <w:rFonts w:eastAsia="微軟正黑體"/>
        </w:rPr>
        <w:t>Protocol</w:t>
      </w:r>
      <w:r>
        <w:rPr>
          <w:rFonts w:eastAsia="微軟正黑體"/>
        </w:rPr>
        <w:t>、檔案匯入（</w:t>
      </w:r>
      <w:r>
        <w:rPr>
          <w:rFonts w:eastAsia="微軟正黑體"/>
        </w:rPr>
        <w:t>File</w:t>
      </w:r>
      <w:r>
        <w:rPr>
          <w:rFonts w:eastAsia="微軟正黑體"/>
        </w:rPr>
        <w:t xml:space="preserve">）或 </w:t>
      </w:r>
      <w:r>
        <w:rPr>
          <w:rFonts w:eastAsia="微軟正黑體"/>
        </w:rPr>
        <w:t xml:space="preserve">API </w:t>
      </w:r>
      <w:r>
        <w:rPr>
          <w:rFonts w:eastAsia="微軟正黑體"/>
        </w:rPr>
        <w:t>擷取量測數據，不涉及儀器控制與校正；儀器端之介接器依各儀器規格另案開發。</w:t>
      </w:r>
    </w:p>
    <w:p>
      <w:pPr>
        <w:pStyle w:val="Heading2"/>
        <w:rPr/>
      </w:pPr>
      <w:bookmarkStart w:id="24" w:name="__RefHeading___Toc3294_1895412299"/>
      <w:bookmarkStart w:id="25" w:name="_Toc243493456"/>
      <w:bookmarkEnd w:id="24"/>
      <w:r>
        <w:rPr/>
        <w:t xml:space="preserve">2.3 </w:t>
      </w:r>
      <w:r>
        <w:rPr/>
        <w:t>系統架構</w:t>
      </w:r>
      <w:bookmarkEnd w:id="25"/>
    </w:p>
    <w:p>
      <w:pPr>
        <w:pStyle w:val="Normal"/>
        <w:bidi w:val="0"/>
        <w:spacing w:lineRule="auto" w:line="300" w:before="0" w:after="100"/>
        <w:rPr/>
      </w:pPr>
      <w:r>
        <w:rPr>
          <w:rFonts w:eastAsia="微軟正黑體"/>
        </w:rPr>
        <w:t xml:space="preserve">系統採 </w:t>
      </w:r>
      <w:r>
        <w:rPr>
          <w:rFonts w:eastAsia="微軟正黑體"/>
          <w:b/>
          <w:bCs/>
        </w:rPr>
        <w:t>Modular Monolith</w:t>
      </w:r>
      <w:r>
        <w:rPr>
          <w:rFonts w:eastAsia="微軟正黑體"/>
        </w:rPr>
        <w:t xml:space="preserve"> </w:t>
      </w:r>
      <w:r>
        <w:rPr>
          <w:rFonts w:eastAsia="微軟正黑體"/>
        </w:rPr>
        <w:t xml:space="preserve">搭配 </w:t>
      </w:r>
      <w:r>
        <w:rPr>
          <w:rFonts w:eastAsia="微軟正黑體"/>
          <w:b/>
          <w:bCs/>
        </w:rPr>
        <w:t>Clean Architecture</w:t>
      </w:r>
      <w:r>
        <w:rPr>
          <w:rFonts w:eastAsia="微軟正黑體"/>
        </w:rPr>
        <w:t xml:space="preserve">。後端以單一 </w:t>
      </w:r>
      <w:r>
        <w:rPr>
          <w:rFonts w:eastAsia="微軟正黑體"/>
        </w:rPr>
        <w:t>Web API Host</w:t>
      </w:r>
      <w:r>
        <w:rPr>
          <w:rFonts w:eastAsia="微軟正黑體"/>
        </w:rPr>
        <w:t>（</w:t>
      </w:r>
      <w:r>
        <w:rPr>
          <w:rFonts w:eastAsia="Consolas" w:cs="Consolas" w:ascii="Consolas" w:hAnsi="Consolas"/>
          <w:sz w:val="19"/>
          <w:szCs w:val="19"/>
        </w:rPr>
        <w:t>PhysLIMS.API</w:t>
      </w:r>
      <w:r>
        <w:rPr>
          <w:rFonts w:eastAsia="微軟正黑體"/>
        </w:rPr>
        <w:t xml:space="preserve">）承載，基礎能力拆為多個 </w:t>
      </w:r>
      <w:r>
        <w:rPr>
          <w:rFonts w:eastAsia="微軟正黑體"/>
        </w:rPr>
        <w:t xml:space="preserve">Infrastructure </w:t>
      </w:r>
      <w:r>
        <w:rPr>
          <w:rFonts w:eastAsia="微軟正黑體"/>
        </w:rPr>
        <w:t>組件</w:t>
      </w:r>
      <w:r>
        <w:rPr>
          <w:rFonts w:eastAsia="微軟正黑體"/>
        </w:rPr>
        <w:t>(SGSFramework.Persistent</w:t>
      </w:r>
      <w:r>
        <w:rPr>
          <w:rFonts w:eastAsia="微軟正黑體"/>
        </w:rPr>
        <w:t>、</w:t>
      </w:r>
      <w:r>
        <w:rPr>
          <w:rFonts w:eastAsia="微軟正黑體"/>
        </w:rPr>
        <w:t>SGSFramework.Identity</w:t>
      </w:r>
      <w:r>
        <w:rPr>
          <w:rFonts w:eastAsia="微軟正黑體"/>
        </w:rPr>
        <w:t>、</w:t>
      </w:r>
      <w:r>
        <w:rPr>
          <w:rFonts w:eastAsia="微軟正黑體"/>
        </w:rPr>
        <w:t>)</w:t>
      </w:r>
      <w:r>
        <w:rPr>
          <w:rFonts w:eastAsia="微軟正黑體"/>
        </w:rPr>
        <w:t>，業務模組（</w:t>
      </w:r>
      <w:r>
        <w:rPr>
          <w:rFonts w:eastAsia="微軟正黑體"/>
        </w:rPr>
        <w:t>ORG</w:t>
      </w:r>
      <w:r>
        <w:rPr>
          <w:rFonts w:eastAsia="微軟正黑體"/>
        </w:rPr>
        <w:t xml:space="preserve">）以外掛方式載入並共用同一 </w:t>
      </w:r>
      <w:r>
        <w:rPr>
          <w:rFonts w:eastAsia="微軟正黑體"/>
        </w:rPr>
        <w:t xml:space="preserve">DI </w:t>
      </w:r>
      <w:r>
        <w:rPr>
          <w:rFonts w:eastAsia="微軟正黑體"/>
        </w:rPr>
        <w:t>容器與資料庫。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939790" cy="3895090"/>
            <wp:effectExtent l="0" t="0" r="0" b="0"/>
            <wp:docPr id="1" name="系統架構圖" descr="SGS 基礎框架系統系統架構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系統架構圖" descr="SGS 基礎框架系統系統架構圖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895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00"/>
        <w:jc w:val="center"/>
        <w:rPr/>
      </w:pPr>
      <w:r>
        <w:rPr>
          <w:rFonts w:eastAsia="微軟正黑體"/>
          <w:b/>
          <w:bCs/>
        </w:rPr>
        <w:t xml:space="preserve">圖 </w:t>
      </w:r>
      <w:r>
        <w:rPr>
          <w:rFonts w:eastAsia="微軟正黑體"/>
          <w:b/>
          <w:bCs/>
        </w:rPr>
        <w:t>2-1</w:t>
      </w:r>
      <w:r>
        <w:rPr>
          <w:rFonts w:eastAsia="微軟正黑體"/>
          <w:b/>
          <w:bCs/>
        </w:rPr>
        <w:t>　</w:t>
      </w:r>
      <w:r>
        <w:rPr>
          <w:rFonts w:eastAsia="微軟正黑體"/>
          <w:b/>
          <w:bCs/>
        </w:rPr>
        <w:t xml:space="preserve">SGS </w:t>
      </w:r>
      <w:r>
        <w:rPr>
          <w:rFonts w:eastAsia="微軟正黑體"/>
          <w:b/>
          <w:bCs/>
        </w:rPr>
        <w:t>基礎框架系統系統架構圖</w:t>
      </w:r>
    </w:p>
    <w:p>
      <w:pPr>
        <w:pStyle w:val="Normal"/>
        <w:spacing w:lineRule="auto" w:line="300" w:before="0" w:after="100"/>
        <w:rPr/>
      </w:pPr>
      <w:r>
        <w:rPr>
          <w:rFonts w:eastAsia="微軟正黑體"/>
        </w:rPr>
        <w:t>架構說明：由上而下，用戶端（</w:t>
      </w:r>
      <w:r>
        <w:rPr>
          <w:rFonts w:eastAsia="微軟正黑體"/>
        </w:rPr>
        <w:t>Vue 3 SPA</w:t>
      </w:r>
      <w:r>
        <w:rPr>
          <w:rFonts w:eastAsia="微軟正黑體"/>
        </w:rPr>
        <w:t xml:space="preserve">）以 </w:t>
      </w:r>
      <w:r>
        <w:rPr>
          <w:rFonts w:eastAsia="微軟正黑體"/>
        </w:rPr>
        <w:t>HTTPS</w:t>
      </w:r>
      <w:r>
        <w:rPr>
          <w:rFonts w:eastAsia="微軟正黑體"/>
        </w:rPr>
        <w:t>（</w:t>
      </w:r>
      <w:r>
        <w:rPr>
          <w:rFonts w:eastAsia="微軟正黑體"/>
        </w:rPr>
        <w:t>REST</w:t>
      </w:r>
      <w:r>
        <w:rPr>
          <w:rFonts w:eastAsia="微軟正黑體"/>
        </w:rPr>
        <w:t>／</w:t>
      </w:r>
      <w:r>
        <w:rPr>
          <w:rFonts w:eastAsia="微軟正黑體"/>
        </w:rPr>
        <w:t>JWT Bearer</w:t>
      </w:r>
      <w:r>
        <w:rPr>
          <w:rFonts w:eastAsia="微軟正黑體"/>
        </w:rPr>
        <w:t xml:space="preserve">）呼叫 </w:t>
      </w:r>
      <w:r>
        <w:rPr>
          <w:rFonts w:eastAsia="微軟正黑體"/>
        </w:rPr>
        <w:t>Web API Host</w:t>
      </w:r>
      <w:r>
        <w:rPr>
          <w:rFonts w:eastAsia="微軟正黑體"/>
        </w:rPr>
        <w:t xml:space="preserve">，並以 </w:t>
      </w:r>
      <w:r>
        <w:rPr>
          <w:rFonts w:eastAsia="微軟正黑體"/>
        </w:rPr>
        <w:t>WSS</w:t>
      </w:r>
      <w:r>
        <w:rPr>
          <w:rFonts w:eastAsia="微軟正黑體"/>
        </w:rPr>
        <w:t>（</w:t>
      </w:r>
      <w:r>
        <w:rPr>
          <w:rFonts w:eastAsia="微軟正黑體"/>
        </w:rPr>
        <w:t>SignalR</w:t>
      </w:r>
      <w:r>
        <w:rPr>
          <w:rFonts w:eastAsia="微軟正黑體"/>
        </w:rPr>
        <w:t>）接收工作階段撤銷與權限異動；</w:t>
      </w:r>
      <w:r>
        <w:rPr>
          <w:rFonts w:eastAsia="微軟正黑體"/>
        </w:rPr>
        <w:t xml:space="preserve">Host </w:t>
      </w:r>
      <w:r>
        <w:rPr>
          <w:rFonts w:eastAsia="微軟正黑體"/>
        </w:rPr>
        <w:t xml:space="preserve">負責驗證、動態授權與 </w:t>
      </w:r>
      <w:r>
        <w:rPr>
          <w:rFonts w:eastAsia="微軟正黑體"/>
        </w:rPr>
        <w:t xml:space="preserve">Controller </w:t>
      </w:r>
      <w:r>
        <w:rPr>
          <w:rFonts w:eastAsia="微軟正黑體"/>
        </w:rPr>
        <w:t xml:space="preserve">路由；基礎能力由各 </w:t>
      </w:r>
      <w:r>
        <w:rPr>
          <w:rFonts w:eastAsia="微軟正黑體"/>
        </w:rPr>
        <w:t xml:space="preserve">Infrastructure </w:t>
      </w:r>
      <w:r>
        <w:rPr>
          <w:rFonts w:eastAsia="微軟正黑體"/>
        </w:rPr>
        <w:t xml:space="preserve">組件提供並共用 </w:t>
      </w:r>
      <w:r>
        <w:rPr>
          <w:rFonts w:eastAsia="微軟正黑體"/>
        </w:rPr>
        <w:t>Shared Kernel</w:t>
      </w:r>
      <w:r>
        <w:rPr>
          <w:rFonts w:eastAsia="微軟正黑體"/>
        </w:rPr>
        <w:t xml:space="preserve">；業務模組以簽章驗證後之外掛載入，與核心共用 </w:t>
      </w:r>
      <w:r>
        <w:rPr>
          <w:rFonts w:eastAsia="微軟正黑體"/>
        </w:rPr>
        <w:t xml:space="preserve">DI </w:t>
      </w:r>
      <w:r>
        <w:rPr>
          <w:rFonts w:eastAsia="微軟正黑體"/>
        </w:rPr>
        <w:t xml:space="preserve">容器；資料經 </w:t>
      </w:r>
      <w:r>
        <w:rPr>
          <w:rFonts w:eastAsia="微軟正黑體"/>
        </w:rPr>
        <w:t xml:space="preserve">EF Core </w:t>
      </w:r>
      <w:r>
        <w:rPr>
          <w:rFonts w:eastAsia="微軟正黑體"/>
        </w:rPr>
        <w:t xml:space="preserve">寫入 </w:t>
      </w:r>
      <w:r>
        <w:rPr>
          <w:rFonts w:eastAsia="微軟正黑體"/>
        </w:rPr>
        <w:t>SQL Server</w:t>
      </w:r>
      <w:r>
        <w:rPr>
          <w:rFonts w:eastAsia="微軟正黑體"/>
        </w:rPr>
        <w:t xml:space="preserve">，稽核與日誌則由背景通道與 </w:t>
      </w:r>
      <w:r>
        <w:rPr>
          <w:rFonts w:eastAsia="微軟正黑體"/>
        </w:rPr>
        <w:t xml:space="preserve">Worker </w:t>
      </w:r>
      <w:r>
        <w:rPr>
          <w:rFonts w:eastAsia="微軟正黑體"/>
        </w:rPr>
        <w:t>非同步批次寫入。</w:t>
      </w:r>
    </w:p>
    <w:p>
      <w:pPr>
        <w:pStyle w:val="Heading3"/>
        <w:rPr/>
      </w:pPr>
      <w:bookmarkStart w:id="26" w:name="__RefHeading___Toc3296_1895412299"/>
      <w:bookmarkStart w:id="27" w:name="_Toc243493457"/>
      <w:bookmarkEnd w:id="26"/>
      <w:r>
        <w:rPr/>
        <w:t xml:space="preserve">2.3.1 </w:t>
      </w:r>
      <w:r>
        <w:rPr/>
        <w:t>分層與專案對應</w:t>
      </w:r>
      <w:bookmarkEnd w:id="27"/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1996"/>
        <w:gridCol w:w="4304"/>
        <w:gridCol w:w="3338"/>
      </w:tblGrid>
      <w:tr>
        <w:trPr>
          <w:tblHeader w:val="true"/>
        </w:trPr>
        <w:tc>
          <w:tcPr>
            <w:tcW w:w="1996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層級</w:t>
            </w:r>
          </w:p>
        </w:tc>
        <w:tc>
          <w:tcPr>
            <w:tcW w:w="430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專案／目錄</w:t>
            </w:r>
          </w:p>
        </w:tc>
        <w:tc>
          <w:tcPr>
            <w:tcW w:w="33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說明</w:t>
            </w:r>
          </w:p>
        </w:tc>
      </w:tr>
      <w:tr>
        <w:trPr>
          <w:cantSplit/>
        </w:trPr>
        <w:tc>
          <w:tcPr>
            <w:tcW w:w="1996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Presentation</w:t>
            </w:r>
          </w:p>
        </w:tc>
        <w:tc>
          <w:tcPr>
            <w:tcW w:w="430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Host/PhysLIMS.API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Host/PhysLIMS.Controller</w:t>
            </w:r>
            <w:r>
              <w:rPr>
                <w:rFonts w:eastAsia="微軟正黑體"/>
                <w:sz w:val="19"/>
                <w:szCs w:val="19"/>
              </w:rPr>
              <w:t xml:space="preserve">；前端 </w:t>
            </w:r>
            <w:r>
              <w:rPr>
                <w:rFonts w:eastAsia="微軟正黑體"/>
                <w:sz w:val="19"/>
                <w:szCs w:val="19"/>
              </w:rPr>
              <w:t xml:space="preserve">Vue 3 SPA </w:t>
            </w:r>
            <w:r>
              <w:rPr>
                <w:rFonts w:eastAsia="微軟正黑體"/>
                <w:sz w:val="19"/>
                <w:szCs w:val="19"/>
              </w:rPr>
              <w:t xml:space="preserve">專案（核心 </w:t>
            </w:r>
            <w:r>
              <w:rPr>
                <w:rFonts w:eastAsia="微軟正黑體"/>
                <w:sz w:val="19"/>
                <w:szCs w:val="19"/>
              </w:rPr>
              <w:t>core</w:t>
            </w:r>
            <w:r>
              <w:rPr>
                <w:rFonts w:eastAsia="微軟正黑體"/>
                <w:sz w:val="19"/>
                <w:szCs w:val="19"/>
              </w:rPr>
              <w:t xml:space="preserve">、功能模組 </w:t>
            </w:r>
            <w:r>
              <w:rPr>
                <w:rFonts w:eastAsia="微軟正黑體"/>
                <w:sz w:val="19"/>
                <w:szCs w:val="19"/>
              </w:rPr>
              <w:t>features</w:t>
            </w:r>
            <w:r>
              <w:rPr>
                <w:rFonts w:eastAsia="微軟正黑體"/>
                <w:sz w:val="19"/>
                <w:szCs w:val="19"/>
              </w:rPr>
              <w:t>；目錄名稱待與實際專案對齊）</w:t>
            </w:r>
          </w:p>
        </w:tc>
        <w:tc>
          <w:tcPr>
            <w:tcW w:w="33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Web API Host</w:t>
            </w:r>
            <w:r>
              <w:rPr>
                <w:rFonts w:eastAsia="微軟正黑體"/>
                <w:sz w:val="19"/>
                <w:szCs w:val="19"/>
              </w:rPr>
              <w:t xml:space="preserve">、動態 </w:t>
            </w:r>
            <w:r>
              <w:rPr>
                <w:rFonts w:eastAsia="微軟正黑體"/>
                <w:sz w:val="19"/>
                <w:szCs w:val="19"/>
              </w:rPr>
              <w:t>Controller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 xml:space="preserve">Vue 3 SPA </w:t>
            </w:r>
            <w:r>
              <w:rPr>
                <w:rFonts w:eastAsia="微軟正黑體"/>
                <w:sz w:val="19"/>
                <w:szCs w:val="19"/>
              </w:rPr>
              <w:t>介面</w:t>
            </w:r>
          </w:p>
        </w:tc>
      </w:tr>
      <w:tr>
        <w:trPr>
          <w:cantSplit/>
        </w:trPr>
        <w:tc>
          <w:tcPr>
            <w:tcW w:w="1996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Composition</w:t>
            </w:r>
          </w:p>
        </w:tc>
        <w:tc>
          <w:tcPr>
            <w:tcW w:w="430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SGSFramework.ApiInfrastructure</w:t>
            </w:r>
          </w:p>
        </w:tc>
        <w:tc>
          <w:tcPr>
            <w:tcW w:w="33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彙整所有 </w:t>
            </w:r>
            <w:r>
              <w:rPr>
                <w:rFonts w:eastAsia="微軟正黑體"/>
                <w:sz w:val="19"/>
                <w:szCs w:val="19"/>
              </w:rPr>
              <w:t xml:space="preserve">Infrastructure </w:t>
            </w:r>
            <w:r>
              <w:rPr>
                <w:rFonts w:eastAsia="微軟正黑體"/>
                <w:sz w:val="19"/>
                <w:szCs w:val="19"/>
              </w:rPr>
              <w:t xml:space="preserve">組件的 </w:t>
            </w:r>
            <w:r>
              <w:rPr>
                <w:rFonts w:eastAsia="微軟正黑體"/>
                <w:sz w:val="19"/>
                <w:szCs w:val="19"/>
              </w:rPr>
              <w:t xml:space="preserve">DI </w:t>
            </w:r>
            <w:r>
              <w:rPr>
                <w:rFonts w:eastAsia="微軟正黑體"/>
                <w:sz w:val="19"/>
                <w:szCs w:val="19"/>
              </w:rPr>
              <w:t>註冊、</w:t>
            </w:r>
            <w:r>
              <w:rPr>
                <w:rFonts w:eastAsia="微軟正黑體"/>
                <w:sz w:val="19"/>
                <w:szCs w:val="19"/>
              </w:rPr>
              <w:t xml:space="preserve">IIS </w:t>
            </w:r>
            <w:r>
              <w:rPr>
                <w:rFonts w:eastAsia="微軟正黑體"/>
                <w:sz w:val="19"/>
                <w:szCs w:val="19"/>
              </w:rPr>
              <w:t>環境設定</w:t>
            </w:r>
          </w:p>
        </w:tc>
      </w:tr>
      <w:tr>
        <w:trPr>
          <w:cantSplit/>
        </w:trPr>
        <w:tc>
          <w:tcPr>
            <w:tcW w:w="1996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Application</w:t>
            </w:r>
            <w:r>
              <w:rPr>
                <w:rFonts w:eastAsia="微軟正黑體"/>
                <w:sz w:val="19"/>
                <w:szCs w:val="19"/>
              </w:rPr>
              <w:t>／</w:t>
            </w:r>
            <w:r>
              <w:rPr>
                <w:rFonts w:eastAsia="微軟正黑體"/>
                <w:sz w:val="19"/>
                <w:szCs w:val="19"/>
              </w:rPr>
              <w:t>Infrastructure</w:t>
            </w:r>
          </w:p>
        </w:tc>
        <w:tc>
          <w:tcPr>
            <w:tcW w:w="430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AuthTokenBucket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Identity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AuditLog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SystemLog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VerifyLedger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DataProtection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CodeSecurity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ModulePlugin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SPAModulePlugin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Persistent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Alert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ReportEngine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Enterprise.HttpSdk</w:t>
            </w:r>
          </w:p>
        </w:tc>
        <w:tc>
          <w:tcPr>
            <w:tcW w:w="33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技術性關注點與跨模組能力</w:t>
            </w:r>
          </w:p>
        </w:tc>
      </w:tr>
      <w:tr>
        <w:trPr>
          <w:cantSplit/>
        </w:trPr>
        <w:tc>
          <w:tcPr>
            <w:tcW w:w="1996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Shared Kernel</w:t>
            </w:r>
          </w:p>
        </w:tc>
        <w:tc>
          <w:tcPr>
            <w:tcW w:w="430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Shared/SGSFramework.Core</w:t>
            </w:r>
          </w:p>
        </w:tc>
        <w:tc>
          <w:tcPr>
            <w:tcW w:w="33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實體、抽象介面、權限模型、通用處理器（含 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GenericChannel</w:t>
            </w:r>
            <w:r>
              <w:rPr>
                <w:rFonts w:eastAsia="微軟正黑體"/>
                <w:sz w:val="19"/>
                <w:szCs w:val="19"/>
              </w:rPr>
              <w:t>）</w:t>
            </w:r>
          </w:p>
        </w:tc>
      </w:tr>
      <w:tr>
        <w:trPr>
          <w:cantSplit/>
        </w:trPr>
        <w:tc>
          <w:tcPr>
            <w:tcW w:w="1996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Business Modules</w:t>
            </w:r>
          </w:p>
        </w:tc>
        <w:tc>
          <w:tcPr>
            <w:tcW w:w="430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Modules/ORG</w:t>
            </w:r>
            <w:r>
              <w:rPr>
                <w:rFonts w:eastAsia="微軟正黑體"/>
                <w:sz w:val="19"/>
                <w:szCs w:val="19"/>
              </w:rPr>
              <w:t>（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.Contracts</w:t>
            </w:r>
            <w:r>
              <w:rPr>
                <w:rFonts w:eastAsia="微軟正黑體"/>
                <w:sz w:val="19"/>
                <w:szCs w:val="19"/>
              </w:rPr>
              <w:t>／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.Application</w:t>
            </w:r>
            <w:r>
              <w:rPr>
                <w:rFonts w:eastAsia="微軟正黑體"/>
                <w:sz w:val="19"/>
                <w:szCs w:val="19"/>
              </w:rPr>
              <w:t>／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.Infrastructure</w:t>
            </w:r>
            <w:r>
              <w:rPr>
                <w:rFonts w:eastAsia="微軟正黑體"/>
                <w:sz w:val="19"/>
                <w:szCs w:val="19"/>
              </w:rPr>
              <w:t>）、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Modules/DFM</w:t>
            </w:r>
          </w:p>
        </w:tc>
        <w:tc>
          <w:tcPr>
            <w:tcW w:w="33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業務外掛；</w:t>
            </w:r>
            <w:r>
              <w:rPr>
                <w:rFonts w:eastAsia="微軟正黑體"/>
                <w:sz w:val="19"/>
                <w:szCs w:val="19"/>
              </w:rPr>
              <w:t xml:space="preserve">ORG </w:t>
            </w:r>
            <w:r>
              <w:rPr>
                <w:rFonts w:eastAsia="微軟正黑體"/>
                <w:sz w:val="19"/>
                <w:szCs w:val="19"/>
              </w:rPr>
              <w:t xml:space="preserve">另將契約拆至 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Contracts</w:t>
            </w:r>
            <w:r>
              <w:rPr>
                <w:rFonts w:eastAsia="微軟正黑體"/>
                <w:sz w:val="19"/>
                <w:szCs w:val="19"/>
              </w:rPr>
              <w:t xml:space="preserve"> </w:t>
            </w:r>
            <w:r>
              <w:rPr>
                <w:rFonts w:eastAsia="微軟正黑體"/>
                <w:sz w:val="19"/>
                <w:szCs w:val="19"/>
              </w:rPr>
              <w:t>供其他組件引用</w:t>
            </w:r>
          </w:p>
        </w:tc>
      </w:tr>
    </w:tbl>
    <w:p>
      <w:pPr>
        <w:pStyle w:val="Normal"/>
        <w:spacing w:before="0" w:after="80"/>
        <w:rPr>
          <w:rFonts w:eastAsia="微軟正黑體"/>
          <w:color w:val="7A4B00"/>
        </w:rPr>
      </w:pPr>
      <w:r>
        <w:rPr>
          <w:rFonts w:eastAsia="微軟正黑體"/>
          <w:color w:val="7A4B00"/>
        </w:rPr>
      </w:r>
    </w:p>
    <w:p>
      <w:pPr>
        <w:pStyle w:val="Heading3"/>
        <w:keepNext w:val="true"/>
        <w:rPr/>
      </w:pPr>
      <w:bookmarkStart w:id="28" w:name="__RefHeading___Toc3298_1895412299"/>
      <w:bookmarkStart w:id="29" w:name="_Toc243493458"/>
      <w:bookmarkEnd w:id="28"/>
      <w:r>
        <w:rPr/>
        <w:t xml:space="preserve">2.3.2 </w:t>
      </w:r>
      <w:r>
        <w:rPr/>
        <w:t>主要專案依賴方向</w:t>
      </w:r>
      <w:bookmarkEnd w:id="29"/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939790" cy="3622040"/>
            <wp:effectExtent l="0" t="0" r="0" b="0"/>
            <wp:docPr id="2" name="依賴方向圖" descr="圖 2-2　主要專案依賴方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依賴方向圖" descr="圖 2-2　主要專案依賴方向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622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00"/>
        <w:jc w:val="center"/>
        <w:rPr/>
      </w:pPr>
      <w:r>
        <w:rPr>
          <w:rFonts w:eastAsia="微軟正黑體"/>
          <w:b/>
          <w:bCs/>
        </w:rPr>
        <w:t xml:space="preserve">圖 </w:t>
      </w:r>
      <w:r>
        <w:rPr>
          <w:rFonts w:eastAsia="微軟正黑體"/>
          <w:b/>
          <w:bCs/>
        </w:rPr>
        <w:t>2-2</w:t>
      </w:r>
      <w:r>
        <w:rPr>
          <w:rFonts w:eastAsia="微軟正黑體"/>
          <w:b/>
          <w:bCs/>
        </w:rPr>
        <w:t>　主要專案依賴方向</w:t>
      </w:r>
    </w:p>
    <w:p>
      <w:pPr>
        <w:pStyle w:val="Normal"/>
        <w:spacing w:before="0" w:after="80"/>
        <w:rPr/>
      </w:pPr>
      <w:r>
        <w:rPr/>
      </w:r>
    </w:p>
    <w:p>
      <w:pPr>
        <w:pStyle w:val="Heading3"/>
        <w:keepNext w:val="true"/>
        <w:rPr/>
      </w:pPr>
      <w:bookmarkStart w:id="30" w:name="__RefHeading___Toc3300_1895412299"/>
      <w:bookmarkStart w:id="31" w:name="_Toc243493459"/>
      <w:bookmarkEnd w:id="30"/>
      <w:r>
        <w:rPr/>
        <w:t xml:space="preserve">2.3.3 </w:t>
      </w:r>
      <w:r>
        <w:rPr/>
        <w:t>高階部署結構</w:t>
      </w:r>
      <w:bookmarkEnd w:id="31"/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4999990" cy="3533140"/>
            <wp:effectExtent l="0" t="0" r="0" b="0"/>
            <wp:docPr id="3" name="高階部署結構圖" descr="圖 2-3　高階部署結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高階部署結構圖" descr="圖 2-3　高階部署結構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9990" cy="3533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00"/>
        <w:jc w:val="center"/>
        <w:rPr/>
      </w:pPr>
      <w:r>
        <w:rPr>
          <w:rFonts w:eastAsia="微軟正黑體"/>
          <w:b/>
          <w:bCs/>
        </w:rPr>
        <w:t xml:space="preserve">圖 </w:t>
      </w:r>
      <w:r>
        <w:rPr>
          <w:rFonts w:eastAsia="微軟正黑體"/>
          <w:b/>
          <w:bCs/>
        </w:rPr>
        <w:t>2-3</w:t>
      </w:r>
      <w:r>
        <w:rPr>
          <w:rFonts w:eastAsia="微軟正黑體"/>
          <w:b/>
          <w:bCs/>
        </w:rPr>
        <w:t>　高階部署結構</w:t>
      </w:r>
    </w:p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32" w:name="__RefHeading___Toc3302_1895412299"/>
      <w:bookmarkStart w:id="33" w:name="_Toc243493460"/>
      <w:bookmarkEnd w:id="32"/>
      <w:r>
        <w:rPr/>
        <w:t xml:space="preserve">2.4 </w:t>
      </w:r>
      <w:r>
        <w:rPr/>
        <w:t>系統軟體需求概述</w:t>
      </w:r>
      <w:bookmarkEnd w:id="33"/>
    </w:p>
    <w:p>
      <w:pPr>
        <w:pStyle w:val="Normal"/>
        <w:spacing w:lineRule="auto" w:line="300" w:before="0" w:after="100"/>
        <w:rPr/>
      </w:pPr>
      <w:r>
        <w:rPr>
          <w:rFonts w:eastAsia="微軟正黑體"/>
        </w:rPr>
        <w:t xml:space="preserve">下表版本取自現行 </w:t>
      </w:r>
      <w:r>
        <w:rPr>
          <w:rFonts w:eastAsia="Consolas" w:cs="Consolas" w:ascii="Consolas" w:hAnsi="Consolas"/>
          <w:sz w:val="19"/>
          <w:szCs w:val="19"/>
        </w:rPr>
        <w:t>*.csproj</w:t>
      </w:r>
      <w:r>
        <w:rPr>
          <w:rFonts w:eastAsia="微軟正黑體"/>
        </w:rPr>
        <w:t>；「建議」欄為部署相關項目，非由程式碼決定。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1891"/>
        <w:gridCol w:w="3909"/>
        <w:gridCol w:w="3838"/>
      </w:tblGrid>
      <w:tr>
        <w:trPr>
          <w:tblHeader w:val="true"/>
        </w:trPr>
        <w:tc>
          <w:tcPr>
            <w:tcW w:w="1891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分類</w:t>
            </w:r>
          </w:p>
        </w:tc>
        <w:tc>
          <w:tcPr>
            <w:tcW w:w="3909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項目</w:t>
            </w:r>
          </w:p>
        </w:tc>
        <w:tc>
          <w:tcPr>
            <w:tcW w:w="38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版本／規格</w:t>
            </w:r>
          </w:p>
        </w:tc>
      </w:tr>
      <w:tr>
        <w:trPr>
          <w:cantSplit/>
        </w:trPr>
        <w:tc>
          <w:tcPr>
            <w:tcW w:w="1891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執行環境</w:t>
            </w:r>
          </w:p>
        </w:tc>
        <w:tc>
          <w:tcPr>
            <w:tcW w:w="3909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.NET 10 / C# 14</w:t>
            </w:r>
          </w:p>
        </w:tc>
        <w:tc>
          <w:tcPr>
            <w:tcW w:w="38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net10.0</w:t>
            </w:r>
          </w:p>
        </w:tc>
      </w:tr>
      <w:tr>
        <w:trPr>
          <w:cantSplit/>
        </w:trPr>
        <w:tc>
          <w:tcPr>
            <w:tcW w:w="1891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作業系統（</w:t>
            </w:r>
            <w:r>
              <w:rPr>
                <w:rFonts w:eastAsia="微軟正黑體"/>
                <w:sz w:val="19"/>
                <w:szCs w:val="19"/>
              </w:rPr>
              <w:t>Server</w:t>
            </w:r>
            <w:r>
              <w:rPr>
                <w:rFonts w:eastAsia="微軟正黑體"/>
                <w:sz w:val="19"/>
                <w:szCs w:val="19"/>
              </w:rPr>
              <w:t>）</w:t>
            </w:r>
          </w:p>
        </w:tc>
        <w:tc>
          <w:tcPr>
            <w:tcW w:w="3909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Windows Server 2022</w:t>
            </w:r>
            <w:r>
              <w:rPr>
                <w:rFonts w:eastAsia="微軟正黑體"/>
                <w:sz w:val="19"/>
                <w:szCs w:val="19"/>
              </w:rPr>
              <w:t>（</w:t>
            </w:r>
            <w:r>
              <w:rPr>
                <w:rFonts w:eastAsia="微軟正黑體"/>
                <w:sz w:val="19"/>
                <w:szCs w:val="19"/>
              </w:rPr>
              <w:t>IIS 10</w:t>
            </w:r>
            <w:r>
              <w:rPr>
                <w:rFonts w:eastAsia="微軟正黑體"/>
                <w:sz w:val="19"/>
                <w:szCs w:val="19"/>
              </w:rPr>
              <w:t>）為主；</w:t>
            </w:r>
            <w:r>
              <w:rPr>
                <w:rFonts w:eastAsia="微軟正黑體"/>
                <w:sz w:val="19"/>
                <w:szCs w:val="19"/>
              </w:rPr>
              <w:t xml:space="preserve">Linux </w:t>
            </w:r>
            <w:r>
              <w:rPr>
                <w:rFonts w:eastAsia="微軟正黑體"/>
                <w:sz w:val="19"/>
                <w:szCs w:val="19"/>
              </w:rPr>
              <w:t>容器為可選</w:t>
            </w:r>
          </w:p>
        </w:tc>
        <w:tc>
          <w:tcPr>
            <w:tcW w:w="38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建議；</w:t>
            </w:r>
            <w:r>
              <w:rPr>
                <w:rFonts w:eastAsia="微軟正黑體"/>
                <w:sz w:val="19"/>
                <w:szCs w:val="19"/>
              </w:rPr>
              <w:t xml:space="preserve">IIS </w:t>
            </w:r>
            <w:r>
              <w:rPr>
                <w:rFonts w:eastAsia="微軟正黑體"/>
                <w:sz w:val="19"/>
                <w:szCs w:val="19"/>
              </w:rPr>
              <w:t xml:space="preserve">啟動時由 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IisEnvironmentConfigurator</w:t>
            </w:r>
            <w:r>
              <w:rPr>
                <w:rFonts w:eastAsia="微軟正黑體"/>
                <w:sz w:val="19"/>
                <w:szCs w:val="19"/>
              </w:rPr>
              <w:t xml:space="preserve"> </w:t>
            </w:r>
            <w:r>
              <w:rPr>
                <w:rFonts w:eastAsia="微軟正黑體"/>
                <w:sz w:val="19"/>
                <w:szCs w:val="19"/>
              </w:rPr>
              <w:t>設定應用程式集區參數</w:t>
            </w:r>
          </w:p>
        </w:tc>
      </w:tr>
      <w:tr>
        <w:trPr>
          <w:cantSplit/>
        </w:trPr>
        <w:tc>
          <w:tcPr>
            <w:tcW w:w="1891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資料庫</w:t>
            </w:r>
          </w:p>
        </w:tc>
        <w:tc>
          <w:tcPr>
            <w:tcW w:w="3909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SQL Server 2022 </w:t>
            </w:r>
            <w:r>
              <w:rPr>
                <w:rFonts w:eastAsia="微軟正黑體"/>
                <w:sz w:val="19"/>
                <w:szCs w:val="19"/>
              </w:rPr>
              <w:t>以上／</w:t>
            </w:r>
            <w:r>
              <w:rPr>
                <w:rFonts w:eastAsia="微軟正黑體"/>
                <w:sz w:val="19"/>
                <w:szCs w:val="19"/>
              </w:rPr>
              <w:t>Azure SQL</w:t>
            </w:r>
          </w:p>
        </w:tc>
        <w:tc>
          <w:tcPr>
            <w:tcW w:w="38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需支援 </w:t>
            </w:r>
            <w:r>
              <w:rPr>
                <w:rFonts w:eastAsia="微軟正黑體"/>
                <w:sz w:val="19"/>
                <w:szCs w:val="19"/>
              </w:rPr>
              <w:t xml:space="preserve">Ledger </w:t>
            </w:r>
            <w:r>
              <w:rPr>
                <w:rFonts w:eastAsia="微軟正黑體"/>
                <w:sz w:val="19"/>
                <w:szCs w:val="19"/>
              </w:rPr>
              <w:t xml:space="preserve">資料表與 </w:t>
            </w:r>
            <w:r>
              <w:rPr>
                <w:rFonts w:eastAsia="微軟正黑體"/>
                <w:sz w:val="19"/>
                <w:szCs w:val="19"/>
              </w:rPr>
              <w:t>HierarchyId</w:t>
            </w:r>
          </w:p>
        </w:tc>
      </w:tr>
      <w:tr>
        <w:trPr>
          <w:cantSplit/>
        </w:trPr>
        <w:tc>
          <w:tcPr>
            <w:tcW w:w="1891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ORM</w:t>
            </w:r>
          </w:p>
        </w:tc>
        <w:tc>
          <w:tcPr>
            <w:tcW w:w="3909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EF Core + SqlServer + HierarchyId</w:t>
              <w:br/>
            </w:r>
            <w:r>
              <w:rPr>
                <w:rStyle w:val="Strong"/>
                <w:rFonts w:eastAsia="微軟正黑體"/>
                <w:sz w:val="19"/>
                <w:szCs w:val="19"/>
              </w:rPr>
              <w:t xml:space="preserve"> + SqlBulkCopy</w:t>
            </w:r>
            <w:r>
              <w:rPr>
                <w:rFonts w:eastAsia="微軟正黑體"/>
                <w:sz w:val="19"/>
                <w:szCs w:val="19"/>
              </w:rPr>
              <w:t xml:space="preserve"> </w:t>
            </w:r>
          </w:p>
        </w:tc>
        <w:tc>
          <w:tcPr>
            <w:tcW w:w="38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10.0.12</w:t>
            </w:r>
          </w:p>
        </w:tc>
      </w:tr>
      <w:tr>
        <w:trPr>
          <w:cantSplit/>
        </w:trPr>
        <w:tc>
          <w:tcPr>
            <w:tcW w:w="1891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身分驗證</w:t>
            </w:r>
          </w:p>
        </w:tc>
        <w:tc>
          <w:tcPr>
            <w:tcW w:w="3909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JwtBearer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Identity EF Core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Authentication.Negotiate</w:t>
            </w:r>
          </w:p>
        </w:tc>
        <w:tc>
          <w:tcPr>
            <w:tcW w:w="38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10.0.12</w:t>
            </w:r>
            <w:r>
              <w:rPr>
                <w:rFonts w:eastAsia="微軟正黑體"/>
                <w:sz w:val="19"/>
                <w:szCs w:val="19"/>
              </w:rPr>
              <w:t>／</w:t>
            </w:r>
            <w:r>
              <w:rPr>
                <w:rFonts w:eastAsia="微軟正黑體"/>
                <w:sz w:val="19"/>
                <w:szCs w:val="19"/>
              </w:rPr>
              <w:t>10.0.12</w:t>
            </w:r>
            <w:r>
              <w:rPr>
                <w:rFonts w:eastAsia="微軟正黑體"/>
                <w:sz w:val="19"/>
                <w:szCs w:val="19"/>
              </w:rPr>
              <w:t>／</w:t>
            </w:r>
            <w:r>
              <w:rPr>
                <w:rFonts w:eastAsia="微軟正黑體"/>
                <w:sz w:val="19"/>
                <w:szCs w:val="19"/>
              </w:rPr>
              <w:t>10.0.13</w:t>
            </w:r>
          </w:p>
        </w:tc>
      </w:tr>
      <w:tr>
        <w:trPr>
          <w:cantSplit/>
        </w:trPr>
        <w:tc>
          <w:tcPr>
            <w:tcW w:w="1891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即時通訊</w:t>
            </w:r>
          </w:p>
        </w:tc>
        <w:tc>
          <w:tcPr>
            <w:tcW w:w="3909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ASP.NET Core SignalR</w:t>
            </w:r>
            <w:r>
              <w:rPr>
                <w:rFonts w:eastAsia="微軟正黑體"/>
                <w:sz w:val="19"/>
                <w:szCs w:val="19"/>
              </w:rPr>
              <w:t>（</w:t>
            </w:r>
            <w:r>
              <w:rPr>
                <w:rFonts w:eastAsia="微軟正黑體"/>
                <w:sz w:val="19"/>
                <w:szCs w:val="19"/>
              </w:rPr>
              <w:t>Server</w:t>
            </w:r>
            <w:r>
              <w:rPr>
                <w:rFonts w:eastAsia="微軟正黑體"/>
                <w:sz w:val="19"/>
                <w:szCs w:val="19"/>
              </w:rPr>
              <w:t>）、</w:t>
            </w:r>
            <w:r>
              <w:rPr>
                <w:rFonts w:eastAsia="微軟正黑體"/>
                <w:sz w:val="19"/>
                <w:szCs w:val="19"/>
              </w:rPr>
              <w:t>SignalR.Client</w:t>
            </w:r>
          </w:p>
        </w:tc>
        <w:tc>
          <w:tcPr>
            <w:tcW w:w="38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Client 10.0.13</w:t>
            </w:r>
          </w:p>
        </w:tc>
      </w:tr>
      <w:tr>
        <w:trPr>
          <w:cantSplit/>
        </w:trPr>
        <w:tc>
          <w:tcPr>
            <w:tcW w:w="1891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CQRS</w:t>
            </w:r>
            <w:r>
              <w:rPr>
                <w:rFonts w:eastAsia="微軟正黑體"/>
                <w:sz w:val="19"/>
                <w:szCs w:val="19"/>
              </w:rPr>
              <w:t>／驗證</w:t>
            </w:r>
          </w:p>
        </w:tc>
        <w:tc>
          <w:tcPr>
            <w:tcW w:w="3909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MediatR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FluentValidation</w:t>
            </w:r>
          </w:p>
        </w:tc>
        <w:tc>
          <w:tcPr>
            <w:tcW w:w="38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12.0.1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12.1.1</w:t>
            </w:r>
          </w:p>
        </w:tc>
      </w:tr>
      <w:tr>
        <w:trPr>
          <w:cantSplit/>
        </w:trPr>
        <w:tc>
          <w:tcPr>
            <w:tcW w:w="1891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快取</w:t>
            </w:r>
          </w:p>
        </w:tc>
        <w:tc>
          <w:tcPr>
            <w:tcW w:w="3909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ZiggyCreatures.FusionCache</w:t>
            </w:r>
          </w:p>
        </w:tc>
        <w:tc>
          <w:tcPr>
            <w:tcW w:w="38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2.9.0</w:t>
            </w:r>
            <w:r>
              <w:rPr>
                <w:rFonts w:eastAsia="微軟正黑體"/>
                <w:sz w:val="19"/>
                <w:szCs w:val="19"/>
              </w:rPr>
              <w:t>（記憶體；</w:t>
            </w:r>
            <w:r>
              <w:rPr>
                <w:rFonts w:eastAsia="微軟正黑體"/>
                <w:sz w:val="19"/>
                <w:szCs w:val="19"/>
              </w:rPr>
              <w:t xml:space="preserve">Redis </w:t>
            </w:r>
            <w:r>
              <w:rPr>
                <w:rFonts w:eastAsia="微軟正黑體"/>
                <w:sz w:val="19"/>
                <w:szCs w:val="19"/>
              </w:rPr>
              <w:t>為可選，現行組態未啟用）</w:t>
            </w:r>
          </w:p>
        </w:tc>
      </w:tr>
      <w:tr>
        <w:trPr>
          <w:cantSplit/>
        </w:trPr>
        <w:tc>
          <w:tcPr>
            <w:tcW w:w="1891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韌性</w:t>
            </w:r>
          </w:p>
        </w:tc>
        <w:tc>
          <w:tcPr>
            <w:tcW w:w="3909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Polly</w:t>
            </w:r>
          </w:p>
        </w:tc>
        <w:tc>
          <w:tcPr>
            <w:tcW w:w="38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8.8.0</w:t>
            </w:r>
          </w:p>
        </w:tc>
      </w:tr>
      <w:tr>
        <w:trPr>
          <w:cantSplit/>
        </w:trPr>
        <w:tc>
          <w:tcPr>
            <w:tcW w:w="1891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日誌</w:t>
            </w:r>
          </w:p>
        </w:tc>
        <w:tc>
          <w:tcPr>
            <w:tcW w:w="3909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Serilog</w:t>
            </w:r>
            <w:r>
              <w:rPr>
                <w:rFonts w:eastAsia="微軟正黑體"/>
                <w:sz w:val="19"/>
                <w:szCs w:val="19"/>
              </w:rPr>
              <w:t>（</w:t>
            </w:r>
            <w:r>
              <w:rPr>
                <w:rFonts w:eastAsia="微軟正黑體"/>
                <w:sz w:val="19"/>
                <w:szCs w:val="19"/>
              </w:rPr>
              <w:t>Console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MSSqlServer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Async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Enrichers.Sensitive</w:t>
            </w:r>
            <w:r>
              <w:rPr>
                <w:rFonts w:eastAsia="微軟正黑體"/>
                <w:sz w:val="19"/>
                <w:szCs w:val="19"/>
              </w:rPr>
              <w:t>）</w:t>
            </w:r>
          </w:p>
        </w:tc>
        <w:tc>
          <w:tcPr>
            <w:tcW w:w="38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4.4.0 / Sinks 6.1.1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10.0.0</w:t>
            </w:r>
          </w:p>
        </w:tc>
      </w:tr>
      <w:tr>
        <w:trPr>
          <w:cantSplit/>
        </w:trPr>
        <w:tc>
          <w:tcPr>
            <w:tcW w:w="1891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報表</w:t>
            </w:r>
          </w:p>
        </w:tc>
        <w:tc>
          <w:tcPr>
            <w:tcW w:w="3909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QuestPDF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MiniExcel</w:t>
            </w:r>
          </w:p>
        </w:tc>
        <w:tc>
          <w:tcPr>
            <w:tcW w:w="38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2022.12.15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1.46.0</w:t>
            </w:r>
          </w:p>
        </w:tc>
      </w:tr>
      <w:tr>
        <w:trPr>
          <w:cantSplit/>
        </w:trPr>
        <w:tc>
          <w:tcPr>
            <w:tcW w:w="1891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API </w:t>
            </w:r>
            <w:r>
              <w:rPr>
                <w:rFonts w:eastAsia="微軟正黑體"/>
                <w:sz w:val="19"/>
                <w:szCs w:val="19"/>
              </w:rPr>
              <w:t>文件</w:t>
            </w:r>
          </w:p>
        </w:tc>
        <w:tc>
          <w:tcPr>
            <w:tcW w:w="3909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Microsoft.AspNetCore.OpenApi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Scalar.AspNetCore</w:t>
            </w:r>
          </w:p>
        </w:tc>
        <w:tc>
          <w:tcPr>
            <w:tcW w:w="38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10.0.12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2.18.0</w:t>
            </w:r>
          </w:p>
        </w:tc>
      </w:tr>
      <w:tr>
        <w:trPr>
          <w:cantSplit/>
        </w:trPr>
        <w:tc>
          <w:tcPr>
            <w:tcW w:w="1891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</w:rPr>
              <w:t>前端</w:t>
            </w:r>
          </w:p>
        </w:tc>
        <w:tc>
          <w:tcPr>
            <w:tcW w:w="3909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Vue 3 (JavaScript)</w:t>
            </w:r>
            <w:r>
              <w:rPr>
                <w:rFonts w:eastAsia="微軟正黑體"/>
                <w:sz w:val="19"/>
                <w:szCs w:val="19"/>
              </w:rPr>
              <w:t>；</w:t>
            </w:r>
            <w:r>
              <w:rPr>
                <w:rFonts w:eastAsia="微軟正黑體"/>
                <w:sz w:val="19"/>
                <w:szCs w:val="19"/>
              </w:rPr>
              <w:t>Vue Router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Pinia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Vite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Axios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Naive UI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ECharts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TinyMCE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@microsoft/signalr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Font Awesome</w:t>
            </w:r>
          </w:p>
        </w:tc>
        <w:tc>
          <w:tcPr>
            <w:tcW w:w="38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>
                <w:rFonts w:eastAsia="微軟正黑體"/>
                <w:sz w:val="19"/>
                <w:szCs w:val="19"/>
              </w:rPr>
            </w:pPr>
            <w:r>
              <w:rPr>
                <w:rFonts w:eastAsia="微軟正黑體"/>
                <w:sz w:val="19"/>
                <w:szCs w:val="19"/>
              </w:rPr>
              <w:t>Vue 3.5.13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Vue Router 4.5.0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Pinia 2.3.0</w:t>
            </w:r>
            <w:r>
              <w:rPr>
                <w:rFonts w:eastAsia="微軟正黑體"/>
                <w:sz w:val="19"/>
                <w:szCs w:val="19"/>
              </w:rPr>
              <w:t xml:space="preserve">；其餘套件版本以前端 </w:t>
            </w:r>
            <w:r>
              <w:rPr>
                <w:rFonts w:eastAsia="微軟正黑體"/>
                <w:sz w:val="19"/>
                <w:szCs w:val="19"/>
              </w:rPr>
              <w:t xml:space="preserve">package.json </w:t>
            </w:r>
            <w:r>
              <w:rPr>
                <w:rFonts w:eastAsia="微軟正黑體"/>
                <w:sz w:val="19"/>
                <w:szCs w:val="19"/>
              </w:rPr>
              <w:t>為準（待補）</w:t>
            </w:r>
          </w:p>
        </w:tc>
      </w:tr>
      <w:tr>
        <w:trPr>
          <w:cantSplit/>
        </w:trPr>
        <w:tc>
          <w:tcPr>
            <w:tcW w:w="1891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數位簽章驗證</w:t>
            </w:r>
          </w:p>
        </w:tc>
        <w:tc>
          <w:tcPr>
            <w:tcW w:w="3909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Windows 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WinVerifyTrust</w:t>
            </w:r>
            <w:r>
              <w:rPr>
                <w:rFonts w:eastAsia="微軟正黑體"/>
                <w:sz w:val="19"/>
                <w:szCs w:val="19"/>
              </w:rPr>
              <w:t>（</w:t>
            </w:r>
            <w:r>
              <w:rPr>
                <w:rFonts w:eastAsia="微軟正黑體"/>
                <w:sz w:val="19"/>
                <w:szCs w:val="19"/>
              </w:rPr>
              <w:t>CodeSecurity</w:t>
            </w:r>
            <w:r>
              <w:rPr>
                <w:rFonts w:eastAsia="微軟正黑體"/>
                <w:sz w:val="19"/>
                <w:szCs w:val="19"/>
              </w:rPr>
              <w:t>）</w:t>
            </w:r>
          </w:p>
        </w:tc>
        <w:tc>
          <w:tcPr>
            <w:tcW w:w="38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僅 </w:t>
            </w:r>
            <w:r>
              <w:rPr>
                <w:rFonts w:eastAsia="微軟正黑體"/>
                <w:sz w:val="19"/>
                <w:szCs w:val="19"/>
              </w:rPr>
              <w:t xml:space="preserve">Windows </w:t>
            </w:r>
            <w:r>
              <w:rPr>
                <w:rFonts w:eastAsia="微軟正黑體"/>
                <w:sz w:val="19"/>
                <w:szCs w:val="19"/>
              </w:rPr>
              <w:t>提供者</w:t>
            </w:r>
          </w:p>
        </w:tc>
      </w:tr>
      <w:tr>
        <w:trPr>
          <w:cantSplit/>
        </w:trPr>
        <w:tc>
          <w:tcPr>
            <w:tcW w:w="1891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資料加密</w:t>
            </w:r>
          </w:p>
        </w:tc>
        <w:tc>
          <w:tcPr>
            <w:tcW w:w="3909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ASP.NET Core Data Protection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AES-256-GCM</w:t>
            </w:r>
          </w:p>
        </w:tc>
        <w:tc>
          <w:tcPr>
            <w:tcW w:w="38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金鑰環可存 </w:t>
            </w:r>
            <w:r>
              <w:rPr>
                <w:rFonts w:eastAsia="微軟正黑體"/>
                <w:sz w:val="19"/>
                <w:szCs w:val="19"/>
              </w:rPr>
              <w:t>SQL Server</w:t>
            </w:r>
            <w:r>
              <w:rPr>
                <w:rFonts w:eastAsia="微軟正黑體"/>
                <w:sz w:val="19"/>
                <w:szCs w:val="19"/>
              </w:rPr>
              <w:t>／</w:t>
            </w:r>
            <w:r>
              <w:rPr>
                <w:rFonts w:eastAsia="微軟正黑體"/>
                <w:sz w:val="19"/>
                <w:szCs w:val="19"/>
              </w:rPr>
              <w:t>Redis</w:t>
            </w:r>
            <w:r>
              <w:rPr>
                <w:rFonts w:eastAsia="微軟正黑體"/>
                <w:sz w:val="19"/>
                <w:szCs w:val="19"/>
              </w:rPr>
              <w:t xml:space="preserve">，主金鑰由 </w:t>
            </w:r>
            <w:r>
              <w:rPr>
                <w:rFonts w:eastAsia="微軟正黑體"/>
                <w:sz w:val="19"/>
                <w:szCs w:val="19"/>
              </w:rPr>
              <w:t xml:space="preserve">X.509 </w:t>
            </w:r>
            <w:r>
              <w:rPr>
                <w:rFonts w:eastAsia="微軟正黑體"/>
                <w:sz w:val="19"/>
                <w:szCs w:val="19"/>
              </w:rPr>
              <w:t xml:space="preserve">或 </w:t>
            </w:r>
            <w:r>
              <w:rPr>
                <w:rFonts w:eastAsia="微軟正黑體"/>
                <w:sz w:val="19"/>
                <w:szCs w:val="19"/>
              </w:rPr>
              <w:t xml:space="preserve">Key Vault </w:t>
            </w:r>
            <w:r>
              <w:rPr>
                <w:rFonts w:eastAsia="微軟正黑體"/>
                <w:sz w:val="19"/>
                <w:szCs w:val="19"/>
              </w:rPr>
              <w:t>保護</w:t>
            </w:r>
          </w:p>
        </w:tc>
      </w:tr>
    </w:tbl>
    <w:p>
      <w:pPr>
        <w:pStyle w:val="Normal"/>
        <w:keepNext w:val="true"/>
        <w:spacing w:lineRule="auto" w:line="300" w:before="160" w:after="80"/>
        <w:rPr/>
      </w:pPr>
      <w:r>
        <w:rPr>
          <w:rFonts w:eastAsia="微軟正黑體"/>
          <w:b/>
          <w:bCs/>
        </w:rPr>
        <w:t>第三方套件授權模式：</w:t>
      </w:r>
      <w:r>
        <w:rPr>
          <w:rFonts w:eastAsia="微軟正黑體"/>
        </w:rPr>
        <w:t xml:space="preserve">後端取自各 </w:t>
      </w:r>
      <w:r>
        <w:rPr>
          <w:rFonts w:eastAsia="微軟正黑體"/>
        </w:rPr>
        <w:t xml:space="preserve">NuGet </w:t>
      </w:r>
      <w:r>
        <w:rPr>
          <w:rFonts w:eastAsia="微軟正黑體"/>
        </w:rPr>
        <w:t xml:space="preserve">套件之授權宣告；前端依套件官方標示，尚未逐一驗證，版本以 </w:t>
      </w:r>
      <w:r>
        <w:rPr>
          <w:rFonts w:eastAsia="微軟正黑體"/>
        </w:rPr>
        <w:t xml:space="preserve">package.json </w:t>
      </w:r>
      <w:r>
        <w:rPr>
          <w:rFonts w:eastAsia="微軟正黑體"/>
        </w:rPr>
        <w:t>為準。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2697"/>
        <w:gridCol w:w="1503"/>
        <w:gridCol w:w="5438"/>
      </w:tblGrid>
      <w:tr>
        <w:trPr>
          <w:tblHeader w:val="true"/>
        </w:trPr>
        <w:tc>
          <w:tcPr>
            <w:tcW w:w="2697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套件</w:t>
            </w:r>
          </w:p>
        </w:tc>
        <w:tc>
          <w:tcPr>
            <w:tcW w:w="150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版本</w:t>
            </w:r>
          </w:p>
        </w:tc>
        <w:tc>
          <w:tcPr>
            <w:tcW w:w="54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授權模式</w:t>
            </w:r>
          </w:p>
        </w:tc>
      </w:tr>
      <w:tr>
        <w:trPr>
          <w:cantSplit/>
        </w:trPr>
        <w:tc>
          <w:tcPr>
            <w:tcW w:w="2697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.NET</w:t>
            </w:r>
            <w:r>
              <w:rPr>
                <w:rFonts w:eastAsia="微軟正黑體"/>
                <w:sz w:val="19"/>
                <w:szCs w:val="19"/>
              </w:rPr>
              <w:t>／</w:t>
            </w:r>
            <w:r>
              <w:rPr>
                <w:rFonts w:eastAsia="微軟正黑體"/>
                <w:sz w:val="19"/>
                <w:szCs w:val="19"/>
              </w:rPr>
              <w:t>ASP.NET Core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EF Core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SignalR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JwtBearer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Negotiate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OpenAPI</w:t>
            </w:r>
          </w:p>
        </w:tc>
        <w:tc>
          <w:tcPr>
            <w:tcW w:w="150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10.0.x</w:t>
            </w:r>
          </w:p>
        </w:tc>
        <w:tc>
          <w:tcPr>
            <w:tcW w:w="54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MIT</w:t>
            </w:r>
          </w:p>
        </w:tc>
      </w:tr>
      <w:tr>
        <w:trPr>
          <w:cantSplit/>
        </w:trPr>
        <w:tc>
          <w:tcPr>
            <w:tcW w:w="2697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>
                <w:rFonts w:eastAsia="微軟正黑體"/>
                <w:sz w:val="19"/>
                <w:szCs w:val="19"/>
              </w:rPr>
            </w:pPr>
            <w:r>
              <w:rPr>
                <w:rFonts w:eastAsia="微軟正黑體"/>
                <w:sz w:val="19"/>
                <w:szCs w:val="19"/>
              </w:rPr>
            </w:r>
          </w:p>
        </w:tc>
        <w:tc>
          <w:tcPr>
            <w:tcW w:w="150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>
                <w:rFonts w:eastAsia="微軟正黑體"/>
                <w:sz w:val="19"/>
                <w:szCs w:val="19"/>
              </w:rPr>
            </w:pPr>
            <w:r>
              <w:rPr>
                <w:rFonts w:eastAsia="微軟正黑體"/>
                <w:sz w:val="19"/>
                <w:szCs w:val="19"/>
              </w:rPr>
            </w:r>
          </w:p>
        </w:tc>
        <w:tc>
          <w:tcPr>
            <w:tcW w:w="54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>
                <w:rFonts w:eastAsia="微軟正黑體"/>
                <w:sz w:val="19"/>
                <w:szCs w:val="19"/>
              </w:rPr>
            </w:pPr>
            <w:r>
              <w:rPr>
                <w:rFonts w:eastAsia="微軟正黑體"/>
                <w:sz w:val="19"/>
                <w:szCs w:val="19"/>
              </w:rPr>
            </w:r>
          </w:p>
        </w:tc>
      </w:tr>
      <w:tr>
        <w:trPr>
          <w:cantSplit/>
        </w:trPr>
        <w:tc>
          <w:tcPr>
            <w:tcW w:w="2697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MediatR</w:t>
            </w:r>
          </w:p>
        </w:tc>
        <w:tc>
          <w:tcPr>
            <w:tcW w:w="150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12.0.1</w:t>
            </w:r>
          </w:p>
        </w:tc>
        <w:tc>
          <w:tcPr>
            <w:tcW w:w="54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Apache-2.0</w:t>
            </w:r>
            <w:r>
              <w:rPr>
                <w:rFonts w:eastAsia="微軟正黑體"/>
                <w:sz w:val="19"/>
                <w:szCs w:val="19"/>
              </w:rPr>
              <w:t>；升級主版本前須先確認授權條款</w:t>
            </w:r>
          </w:p>
        </w:tc>
      </w:tr>
      <w:tr>
        <w:trPr>
          <w:cantSplit/>
        </w:trPr>
        <w:tc>
          <w:tcPr>
            <w:tcW w:w="2697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FluentValidation</w:t>
            </w:r>
          </w:p>
        </w:tc>
        <w:tc>
          <w:tcPr>
            <w:tcW w:w="150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12.1.1</w:t>
            </w:r>
          </w:p>
        </w:tc>
        <w:tc>
          <w:tcPr>
            <w:tcW w:w="54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Apache-2.0</w:t>
            </w:r>
          </w:p>
        </w:tc>
      </w:tr>
      <w:tr>
        <w:trPr>
          <w:cantSplit/>
        </w:trPr>
        <w:tc>
          <w:tcPr>
            <w:tcW w:w="2697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ZiggyCreatures.FusionCache</w:t>
            </w:r>
          </w:p>
        </w:tc>
        <w:tc>
          <w:tcPr>
            <w:tcW w:w="150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2.9.0</w:t>
            </w:r>
          </w:p>
        </w:tc>
        <w:tc>
          <w:tcPr>
            <w:tcW w:w="54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MIT</w:t>
            </w:r>
          </w:p>
        </w:tc>
      </w:tr>
      <w:tr>
        <w:trPr>
          <w:cantSplit/>
        </w:trPr>
        <w:tc>
          <w:tcPr>
            <w:tcW w:w="2697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Polly</w:t>
            </w:r>
          </w:p>
        </w:tc>
        <w:tc>
          <w:tcPr>
            <w:tcW w:w="150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8.8.0</w:t>
            </w:r>
          </w:p>
        </w:tc>
        <w:tc>
          <w:tcPr>
            <w:tcW w:w="54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BSD-3-Clause</w:t>
            </w:r>
          </w:p>
        </w:tc>
      </w:tr>
      <w:tr>
        <w:trPr>
          <w:cantSplit/>
        </w:trPr>
        <w:tc>
          <w:tcPr>
            <w:tcW w:w="2697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Serilog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Serilog.AspNetCore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Serilog.Sinks.MSSqlServer</w:t>
            </w:r>
          </w:p>
        </w:tc>
        <w:tc>
          <w:tcPr>
            <w:tcW w:w="150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4.4.0</w:t>
            </w:r>
            <w:r>
              <w:rPr>
                <w:rFonts w:eastAsia="微軟正黑體"/>
                <w:sz w:val="19"/>
                <w:szCs w:val="19"/>
              </w:rPr>
              <w:t>／</w:t>
            </w:r>
            <w:r>
              <w:rPr>
                <w:rFonts w:eastAsia="微軟正黑體"/>
                <w:sz w:val="19"/>
                <w:szCs w:val="19"/>
              </w:rPr>
              <w:t>10.0.0</w:t>
            </w:r>
          </w:p>
        </w:tc>
        <w:tc>
          <w:tcPr>
            <w:tcW w:w="54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Apache-2.0</w:t>
            </w:r>
          </w:p>
        </w:tc>
      </w:tr>
      <w:tr>
        <w:trPr>
          <w:cantSplit/>
        </w:trPr>
        <w:tc>
          <w:tcPr>
            <w:tcW w:w="2697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Serilog.Enrichers.Sensitive</w:t>
            </w:r>
          </w:p>
        </w:tc>
        <w:tc>
          <w:tcPr>
            <w:tcW w:w="150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2.1.0</w:t>
            </w:r>
          </w:p>
        </w:tc>
        <w:tc>
          <w:tcPr>
            <w:tcW w:w="54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MIT</w:t>
            </w:r>
          </w:p>
        </w:tc>
      </w:tr>
      <w:tr>
        <w:trPr>
          <w:cantSplit/>
        </w:trPr>
        <w:tc>
          <w:tcPr>
            <w:tcW w:w="2697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QuestPDF</w:t>
            </w:r>
          </w:p>
        </w:tc>
        <w:tc>
          <w:tcPr>
            <w:tcW w:w="150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2022.12.15</w:t>
            </w:r>
          </w:p>
        </w:tc>
        <w:tc>
          <w:tcPr>
            <w:tcW w:w="54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MIT</w:t>
            </w:r>
            <w:r>
              <w:rPr>
                <w:rFonts w:eastAsia="微軟正黑體"/>
                <w:sz w:val="19"/>
                <w:szCs w:val="19"/>
              </w:rPr>
              <w:t>（現用版本）；較新版本改採分級授權（</w:t>
            </w:r>
            <w:r>
              <w:rPr>
                <w:rFonts w:eastAsia="微軟正黑體"/>
                <w:sz w:val="19"/>
                <w:szCs w:val="19"/>
              </w:rPr>
              <w:t>Community</w:t>
            </w:r>
            <w:r>
              <w:rPr>
                <w:rFonts w:eastAsia="微軟正黑體"/>
                <w:sz w:val="19"/>
                <w:szCs w:val="19"/>
              </w:rPr>
              <w:t>／</w:t>
            </w:r>
            <w:r>
              <w:rPr>
                <w:rFonts w:eastAsia="微軟正黑體"/>
                <w:sz w:val="19"/>
                <w:szCs w:val="19"/>
              </w:rPr>
              <w:t>Professional</w:t>
            </w:r>
            <w:r>
              <w:rPr>
                <w:rFonts w:eastAsia="微軟正黑體"/>
                <w:sz w:val="19"/>
                <w:szCs w:val="19"/>
              </w:rPr>
              <w:t>／</w:t>
            </w:r>
            <w:r>
              <w:rPr>
                <w:rFonts w:eastAsia="微軟正黑體"/>
                <w:sz w:val="19"/>
                <w:szCs w:val="19"/>
              </w:rPr>
              <w:t>Enterprise</w:t>
            </w:r>
            <w:r>
              <w:rPr>
                <w:rFonts w:eastAsia="微軟正黑體"/>
                <w:sz w:val="19"/>
                <w:szCs w:val="19"/>
              </w:rPr>
              <w:t>），升級前須確認</w:t>
            </w:r>
          </w:p>
        </w:tc>
      </w:tr>
      <w:tr>
        <w:trPr>
          <w:cantSplit/>
        </w:trPr>
        <w:tc>
          <w:tcPr>
            <w:tcW w:w="2697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MiniExcel</w:t>
            </w:r>
          </w:p>
        </w:tc>
        <w:tc>
          <w:tcPr>
            <w:tcW w:w="150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1.46.0</w:t>
            </w:r>
          </w:p>
        </w:tc>
        <w:tc>
          <w:tcPr>
            <w:tcW w:w="54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Apache-2.0</w:t>
            </w:r>
          </w:p>
        </w:tc>
      </w:tr>
      <w:tr>
        <w:trPr>
          <w:cantSplit/>
        </w:trPr>
        <w:tc>
          <w:tcPr>
            <w:tcW w:w="2697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Newtonsoft.Json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Scalar.AspNetCore</w:t>
            </w:r>
          </w:p>
        </w:tc>
        <w:tc>
          <w:tcPr>
            <w:tcW w:w="150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13.0.4</w:t>
            </w:r>
            <w:r>
              <w:rPr>
                <w:rFonts w:eastAsia="微軟正黑體"/>
                <w:sz w:val="19"/>
                <w:szCs w:val="19"/>
              </w:rPr>
              <w:t>／</w:t>
            </w:r>
            <w:r>
              <w:rPr>
                <w:rFonts w:eastAsia="微軟正黑體"/>
                <w:sz w:val="19"/>
                <w:szCs w:val="19"/>
              </w:rPr>
              <w:t>2.18.0</w:t>
            </w:r>
          </w:p>
        </w:tc>
        <w:tc>
          <w:tcPr>
            <w:tcW w:w="54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MIT</w:t>
            </w:r>
          </w:p>
        </w:tc>
      </w:tr>
      <w:tr>
        <w:trPr>
          <w:cantSplit/>
        </w:trPr>
        <w:tc>
          <w:tcPr>
            <w:tcW w:w="2697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Bogus</w:t>
            </w:r>
            <w:r>
              <w:rPr>
                <w:rFonts w:eastAsia="微軟正黑體"/>
                <w:sz w:val="19"/>
                <w:szCs w:val="19"/>
              </w:rPr>
              <w:t>（測試資料產生）</w:t>
            </w:r>
          </w:p>
        </w:tc>
        <w:tc>
          <w:tcPr>
            <w:tcW w:w="150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35.6.5</w:t>
            </w:r>
          </w:p>
        </w:tc>
        <w:tc>
          <w:tcPr>
            <w:tcW w:w="54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MIT</w:t>
            </w:r>
            <w:r>
              <w:rPr>
                <w:rFonts w:eastAsia="微軟正黑體"/>
                <w:sz w:val="19"/>
                <w:szCs w:val="19"/>
              </w:rPr>
              <w:t xml:space="preserve">；建議移出正式環境相依（見 </w:t>
            </w:r>
            <w:r>
              <w:rPr>
                <w:rFonts w:eastAsia="微軟正黑體"/>
                <w:sz w:val="19"/>
                <w:szCs w:val="19"/>
              </w:rPr>
              <w:t>2.6.2</w:t>
            </w:r>
            <w:r>
              <w:rPr>
                <w:rFonts w:eastAsia="微軟正黑體"/>
                <w:sz w:val="19"/>
                <w:szCs w:val="19"/>
              </w:rPr>
              <w:t>）</w:t>
            </w:r>
          </w:p>
        </w:tc>
      </w:tr>
      <w:tr>
        <w:trPr>
          <w:cantSplit/>
        </w:trPr>
        <w:tc>
          <w:tcPr>
            <w:tcW w:w="2697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前端：</w:t>
            </w:r>
            <w:r>
              <w:rPr>
                <w:rFonts w:eastAsia="微軟正黑體"/>
                <w:sz w:val="19"/>
                <w:szCs w:val="19"/>
              </w:rPr>
              <w:t>Vue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Vue Router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Pinia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Vite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Axios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Naive UI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@microsoft/signalr</w:t>
            </w:r>
          </w:p>
        </w:tc>
        <w:tc>
          <w:tcPr>
            <w:tcW w:w="150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見 </w:t>
            </w:r>
            <w:r>
              <w:rPr>
                <w:rFonts w:eastAsia="微軟正黑體"/>
                <w:sz w:val="19"/>
                <w:szCs w:val="19"/>
              </w:rPr>
              <w:t>2.4</w:t>
            </w:r>
          </w:p>
        </w:tc>
        <w:tc>
          <w:tcPr>
            <w:tcW w:w="54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MIT</w:t>
            </w:r>
            <w:r>
              <w:rPr>
                <w:rFonts w:eastAsia="微軟正黑體"/>
                <w:sz w:val="19"/>
                <w:szCs w:val="19"/>
              </w:rPr>
              <w:t>（依官方標示）</w:t>
            </w:r>
          </w:p>
        </w:tc>
      </w:tr>
      <w:tr>
        <w:trPr>
          <w:cantSplit/>
        </w:trPr>
        <w:tc>
          <w:tcPr>
            <w:tcW w:w="2697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前端：</w:t>
            </w:r>
            <w:r>
              <w:rPr>
                <w:rFonts w:eastAsia="微軟正黑體"/>
                <w:sz w:val="19"/>
                <w:szCs w:val="19"/>
              </w:rPr>
              <w:t>ECharts</w:t>
            </w:r>
          </w:p>
        </w:tc>
        <w:tc>
          <w:tcPr>
            <w:tcW w:w="150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待補</w:t>
            </w:r>
          </w:p>
        </w:tc>
        <w:tc>
          <w:tcPr>
            <w:tcW w:w="54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Apache-2.0</w:t>
            </w:r>
            <w:r>
              <w:rPr>
                <w:rFonts w:eastAsia="微軟正黑體"/>
                <w:sz w:val="19"/>
                <w:szCs w:val="19"/>
              </w:rPr>
              <w:t>（依官方標示）</w:t>
            </w:r>
          </w:p>
        </w:tc>
      </w:tr>
      <w:tr>
        <w:trPr>
          <w:cantSplit/>
        </w:trPr>
        <w:tc>
          <w:tcPr>
            <w:tcW w:w="2697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前端：</w:t>
            </w:r>
            <w:r>
              <w:rPr>
                <w:rFonts w:eastAsia="微軟正黑體"/>
                <w:sz w:val="19"/>
                <w:szCs w:val="19"/>
              </w:rPr>
              <w:t>Font Awesome Free</w:t>
            </w:r>
          </w:p>
        </w:tc>
        <w:tc>
          <w:tcPr>
            <w:tcW w:w="150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待補</w:t>
            </w:r>
          </w:p>
        </w:tc>
        <w:tc>
          <w:tcPr>
            <w:tcW w:w="54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圖示 </w:t>
            </w:r>
            <w:r>
              <w:rPr>
                <w:rFonts w:eastAsia="微軟正黑體"/>
                <w:sz w:val="19"/>
                <w:szCs w:val="19"/>
              </w:rPr>
              <w:t>CC BY 4.0</w:t>
            </w:r>
            <w:r>
              <w:rPr>
                <w:rFonts w:eastAsia="微軟正黑體"/>
                <w:sz w:val="19"/>
                <w:szCs w:val="19"/>
              </w:rPr>
              <w:t xml:space="preserve">、字型 </w:t>
            </w:r>
            <w:r>
              <w:rPr>
                <w:rFonts w:eastAsia="微軟正黑體"/>
                <w:sz w:val="19"/>
                <w:szCs w:val="19"/>
              </w:rPr>
              <w:t>SIL OFL 1.1</w:t>
            </w:r>
            <w:r>
              <w:rPr>
                <w:rFonts w:eastAsia="微軟正黑體"/>
                <w:sz w:val="19"/>
                <w:szCs w:val="19"/>
              </w:rPr>
              <w:t xml:space="preserve">、程式碼 </w:t>
            </w:r>
            <w:r>
              <w:rPr>
                <w:rFonts w:eastAsia="微軟正黑體"/>
                <w:sz w:val="19"/>
                <w:szCs w:val="19"/>
              </w:rPr>
              <w:t>MIT</w:t>
            </w:r>
            <w:r>
              <w:rPr>
                <w:rFonts w:eastAsia="微軟正黑體"/>
                <w:sz w:val="19"/>
                <w:szCs w:val="19"/>
              </w:rPr>
              <w:t>（依官方標示）</w:t>
            </w:r>
          </w:p>
        </w:tc>
      </w:tr>
      <w:tr>
        <w:trPr>
          <w:cantSplit/>
        </w:trPr>
        <w:tc>
          <w:tcPr>
            <w:tcW w:w="2697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前端：</w:t>
            </w:r>
            <w:r>
              <w:rPr>
                <w:rFonts w:eastAsia="微軟正黑體"/>
                <w:sz w:val="19"/>
                <w:szCs w:val="19"/>
              </w:rPr>
              <w:t>TinyMCE</w:t>
            </w:r>
          </w:p>
        </w:tc>
        <w:tc>
          <w:tcPr>
            <w:tcW w:w="150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待補</w:t>
            </w:r>
          </w:p>
        </w:tc>
        <w:tc>
          <w:tcPr>
            <w:tcW w:w="54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依版本與方案而異（</w:t>
            </w:r>
            <w:r>
              <w:rPr>
                <w:rFonts w:eastAsia="微軟正黑體"/>
                <w:sz w:val="19"/>
                <w:szCs w:val="19"/>
              </w:rPr>
              <w:t xml:space="preserve">GPL-2.0-or-later </w:t>
            </w:r>
            <w:r>
              <w:rPr>
                <w:rFonts w:eastAsia="微軟正黑體"/>
                <w:sz w:val="19"/>
                <w:szCs w:val="19"/>
              </w:rPr>
              <w:t xml:space="preserve">或商業授權；雲端版須 </w:t>
            </w:r>
            <w:r>
              <w:rPr>
                <w:rFonts w:eastAsia="微軟正黑體"/>
                <w:sz w:val="19"/>
                <w:szCs w:val="19"/>
              </w:rPr>
              <w:t>API Key</w:t>
            </w:r>
            <w:r>
              <w:rPr>
                <w:rFonts w:eastAsia="微軟正黑體"/>
                <w:sz w:val="19"/>
                <w:szCs w:val="19"/>
              </w:rPr>
              <w:t>），須確認使用版本與方案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34" w:name="__RefHeading___Toc3304_1895412299"/>
      <w:bookmarkStart w:id="35" w:name="_Toc243493461"/>
      <w:bookmarkEnd w:id="34"/>
      <w:r>
        <w:rPr/>
        <w:t xml:space="preserve">2.5 </w:t>
      </w:r>
      <w:r>
        <w:rPr/>
        <w:t>系統軟體環境需求</w:t>
      </w:r>
      <w:bookmarkEnd w:id="35"/>
    </w:p>
    <w:p>
      <w:pPr>
        <w:pStyle w:val="Heading3"/>
        <w:rPr/>
      </w:pPr>
      <w:bookmarkStart w:id="36" w:name="__RefHeading___Toc3306_1895412299"/>
      <w:bookmarkStart w:id="37" w:name="_Toc243493462"/>
      <w:bookmarkEnd w:id="36"/>
      <w:r>
        <w:rPr/>
        <w:t xml:space="preserve">2.5.1 </w:t>
      </w:r>
      <w:r>
        <w:rPr/>
        <w:t>開發環境（</w:t>
      </w:r>
      <w:r>
        <w:rPr/>
        <w:t>DEV</w:t>
      </w:r>
      <w:r>
        <w:rPr/>
        <w:t>）</w:t>
      </w:r>
      <w:bookmarkEnd w:id="37"/>
    </w:p>
    <w:p>
      <w:pPr>
        <w:pStyle w:val="ListParagraph"/>
        <w:numPr>
          <w:ilvl w:val="0"/>
          <w:numId w:val="3"/>
        </w:numPr>
        <w:spacing w:lineRule="auto" w:line="290" w:before="0" w:after="60"/>
        <w:rPr/>
      </w:pPr>
      <w:r>
        <w:rPr>
          <w:rFonts w:eastAsia="微軟正黑體"/>
        </w:rPr>
        <w:t xml:space="preserve">硬體：開發者工作站（建議 </w:t>
      </w:r>
      <w:r>
        <w:rPr>
          <w:rFonts w:eastAsia="微軟正黑體"/>
        </w:rPr>
        <w:t>Intel Core Ultra 7</w:t>
      </w:r>
      <w:r>
        <w:rPr>
          <w:rFonts w:eastAsia="微軟正黑體"/>
        </w:rPr>
        <w:t>／</w:t>
      </w:r>
      <w:r>
        <w:rPr>
          <w:rFonts w:eastAsia="微軟正黑體"/>
        </w:rPr>
        <w:t>32 GB RAM</w:t>
      </w:r>
      <w:r>
        <w:rPr>
          <w:rFonts w:eastAsia="微軟正黑體"/>
        </w:rPr>
        <w:t>／</w:t>
      </w:r>
      <w:r>
        <w:rPr>
          <w:rFonts w:eastAsia="微軟正黑體"/>
        </w:rPr>
        <w:t>1 TB NVMe</w:t>
      </w:r>
      <w:r>
        <w:rPr>
          <w:rFonts w:eastAsia="微軟正黑體"/>
        </w:rPr>
        <w:t>）。</w:t>
      </w:r>
    </w:p>
    <w:p>
      <w:pPr>
        <w:pStyle w:val="ListParagraph"/>
        <w:numPr>
          <w:ilvl w:val="0"/>
          <w:numId w:val="3"/>
        </w:numPr>
        <w:spacing w:lineRule="auto" w:line="290" w:before="0" w:after="60"/>
        <w:rPr/>
      </w:pPr>
      <w:r>
        <w:rPr>
          <w:rFonts w:eastAsia="微軟正黑體"/>
        </w:rPr>
        <w:t>軟體：</w:t>
      </w:r>
      <w:r>
        <w:rPr>
          <w:rFonts w:eastAsia="微軟正黑體"/>
        </w:rPr>
        <w:t>Windows 11 Pro</w:t>
      </w:r>
      <w:r>
        <w:rPr>
          <w:rFonts w:eastAsia="微軟正黑體"/>
        </w:rPr>
        <w:t>、</w:t>
      </w:r>
      <w:r>
        <w:rPr>
          <w:rFonts w:eastAsia="微軟正黑體"/>
        </w:rPr>
        <w:t>Visual Studio 2026</w:t>
      </w:r>
      <w:r>
        <w:rPr>
          <w:rFonts w:eastAsia="微軟正黑體"/>
        </w:rPr>
        <w:t>／</w:t>
      </w:r>
      <w:r>
        <w:rPr>
          <w:rFonts w:eastAsia="微軟正黑體"/>
        </w:rPr>
        <w:t>VS Code</w:t>
      </w:r>
      <w:r>
        <w:rPr>
          <w:rFonts w:eastAsia="微軟正黑體"/>
        </w:rPr>
        <w:t>、</w:t>
      </w:r>
      <w:r>
        <w:rPr>
          <w:rFonts w:eastAsia="微軟正黑體"/>
        </w:rPr>
        <w:t>.NET 10 SDK</w:t>
      </w:r>
      <w:r>
        <w:rPr>
          <w:rFonts w:eastAsia="微軟正黑體"/>
        </w:rPr>
        <w:t>、</w:t>
      </w:r>
      <w:r>
        <w:rPr>
          <w:rFonts w:eastAsia="微軟正黑體"/>
        </w:rPr>
        <w:t xml:space="preserve">SQL Server LocalDB </w:t>
      </w:r>
      <w:r>
        <w:rPr>
          <w:rFonts w:eastAsia="微軟正黑體"/>
        </w:rPr>
        <w:t xml:space="preserve">或開發用 </w:t>
      </w:r>
      <w:r>
        <w:rPr>
          <w:rFonts w:eastAsia="微軟正黑體"/>
        </w:rPr>
        <w:t>SQL Server</w:t>
      </w:r>
      <w:r>
        <w:rPr>
          <w:rFonts w:eastAsia="微軟正黑體"/>
        </w:rPr>
        <w:t>。</w:t>
      </w:r>
    </w:p>
    <w:p>
      <w:pPr>
        <w:pStyle w:val="Heading3"/>
        <w:rPr/>
      </w:pPr>
      <w:bookmarkStart w:id="38" w:name="__RefHeading___Toc3308_1895412299"/>
      <w:bookmarkStart w:id="39" w:name="_Toc243493463"/>
      <w:bookmarkEnd w:id="38"/>
      <w:r>
        <w:rPr/>
        <w:t xml:space="preserve">2.5.2 </w:t>
      </w:r>
      <w:r>
        <w:rPr/>
        <w:t xml:space="preserve">測試與 </w:t>
      </w:r>
      <w:r>
        <w:rPr/>
        <w:t xml:space="preserve">UAT </w:t>
      </w:r>
      <w:r>
        <w:rPr/>
        <w:t>環境</w:t>
      </w:r>
      <w:bookmarkEnd w:id="39"/>
    </w:p>
    <w:p>
      <w:pPr>
        <w:pStyle w:val="ListParagraph"/>
        <w:numPr>
          <w:ilvl w:val="0"/>
          <w:numId w:val="3"/>
        </w:numPr>
        <w:spacing w:lineRule="auto" w:line="290" w:before="0" w:after="60"/>
        <w:rPr/>
      </w:pPr>
      <w:r>
        <w:rPr>
          <w:rFonts w:eastAsia="微軟正黑體"/>
        </w:rPr>
        <w:t>伺服器：</w:t>
      </w:r>
      <w:r>
        <w:rPr>
          <w:rFonts w:eastAsia="微軟正黑體"/>
        </w:rPr>
        <w:t>2 vCPU</w:t>
      </w:r>
      <w:r>
        <w:rPr>
          <w:rFonts w:eastAsia="微軟正黑體"/>
        </w:rPr>
        <w:t>／</w:t>
      </w:r>
      <w:r>
        <w:rPr>
          <w:rFonts w:eastAsia="微軟正黑體"/>
        </w:rPr>
        <w:t>8 GB RAM</w:t>
      </w:r>
      <w:r>
        <w:rPr>
          <w:rFonts w:eastAsia="微軟正黑體"/>
        </w:rPr>
        <w:t>／</w:t>
      </w:r>
      <w:r>
        <w:rPr>
          <w:rFonts w:eastAsia="微軟正黑體"/>
        </w:rPr>
        <w:t>100 GB SSD</w:t>
      </w:r>
      <w:r>
        <w:rPr>
          <w:rFonts w:eastAsia="微軟正黑體"/>
        </w:rPr>
        <w:t>（</w:t>
      </w:r>
      <w:r>
        <w:rPr>
          <w:rFonts w:eastAsia="微軟正黑體"/>
        </w:rPr>
        <w:t xml:space="preserve">VM </w:t>
      </w:r>
      <w:r>
        <w:rPr>
          <w:rFonts w:eastAsia="微軟正黑體"/>
        </w:rPr>
        <w:t xml:space="preserve">或 </w:t>
      </w:r>
      <w:r>
        <w:rPr>
          <w:rFonts w:eastAsia="微軟正黑體"/>
        </w:rPr>
        <w:t>Azure App Service P1v3</w:t>
      </w:r>
      <w:r>
        <w:rPr>
          <w:rFonts w:eastAsia="微軟正黑體"/>
        </w:rPr>
        <w:t>）。</w:t>
      </w:r>
    </w:p>
    <w:p>
      <w:pPr>
        <w:pStyle w:val="ListParagraph"/>
        <w:numPr>
          <w:ilvl w:val="0"/>
          <w:numId w:val="3"/>
        </w:numPr>
        <w:spacing w:lineRule="auto" w:line="290" w:before="0" w:after="60"/>
        <w:rPr/>
      </w:pPr>
      <w:r>
        <w:rPr>
          <w:rFonts w:eastAsia="微軟正黑體"/>
        </w:rPr>
        <w:t>軟體：</w:t>
      </w:r>
      <w:r>
        <w:rPr>
          <w:rFonts w:eastAsia="微軟正黑體"/>
        </w:rPr>
        <w:t>Windows Server 2022</w:t>
      </w:r>
      <w:r>
        <w:rPr>
          <w:rFonts w:eastAsia="微軟正黑體"/>
        </w:rPr>
        <w:t>（</w:t>
      </w:r>
      <w:r>
        <w:rPr>
          <w:rFonts w:eastAsia="微軟正黑體"/>
        </w:rPr>
        <w:t>IIS 10</w:t>
      </w:r>
      <w:r>
        <w:rPr>
          <w:rFonts w:eastAsia="微軟正黑體"/>
        </w:rPr>
        <w:t>）、</w:t>
      </w:r>
      <w:r>
        <w:rPr>
          <w:rFonts w:eastAsia="微軟正黑體"/>
        </w:rPr>
        <w:t>SQL Server 2022</w:t>
      </w:r>
      <w:r>
        <w:rPr>
          <w:rFonts w:eastAsia="微軟正黑體"/>
        </w:rPr>
        <w:t>／</w:t>
      </w:r>
      <w:r>
        <w:rPr>
          <w:rFonts w:eastAsia="微軟正黑體"/>
        </w:rPr>
        <w:t>Azure SQL</w:t>
      </w:r>
      <w:r>
        <w:rPr>
          <w:rFonts w:eastAsia="微軟正黑體"/>
        </w:rPr>
        <w:t>（</w:t>
      </w:r>
      <w:r>
        <w:rPr>
          <w:rFonts w:eastAsia="微軟正黑體"/>
        </w:rPr>
        <w:t xml:space="preserve">S2 </w:t>
      </w:r>
      <w:r>
        <w:rPr>
          <w:rFonts w:eastAsia="微軟正黑體"/>
        </w:rPr>
        <w:t>以上）、</w:t>
      </w:r>
      <w:r>
        <w:rPr>
          <w:rFonts w:eastAsia="微軟正黑體"/>
        </w:rPr>
        <w:t xml:space="preserve">SonarQube </w:t>
      </w:r>
      <w:r>
        <w:rPr>
          <w:rFonts w:eastAsia="微軟正黑體"/>
        </w:rPr>
        <w:t>程式碼掃描。</w:t>
      </w:r>
    </w:p>
    <w:p>
      <w:pPr>
        <w:pStyle w:val="Heading3"/>
        <w:rPr/>
      </w:pPr>
      <w:bookmarkStart w:id="40" w:name="__RefHeading___Toc3310_1895412299"/>
      <w:bookmarkStart w:id="41" w:name="_Toc243493464"/>
      <w:bookmarkEnd w:id="40"/>
      <w:r>
        <w:rPr/>
        <w:t xml:space="preserve">2.5.3 </w:t>
      </w:r>
      <w:r>
        <w:rPr/>
        <w:t>生產環境（</w:t>
      </w:r>
      <w:r>
        <w:rPr/>
        <w:t>PROD</w:t>
      </w:r>
      <w:r>
        <w:rPr/>
        <w:t>）</w:t>
      </w:r>
      <w:bookmarkEnd w:id="41"/>
    </w:p>
    <w:p>
      <w:pPr>
        <w:pStyle w:val="ListParagraph"/>
        <w:numPr>
          <w:ilvl w:val="0"/>
          <w:numId w:val="3"/>
        </w:numPr>
        <w:spacing w:lineRule="auto" w:line="290" w:before="0" w:after="60"/>
        <w:rPr/>
      </w:pPr>
      <w:r>
        <w:rPr>
          <w:rFonts w:eastAsia="微軟正黑體"/>
        </w:rPr>
        <w:t xml:space="preserve">應用程式伺服器：自建 </w:t>
      </w:r>
      <w:r>
        <w:rPr>
          <w:rFonts w:eastAsia="微軟正黑體"/>
        </w:rPr>
        <w:t xml:space="preserve">IIS </w:t>
      </w:r>
      <w:r>
        <w:rPr>
          <w:rFonts w:eastAsia="微軟正黑體"/>
        </w:rPr>
        <w:t xml:space="preserve">伺服器群組，或 </w:t>
      </w:r>
      <w:r>
        <w:rPr>
          <w:rFonts w:eastAsia="微軟正黑體"/>
        </w:rPr>
        <w:t>Azure App Service</w:t>
      </w:r>
      <w:r>
        <w:rPr>
          <w:rFonts w:eastAsia="微軟正黑體"/>
        </w:rPr>
        <w:t>（</w:t>
      </w:r>
      <w:r>
        <w:rPr>
          <w:rFonts w:eastAsia="微軟正黑體"/>
        </w:rPr>
        <w:t>P2v3 × 2</w:t>
      </w:r>
      <w:r>
        <w:rPr>
          <w:rFonts w:eastAsia="微軟正黑體"/>
        </w:rPr>
        <w:t>，自動擴展）。</w:t>
      </w:r>
    </w:p>
    <w:p>
      <w:pPr>
        <w:pStyle w:val="ListParagraph"/>
        <w:numPr>
          <w:ilvl w:val="0"/>
          <w:numId w:val="3"/>
        </w:numPr>
        <w:spacing w:lineRule="auto" w:line="290" w:before="0" w:after="60"/>
        <w:rPr/>
      </w:pPr>
      <w:r>
        <w:rPr>
          <w:rFonts w:eastAsia="微軟正黑體"/>
        </w:rPr>
        <w:t>資料庫：</w:t>
      </w:r>
      <w:r>
        <w:rPr>
          <w:rFonts w:eastAsia="微軟正黑體"/>
        </w:rPr>
        <w:t>SQL Server</w:t>
      </w:r>
      <w:r>
        <w:rPr>
          <w:rFonts w:eastAsia="微軟正黑體"/>
        </w:rPr>
        <w:t>／</w:t>
      </w:r>
      <w:r>
        <w:rPr>
          <w:rFonts w:eastAsia="微軟正黑體"/>
        </w:rPr>
        <w:t>Azure SQL</w:t>
      </w:r>
      <w:r>
        <w:rPr>
          <w:rFonts w:eastAsia="微軟正黑體"/>
        </w:rPr>
        <w:t>（</w:t>
      </w:r>
      <w:r>
        <w:rPr>
          <w:rFonts w:eastAsia="微軟正黑體"/>
        </w:rPr>
        <w:t xml:space="preserve">Business Critical </w:t>
      </w:r>
      <w:r>
        <w:rPr>
          <w:rFonts w:eastAsia="微軟正黑體"/>
        </w:rPr>
        <w:t xml:space="preserve">建議），自動備份與異地備援；稽核資料表啟用 </w:t>
      </w:r>
      <w:r>
        <w:rPr>
          <w:rFonts w:eastAsia="微軟正黑體"/>
        </w:rPr>
        <w:t>Ledger</w:t>
      </w:r>
      <w:r>
        <w:rPr>
          <w:rFonts w:eastAsia="微軟正黑體"/>
        </w:rPr>
        <w:t>。</w:t>
      </w:r>
    </w:p>
    <w:p>
      <w:pPr>
        <w:pStyle w:val="ListParagraph"/>
        <w:numPr>
          <w:ilvl w:val="0"/>
          <w:numId w:val="3"/>
        </w:numPr>
        <w:spacing w:lineRule="auto" w:line="290" w:before="0" w:after="60"/>
        <w:rPr/>
      </w:pPr>
      <w:r>
        <w:rPr>
          <w:rFonts w:eastAsia="微軟正黑體"/>
        </w:rPr>
        <w:t>網路與資安：</w:t>
      </w:r>
      <w:r>
        <w:rPr>
          <w:rFonts w:eastAsia="微軟正黑體"/>
        </w:rPr>
        <w:t>TLS 1.3</w:t>
      </w:r>
      <w:r>
        <w:rPr>
          <w:rFonts w:eastAsia="微軟正黑體"/>
        </w:rPr>
        <w:t>（</w:t>
      </w:r>
      <w:r>
        <w:rPr>
          <w:rFonts w:eastAsia="微軟正黑體"/>
        </w:rPr>
        <w:t xml:space="preserve">SAN </w:t>
      </w:r>
      <w:r>
        <w:rPr>
          <w:rFonts w:eastAsia="微軟正黑體"/>
        </w:rPr>
        <w:t>憑證）、</w:t>
      </w:r>
      <w:r>
        <w:rPr>
          <w:rFonts w:eastAsia="微軟正黑體"/>
        </w:rPr>
        <w:t>WAF</w:t>
      </w:r>
      <w:r>
        <w:rPr>
          <w:rFonts w:eastAsia="微軟正黑體"/>
        </w:rPr>
        <w:t>、</w:t>
      </w:r>
      <w:r>
        <w:rPr>
          <w:rFonts w:eastAsia="微軟正黑體"/>
        </w:rPr>
        <w:t xml:space="preserve">DDoS </w:t>
      </w:r>
      <w:r>
        <w:rPr>
          <w:rFonts w:eastAsia="微軟正黑體"/>
        </w:rPr>
        <w:t>防護。</w:t>
      </w:r>
    </w:p>
    <w:p>
      <w:pPr>
        <w:pStyle w:val="Normal"/>
        <w:pBdr>
          <w:left w:val="single" w:sz="18" w:space="6" w:color="E3A008"/>
        </w:pBdr>
        <w:shd w:val="clear" w:color="auto" w:fill="FFF4CE"/>
        <w:spacing w:lineRule="auto" w:line="290" w:before="60" w:after="120"/>
        <w:ind w:start="140"/>
        <w:rPr/>
      </w:pPr>
      <w:r>
        <w:rPr>
          <w:rFonts w:eastAsia="微軟正黑體"/>
          <w:color w:val="7A4B00"/>
        </w:rPr>
        <w:t xml:space="preserve">備註：測試／生產環境之實際主機規格與 </w:t>
      </w:r>
      <w:r>
        <w:rPr>
          <w:rFonts w:eastAsia="微軟正黑體"/>
          <w:color w:val="7A4B00"/>
        </w:rPr>
        <w:t xml:space="preserve">IP </w:t>
      </w:r>
      <w:r>
        <w:rPr>
          <w:rFonts w:eastAsia="微軟正黑體"/>
          <w:color w:val="7A4B00"/>
        </w:rPr>
        <w:t>以維運文件為準；</w:t>
      </w:r>
      <w:r>
        <w:rPr>
          <w:rFonts w:eastAsia="Consolas" w:cs="Consolas" w:ascii="Consolas" w:hAnsi="Consolas"/>
          <w:color w:val="7A4B00"/>
          <w:sz w:val="19"/>
          <w:szCs w:val="19"/>
        </w:rPr>
        <w:t>IisBootstrapTask</w:t>
      </w:r>
      <w:r>
        <w:rPr>
          <w:rFonts w:eastAsia="微軟正黑體"/>
          <w:color w:val="7A4B00"/>
        </w:rPr>
        <w:t xml:space="preserve"> </w:t>
      </w:r>
      <w:r>
        <w:rPr>
          <w:rFonts w:eastAsia="微軟正黑體"/>
          <w:color w:val="7A4B00"/>
        </w:rPr>
        <w:t xml:space="preserve">會將應用程式集區環境變數設為 </w:t>
      </w:r>
      <w:r>
        <w:rPr>
          <w:rFonts w:eastAsia="Consolas" w:cs="Consolas" w:ascii="Consolas" w:hAnsi="Consolas"/>
          <w:color w:val="7A4B00"/>
          <w:sz w:val="19"/>
          <w:szCs w:val="19"/>
        </w:rPr>
        <w:t>ASPNETCORE_ENVIRONMENT=Production</w:t>
      </w:r>
      <w:r>
        <w:rPr>
          <w:rFonts w:eastAsia="微軟正黑體"/>
          <w:color w:val="7A4B00"/>
        </w:rPr>
        <w:t xml:space="preserve"> </w:t>
      </w:r>
      <w:r>
        <w:rPr>
          <w:rFonts w:eastAsia="微軟正黑體"/>
          <w:color w:val="7A4B00"/>
        </w:rPr>
        <w:t xml:space="preserve">與 </w:t>
      </w:r>
      <w:r>
        <w:rPr>
          <w:rFonts w:eastAsia="Consolas" w:cs="Consolas" w:ascii="Consolas" w:hAnsi="Consolas"/>
          <w:color w:val="7A4B00"/>
          <w:sz w:val="19"/>
          <w:szCs w:val="19"/>
        </w:rPr>
        <w:t>PhysLIMS_LedgerEnabled=true</w:t>
      </w:r>
      <w:r>
        <w:rPr>
          <w:rFonts w:eastAsia="微軟正黑體"/>
          <w:color w:val="7A4B00"/>
        </w:rPr>
        <w:t>，部署前請確認符合預期。</w:t>
      </w:r>
    </w:p>
    <w:p>
      <w:pPr>
        <w:pStyle w:val="Heading2"/>
        <w:rPr/>
      </w:pPr>
      <w:bookmarkStart w:id="42" w:name="__RefHeading___Toc3312_1895412299"/>
      <w:bookmarkStart w:id="43" w:name="_Toc243493465"/>
      <w:bookmarkEnd w:id="42"/>
      <w:r>
        <w:rPr/>
        <w:t xml:space="preserve">2.6 </w:t>
      </w:r>
      <w:r>
        <w:rPr/>
        <w:t>系統軟體設計限制</w:t>
      </w:r>
      <w:bookmarkEnd w:id="43"/>
    </w:p>
    <w:p>
      <w:pPr>
        <w:pStyle w:val="Heading3"/>
        <w:rPr/>
      </w:pPr>
      <w:bookmarkStart w:id="44" w:name="__RefHeading___Toc3314_1895412299"/>
      <w:bookmarkStart w:id="45" w:name="_Toc243493466"/>
      <w:bookmarkEnd w:id="44"/>
      <w:r>
        <w:rPr/>
        <w:t xml:space="preserve">2.6.1 </w:t>
      </w:r>
      <w:r>
        <w:rPr/>
        <w:t>資安與法規合規性約束</w:t>
      </w:r>
      <w:bookmarkEnd w:id="45"/>
    </w:p>
    <w:p>
      <w:pPr>
        <w:pStyle w:val="ListParagraph"/>
        <w:numPr>
          <w:ilvl w:val="0"/>
          <w:numId w:val="3"/>
        </w:numPr>
        <w:spacing w:lineRule="auto" w:line="290" w:before="0" w:after="60"/>
        <w:rPr/>
      </w:pPr>
      <w:r>
        <w:rPr>
          <w:rFonts w:eastAsia="微軟正黑體"/>
          <w:b/>
          <w:bCs/>
        </w:rPr>
        <w:t>ISO 27001</w:t>
      </w:r>
      <w:r>
        <w:rPr>
          <w:rFonts w:eastAsia="微軟正黑體"/>
          <w:b/>
          <w:bCs/>
        </w:rPr>
        <w:t>／資安法</w:t>
      </w:r>
      <w:r>
        <w:rPr>
          <w:rFonts w:eastAsia="微軟正黑體"/>
        </w:rPr>
        <w:t>：敏感個資須遮蔽與加密（</w:t>
      </w:r>
      <w:r>
        <w:rPr>
          <w:rFonts w:eastAsia="Consolas" w:cs="Consolas" w:ascii="Consolas" w:hAnsi="Consolas"/>
          <w:sz w:val="19"/>
          <w:szCs w:val="19"/>
        </w:rPr>
        <w:t>DataProtection</w:t>
      </w:r>
      <w:r>
        <w:rPr>
          <w:rFonts w:eastAsia="微軟正黑體"/>
        </w:rPr>
        <w:t>：</w:t>
      </w:r>
      <w:r>
        <w:rPr>
          <w:rFonts w:eastAsia="Consolas" w:cs="Consolas" w:ascii="Consolas" w:hAnsi="Consolas"/>
          <w:sz w:val="19"/>
          <w:szCs w:val="19"/>
        </w:rPr>
        <w:t>[Encrypted]</w:t>
      </w:r>
      <w:r>
        <w:rPr>
          <w:rFonts w:eastAsia="微軟正黑體"/>
        </w:rPr>
        <w:t>、</w:t>
      </w:r>
      <w:r>
        <w:rPr>
          <w:rFonts w:eastAsia="Consolas" w:cs="Consolas" w:ascii="Consolas" w:hAnsi="Consolas"/>
          <w:sz w:val="19"/>
          <w:szCs w:val="19"/>
        </w:rPr>
        <w:t>[Masked]</w:t>
      </w:r>
      <w:r>
        <w:rPr>
          <w:rFonts w:eastAsia="微軟正黑體"/>
        </w:rPr>
        <w:t xml:space="preserve">；日誌以 </w:t>
      </w:r>
      <w:r>
        <w:rPr>
          <w:rFonts w:eastAsia="Consolas" w:cs="Consolas" w:ascii="Consolas" w:hAnsi="Consolas"/>
          <w:sz w:val="19"/>
          <w:szCs w:val="19"/>
        </w:rPr>
        <w:t>Serilog.Enrichers.Sensitive</w:t>
      </w:r>
      <w:r>
        <w:rPr>
          <w:rFonts w:eastAsia="微軟正黑體"/>
        </w:rPr>
        <w:t xml:space="preserve"> </w:t>
      </w:r>
      <w:r>
        <w:rPr>
          <w:rFonts w:eastAsia="微軟正黑體"/>
        </w:rPr>
        <w:t>遮蔽）；密碼、金鑰、連線字串不得寫入原始碼，須由環境變數或受保護組態（</w:t>
      </w:r>
      <w:r>
        <w:rPr>
          <w:rFonts w:eastAsia="Consolas" w:cs="Consolas" w:ascii="Consolas" w:hAnsi="Consolas"/>
          <w:sz w:val="19"/>
          <w:szCs w:val="19"/>
        </w:rPr>
        <w:t>appsettings.Development.json</w:t>
      </w:r>
      <w:r>
        <w:rPr>
          <w:rFonts w:eastAsia="微軟正黑體"/>
        </w:rPr>
        <w:t>、</w:t>
      </w:r>
      <w:r>
        <w:rPr>
          <w:rFonts w:eastAsia="Consolas" w:cs="Consolas" w:ascii="Consolas" w:hAnsi="Consolas"/>
          <w:sz w:val="19"/>
          <w:szCs w:val="19"/>
        </w:rPr>
        <w:t>claudesettings.json</w:t>
      </w:r>
      <w:r>
        <w:rPr>
          <w:rFonts w:eastAsia="微軟正黑體"/>
        </w:rPr>
        <w:t>）注入。</w:t>
      </w:r>
    </w:p>
    <w:p>
      <w:pPr>
        <w:pStyle w:val="ListParagraph"/>
        <w:widowControl/>
        <w:numPr>
          <w:ilvl w:val="0"/>
          <w:numId w:val="3"/>
        </w:numPr>
        <w:suppressAutoHyphens w:val="true"/>
        <w:bidi w:val="0"/>
        <w:spacing w:lineRule="auto" w:line="290" w:before="0" w:after="60"/>
        <w:jc w:val="start"/>
        <w:rPr/>
      </w:pPr>
      <w:r>
        <w:rPr>
          <w:rStyle w:val="Strong"/>
          <w:rFonts w:eastAsia="新細明體" w:cs="微軟正黑體" w:eastAsiaTheme="minorEastAsia"/>
          <w:color w:val="auto"/>
          <w:kern w:val="0"/>
          <w:sz w:val="21"/>
          <w:szCs w:val="21"/>
          <w:lang w:val="en-US" w:eastAsia="zh-TW" w:bidi="ar-SA"/>
        </w:rPr>
        <w:t xml:space="preserve">ISO 17025 </w:t>
      </w:r>
      <w:r>
        <w:rPr>
          <w:rStyle w:val="Strong"/>
          <w:rFonts w:ascii="微軟正黑體" w:hAnsi="微軟正黑體" w:cs="微軟正黑體"/>
          <w:color w:val="auto"/>
          <w:kern w:val="0"/>
          <w:sz w:val="21"/>
          <w:szCs w:val="21"/>
          <w:lang w:val="en-US" w:eastAsia="zh-TW" w:bidi="ar-SA"/>
        </w:rPr>
        <w:t>與資安法雙軌防禦機制</w:t>
      </w:r>
      <w:r>
        <w:rPr>
          <w:rFonts w:ascii="微軟正黑體" w:hAnsi="微軟正黑體" w:cs="微軟正黑體"/>
          <w:color w:val="auto"/>
          <w:kern w:val="0"/>
          <w:sz w:val="21"/>
          <w:szCs w:val="21"/>
          <w:lang w:val="en-US" w:eastAsia="zh-TW" w:bidi="ar-SA"/>
        </w:rPr>
        <w:t>：系統之稽核日誌採用「應用程式層密碼學雜湊鏈」與「資料庫層隔離保護」之雙軌主動防禦架構。</w:t>
      </w:r>
    </w:p>
    <w:p>
      <w:pPr>
        <w:pStyle w:val="ListParagraph"/>
        <w:widowControl/>
        <w:numPr>
          <w:ilvl w:val="0"/>
          <w:numId w:val="3"/>
        </w:numPr>
        <w:suppressAutoHyphens w:val="true"/>
        <w:bidi w:val="0"/>
        <w:spacing w:lineRule="auto" w:line="290" w:before="0" w:after="60"/>
        <w:jc w:val="start"/>
        <w:rPr/>
      </w:pPr>
      <w:r>
        <w:rPr>
          <w:rStyle w:val="Strong"/>
          <w:rFonts w:ascii="微軟正黑體" w:hAnsi="微軟正黑體" w:cs="微軟正黑體"/>
          <w:color w:val="auto"/>
          <w:kern w:val="0"/>
          <w:sz w:val="21"/>
          <w:szCs w:val="21"/>
          <w:lang w:val="en-US" w:eastAsia="zh-TW" w:bidi="ar-SA"/>
        </w:rPr>
        <w:t>資料庫層</w:t>
      </w:r>
      <w:r>
        <w:rPr>
          <w:rFonts w:ascii="微軟正黑體" w:hAnsi="微軟正黑體" w:cs="微軟正黑體"/>
          <w:color w:val="auto"/>
          <w:kern w:val="0"/>
          <w:sz w:val="21"/>
          <w:szCs w:val="21"/>
          <w:lang w:val="en-US" w:eastAsia="zh-TW" w:bidi="ar-SA"/>
        </w:rPr>
        <w:t xml:space="preserve">：全面啟用 </w:t>
      </w:r>
      <w:r>
        <w:rPr>
          <w:rStyle w:val="Strong"/>
          <w:rFonts w:eastAsia="新細明體" w:cs="微軟正黑體" w:eastAsiaTheme="minorEastAsia"/>
          <w:color w:val="auto"/>
          <w:kern w:val="0"/>
          <w:sz w:val="21"/>
          <w:szCs w:val="21"/>
          <w:lang w:val="en-US" w:eastAsia="zh-TW" w:bidi="ar-SA"/>
        </w:rPr>
        <w:t>SQL Server 2022 Ledger</w:t>
      </w:r>
      <w:r>
        <w:rPr>
          <w:rStyle w:val="Strong"/>
          <w:rFonts w:ascii="微軟正黑體" w:hAnsi="微軟正黑體" w:cs="微軟正黑體"/>
          <w:color w:val="auto"/>
          <w:kern w:val="0"/>
          <w:sz w:val="21"/>
          <w:szCs w:val="21"/>
          <w:lang w:val="en-US" w:eastAsia="zh-TW" w:bidi="ar-SA"/>
        </w:rPr>
        <w:t>（</w:t>
      </w:r>
      <w:r>
        <w:rPr>
          <w:rStyle w:val="Strong"/>
          <w:rFonts w:eastAsia="新細明體" w:cs="微軟正黑體" w:eastAsiaTheme="minorEastAsia"/>
          <w:color w:val="auto"/>
          <w:kern w:val="0"/>
          <w:sz w:val="21"/>
          <w:szCs w:val="21"/>
          <w:lang w:val="en-US" w:eastAsia="zh-TW" w:bidi="ar-SA"/>
        </w:rPr>
        <w:t>APPEND_ONLY</w:t>
      </w:r>
      <w:r>
        <w:rPr>
          <w:rStyle w:val="Strong"/>
          <w:rFonts w:ascii="微軟正黑體" w:hAnsi="微軟正黑體" w:cs="微軟正黑體"/>
          <w:color w:val="auto"/>
          <w:kern w:val="0"/>
          <w:sz w:val="21"/>
          <w:szCs w:val="21"/>
          <w:lang w:val="en-US" w:eastAsia="zh-TW" w:bidi="ar-SA"/>
        </w:rPr>
        <w:t>）</w:t>
      </w:r>
      <w:r>
        <w:rPr>
          <w:rFonts w:ascii="微軟正黑體" w:hAnsi="微軟正黑體" w:cs="微軟正黑體"/>
          <w:color w:val="auto"/>
          <w:kern w:val="0"/>
          <w:sz w:val="21"/>
          <w:szCs w:val="21"/>
          <w:lang w:val="en-US" w:eastAsia="zh-TW" w:bidi="ar-SA"/>
        </w:rPr>
        <w:t xml:space="preserve"> 技術，由資料庫引擎層級阻斷任何 </w:t>
      </w:r>
      <w:r>
        <w:rPr>
          <w:rStyle w:val="Style16"/>
          <w:rFonts w:eastAsia="新細明體" w:cs="微軟正黑體" w:eastAsiaTheme="minorEastAsia"/>
          <w:color w:val="auto"/>
          <w:kern w:val="0"/>
          <w:sz w:val="21"/>
          <w:szCs w:val="21"/>
          <w:lang w:val="en-US" w:eastAsia="zh-TW" w:bidi="ar-SA"/>
        </w:rPr>
        <w:t>UPDATE</w:t>
      </w:r>
      <w:r>
        <w:rPr>
          <w:rFonts w:eastAsia="新細明體" w:cs="微軟正黑體" w:eastAsiaTheme="minorEastAsia"/>
          <w:color w:val="auto"/>
          <w:kern w:val="0"/>
          <w:sz w:val="21"/>
          <w:szCs w:val="21"/>
          <w:lang w:val="en-US" w:eastAsia="zh-TW" w:bidi="ar-SA"/>
        </w:rPr>
        <w:t xml:space="preserve"> </w:t>
      </w:r>
      <w:r>
        <w:rPr>
          <w:rFonts w:ascii="微軟正黑體" w:hAnsi="微軟正黑體" w:cs="微軟正黑體"/>
          <w:color w:val="auto"/>
          <w:kern w:val="0"/>
          <w:sz w:val="21"/>
          <w:szCs w:val="21"/>
          <w:lang w:val="en-US" w:eastAsia="zh-TW" w:bidi="ar-SA"/>
        </w:rPr>
        <w:t xml:space="preserve">與 </w:t>
      </w:r>
      <w:r>
        <w:rPr>
          <w:rStyle w:val="Style16"/>
          <w:rFonts w:eastAsia="新細明體" w:cs="微軟正黑體" w:eastAsiaTheme="minorEastAsia"/>
          <w:color w:val="auto"/>
          <w:kern w:val="0"/>
          <w:sz w:val="21"/>
          <w:szCs w:val="21"/>
          <w:lang w:val="en-US" w:eastAsia="zh-TW" w:bidi="ar-SA"/>
        </w:rPr>
        <w:t>DELETE</w:t>
      </w:r>
      <w:r>
        <w:rPr>
          <w:rFonts w:eastAsia="新細明體" w:cs="微軟正黑體" w:eastAsiaTheme="minorEastAsia"/>
          <w:color w:val="auto"/>
          <w:kern w:val="0"/>
          <w:sz w:val="21"/>
          <w:szCs w:val="21"/>
          <w:lang w:val="en-US" w:eastAsia="zh-TW" w:bidi="ar-SA"/>
        </w:rPr>
        <w:t xml:space="preserve"> </w:t>
      </w:r>
      <w:r>
        <w:rPr>
          <w:rFonts w:ascii="微軟正黑體" w:hAnsi="微軟正黑體" w:cs="微軟正黑體"/>
          <w:color w:val="auto"/>
          <w:kern w:val="0"/>
          <w:sz w:val="21"/>
          <w:szCs w:val="21"/>
          <w:lang w:val="en-US" w:eastAsia="zh-TW" w:bidi="ar-SA"/>
        </w:rPr>
        <w:t xml:space="preserve">物理竄改企圖 </w:t>
      </w:r>
      <w:r>
        <w:rPr>
          <w:rFonts w:eastAsia="新細明體" w:cs="微軟正黑體" w:eastAsiaTheme="minorEastAsia"/>
          <w:color w:val="auto"/>
          <w:kern w:val="0"/>
          <w:sz w:val="21"/>
          <w:szCs w:val="21"/>
          <w:lang w:val="en-US" w:eastAsia="zh-TW" w:bidi="ar-SA"/>
        </w:rPr>
        <w:t>[Microsoft Learn]</w:t>
      </w:r>
      <w:r>
        <w:rPr>
          <w:rFonts w:ascii="微軟正黑體" w:hAnsi="微軟正黑體" w:cs="微軟正黑體"/>
          <w:color w:val="auto"/>
          <w:kern w:val="0"/>
          <w:sz w:val="21"/>
          <w:szCs w:val="21"/>
          <w:lang w:val="en-US" w:eastAsia="zh-TW" w:bidi="ar-SA"/>
        </w:rPr>
        <w:t>。</w:t>
      </w:r>
    </w:p>
    <w:p>
      <w:pPr>
        <w:pStyle w:val="ListParagraph"/>
        <w:widowControl/>
        <w:numPr>
          <w:ilvl w:val="0"/>
          <w:numId w:val="3"/>
        </w:numPr>
        <w:suppressAutoHyphens w:val="true"/>
        <w:bidi w:val="0"/>
        <w:spacing w:lineRule="auto" w:line="290" w:before="0" w:after="60"/>
        <w:jc w:val="start"/>
        <w:rPr/>
      </w:pPr>
      <w:r>
        <w:rPr>
          <w:rStyle w:val="Strong"/>
          <w:rFonts w:ascii="微軟正黑體" w:hAnsi="微軟正黑體" w:cs="微軟正黑體"/>
          <w:color w:val="auto"/>
          <w:kern w:val="0"/>
          <w:sz w:val="21"/>
          <w:szCs w:val="21"/>
          <w:lang w:val="en-US" w:eastAsia="zh-TW" w:bidi="ar-SA"/>
        </w:rPr>
        <w:t>應用程式層</w:t>
      </w:r>
      <w:r>
        <w:rPr>
          <w:rFonts w:ascii="微軟正黑體" w:hAnsi="微軟正黑體" w:cs="微軟正黑體"/>
          <w:color w:val="auto"/>
          <w:kern w:val="0"/>
          <w:sz w:val="21"/>
          <w:szCs w:val="21"/>
          <w:lang w:val="en-US" w:eastAsia="zh-TW" w:bidi="ar-SA"/>
        </w:rPr>
        <w:t xml:space="preserve">：每一筆日誌皆包含前一筆日誌之 </w:t>
      </w:r>
      <w:r>
        <w:rPr>
          <w:rStyle w:val="Style16"/>
          <w:rFonts w:eastAsia="新細明體" w:cs="微軟正黑體" w:eastAsiaTheme="minorEastAsia"/>
          <w:color w:val="auto"/>
          <w:kern w:val="0"/>
          <w:sz w:val="21"/>
          <w:szCs w:val="21"/>
          <w:lang w:val="en-US" w:eastAsia="zh-TW" w:bidi="ar-SA"/>
        </w:rPr>
        <w:t>PreviousHash</w:t>
      </w:r>
      <w:r>
        <w:rPr>
          <w:rFonts w:ascii="微軟正黑體" w:hAnsi="微軟正黑體" w:cs="微軟正黑體"/>
          <w:color w:val="auto"/>
          <w:kern w:val="0"/>
          <w:sz w:val="21"/>
          <w:szCs w:val="21"/>
          <w:lang w:val="en-US" w:eastAsia="zh-TW" w:bidi="ar-SA"/>
        </w:rPr>
        <w:t xml:space="preserve">。系統於記憶體中串接後，全面排除高開銷的 </w:t>
      </w:r>
      <w:r>
        <w:rPr>
          <w:rFonts w:eastAsia="新細明體" w:cs="微軟正黑體" w:eastAsiaTheme="minorEastAsia"/>
          <w:color w:val="auto"/>
          <w:kern w:val="0"/>
          <w:sz w:val="21"/>
          <w:szCs w:val="21"/>
          <w:lang w:val="en-US" w:eastAsia="zh-TW" w:bidi="ar-SA"/>
        </w:rPr>
        <w:t xml:space="preserve">JSON </w:t>
      </w:r>
      <w:r>
        <w:rPr>
          <w:rFonts w:ascii="微軟正黑體" w:hAnsi="微軟正黑體" w:cs="微軟正黑體"/>
          <w:color w:val="auto"/>
          <w:kern w:val="0"/>
          <w:sz w:val="21"/>
          <w:szCs w:val="21"/>
          <w:lang w:val="en-US" w:eastAsia="zh-TW" w:bidi="ar-SA"/>
        </w:rPr>
        <w:t xml:space="preserve">序列化，改採 </w:t>
      </w:r>
      <w:r>
        <w:rPr>
          <w:rStyle w:val="Strong"/>
          <w:rFonts w:eastAsia="新細明體" w:cs="微軟正黑體" w:eastAsiaTheme="minorEastAsia"/>
          <w:color w:val="auto"/>
          <w:kern w:val="0"/>
          <w:sz w:val="21"/>
          <w:szCs w:val="21"/>
          <w:lang w:val="en-US" w:eastAsia="zh-TW" w:bidi="ar-SA"/>
        </w:rPr>
        <w:t xml:space="preserve">C# 14 </w:t>
      </w:r>
      <w:r>
        <w:rPr>
          <w:rStyle w:val="Strong"/>
          <w:rFonts w:ascii="微軟正黑體" w:hAnsi="微軟正黑體" w:cs="微軟正黑體"/>
          <w:color w:val="auto"/>
          <w:kern w:val="0"/>
          <w:sz w:val="21"/>
          <w:szCs w:val="21"/>
          <w:lang w:val="en-US" w:eastAsia="zh-TW" w:bidi="ar-SA"/>
        </w:rPr>
        <w:t xml:space="preserve">原生 </w:t>
      </w:r>
      <w:r>
        <w:rPr>
          <w:rStyle w:val="Style16"/>
          <w:rFonts w:eastAsia="新細明體" w:cs="微軟正黑體" w:eastAsiaTheme="minorEastAsia"/>
          <w:color w:val="auto"/>
          <w:kern w:val="0"/>
          <w:sz w:val="21"/>
          <w:szCs w:val="21"/>
          <w:lang w:val="en-US" w:eastAsia="zh-TW" w:bidi="ar-SA"/>
        </w:rPr>
        <w:t>Span&lt;byte&gt;</w:t>
      </w:r>
      <w:r>
        <w:rPr>
          <w:rStyle w:val="Strong"/>
          <w:rFonts w:ascii="微軟正黑體" w:hAnsi="微軟正黑體" w:cs="微軟正黑體"/>
          <w:color w:val="auto"/>
          <w:kern w:val="0"/>
          <w:sz w:val="21"/>
          <w:szCs w:val="21"/>
          <w:lang w:val="en-US" w:eastAsia="zh-TW" w:bidi="ar-SA"/>
        </w:rPr>
        <w:t>、</w:t>
      </w:r>
      <w:r>
        <w:rPr>
          <w:rStyle w:val="Style16"/>
          <w:rFonts w:eastAsia="新細明體" w:cs="微軟正黑體" w:eastAsiaTheme="minorEastAsia"/>
          <w:color w:val="auto"/>
          <w:kern w:val="0"/>
          <w:sz w:val="21"/>
          <w:szCs w:val="21"/>
          <w:lang w:val="en-US" w:eastAsia="zh-TW" w:bidi="ar-SA"/>
        </w:rPr>
        <w:t>stackalloc</w:t>
      </w:r>
      <w:r>
        <w:rPr>
          <w:rStyle w:val="Strong"/>
          <w:rFonts w:eastAsia="新細明體" w:cs="微軟正黑體" w:eastAsiaTheme="minorEastAsia"/>
          <w:color w:val="auto"/>
          <w:kern w:val="0"/>
          <w:sz w:val="21"/>
          <w:szCs w:val="21"/>
          <w:lang w:val="en-US" w:eastAsia="zh-TW" w:bidi="ar-SA"/>
        </w:rPr>
        <w:t xml:space="preserve"> </w:t>
      </w:r>
      <w:r>
        <w:rPr>
          <w:rStyle w:val="Strong"/>
          <w:rFonts w:ascii="微軟正黑體" w:hAnsi="微軟正黑體" w:cs="微軟正黑體"/>
          <w:color w:val="auto"/>
          <w:kern w:val="0"/>
          <w:sz w:val="21"/>
          <w:szCs w:val="21"/>
          <w:lang w:val="en-US" w:eastAsia="zh-TW" w:bidi="ar-SA"/>
        </w:rPr>
        <w:t xml:space="preserve">與 </w:t>
      </w:r>
      <w:r>
        <w:rPr>
          <w:rStyle w:val="Style16"/>
          <w:rFonts w:eastAsia="新細明體" w:cs="微軟正黑體" w:eastAsiaTheme="minorEastAsia"/>
          <w:color w:val="auto"/>
          <w:kern w:val="0"/>
          <w:sz w:val="21"/>
          <w:szCs w:val="21"/>
          <w:lang w:val="en-US" w:eastAsia="zh-TW" w:bidi="ar-SA"/>
        </w:rPr>
        <w:t>.NET ArrayPool</w:t>
      </w:r>
      <w:r>
        <w:rPr>
          <w:rStyle w:val="Strong"/>
          <w:rFonts w:eastAsia="新細明體" w:cs="微軟正黑體" w:eastAsiaTheme="minorEastAsia"/>
          <w:color w:val="auto"/>
          <w:kern w:val="0"/>
          <w:sz w:val="21"/>
          <w:szCs w:val="21"/>
          <w:lang w:val="en-US" w:eastAsia="zh-TW" w:bidi="ar-SA"/>
        </w:rPr>
        <w:t xml:space="preserve"> </w:t>
      </w:r>
      <w:r>
        <w:rPr>
          <w:rStyle w:val="Strong"/>
          <w:rFonts w:ascii="微軟正黑體" w:hAnsi="微軟正黑體" w:cs="微軟正黑體"/>
          <w:color w:val="auto"/>
          <w:kern w:val="0"/>
          <w:sz w:val="21"/>
          <w:szCs w:val="21"/>
          <w:lang w:val="en-US" w:eastAsia="zh-TW" w:bidi="ar-SA"/>
        </w:rPr>
        <w:t>記憶體優化技術</w:t>
      </w:r>
      <w:r>
        <w:rPr>
          <w:rFonts w:ascii="微軟正黑體" w:hAnsi="微軟正黑體" w:cs="微軟正黑體"/>
          <w:color w:val="auto"/>
          <w:kern w:val="0"/>
          <w:sz w:val="21"/>
          <w:szCs w:val="21"/>
          <w:lang w:val="en-US" w:eastAsia="zh-TW" w:bidi="ar-SA"/>
        </w:rPr>
        <w:t xml:space="preserve">，將業務欄位與達 </w:t>
      </w:r>
      <w:r>
        <w:rPr>
          <w:rFonts w:eastAsia="新細明體" w:cs="微軟正黑體" w:eastAsiaTheme="minorEastAsia"/>
          <w:color w:val="auto"/>
          <w:kern w:val="0"/>
          <w:sz w:val="21"/>
          <w:szCs w:val="21"/>
          <w:lang w:val="en-US" w:eastAsia="zh-TW" w:bidi="ar-SA"/>
        </w:rPr>
        <w:t xml:space="preserve">100 </w:t>
      </w:r>
      <w:r>
        <w:rPr>
          <w:rFonts w:ascii="微軟正黑體" w:hAnsi="微軟正黑體" w:cs="微軟正黑體"/>
          <w:color w:val="auto"/>
          <w:kern w:val="0"/>
          <w:sz w:val="21"/>
          <w:szCs w:val="21"/>
          <w:lang w:val="en-US" w:eastAsia="zh-TW" w:bidi="ar-SA"/>
        </w:rPr>
        <w:t xml:space="preserve">奈秒精準度之 </w:t>
      </w:r>
      <w:r>
        <w:rPr>
          <w:rStyle w:val="Style16"/>
          <w:rFonts w:eastAsia="新細明體" w:cs="微軟正黑體" w:eastAsiaTheme="minorEastAsia"/>
          <w:color w:val="auto"/>
          <w:kern w:val="0"/>
          <w:sz w:val="21"/>
          <w:szCs w:val="21"/>
          <w:lang w:val="en-US" w:eastAsia="zh-TW" w:bidi="ar-SA"/>
        </w:rPr>
        <w:t>Timestamp.UtcTicks</w:t>
      </w:r>
      <w:r>
        <w:rPr>
          <w:rFonts w:eastAsia="新細明體" w:cs="微軟正黑體" w:eastAsiaTheme="minorEastAsia"/>
          <w:color w:val="auto"/>
          <w:kern w:val="0"/>
          <w:sz w:val="21"/>
          <w:szCs w:val="21"/>
          <w:lang w:val="en-US" w:eastAsia="zh-TW" w:bidi="ar-SA"/>
        </w:rPr>
        <w:t xml:space="preserve"> </w:t>
      </w:r>
      <w:r>
        <w:rPr>
          <w:rFonts w:ascii="微軟正黑體" w:hAnsi="微軟正黑體" w:cs="微軟正黑體"/>
          <w:color w:val="auto"/>
          <w:kern w:val="0"/>
          <w:sz w:val="21"/>
          <w:szCs w:val="21"/>
          <w:lang w:val="en-US" w:eastAsia="zh-TW" w:bidi="ar-SA"/>
        </w:rPr>
        <w:t>直接進行緊湊二進位序列化，達成</w:t>
      </w:r>
      <w:r>
        <w:rPr>
          <w:rStyle w:val="Strong"/>
          <w:rFonts w:ascii="微軟正黑體" w:hAnsi="微軟正黑體" w:cs="微軟正黑體"/>
          <w:color w:val="auto"/>
          <w:kern w:val="0"/>
          <w:sz w:val="21"/>
          <w:szCs w:val="21"/>
          <w:lang w:val="en-US" w:eastAsia="zh-TW" w:bidi="ar-SA"/>
        </w:rPr>
        <w:t xml:space="preserve">高併發下 </w:t>
      </w:r>
      <w:r>
        <w:rPr>
          <w:rStyle w:val="Strong"/>
          <w:rFonts w:eastAsia="新細明體" w:cs="微軟正黑體" w:eastAsiaTheme="minorEastAsia"/>
          <w:color w:val="auto"/>
          <w:kern w:val="0"/>
          <w:sz w:val="21"/>
          <w:szCs w:val="21"/>
          <w:lang w:val="en-US" w:eastAsia="zh-TW" w:bidi="ar-SA"/>
        </w:rPr>
        <w:t xml:space="preserve">100% </w:t>
      </w:r>
      <w:r>
        <w:rPr>
          <w:rStyle w:val="Strong"/>
          <w:rFonts w:ascii="微軟正黑體" w:hAnsi="微軟正黑體" w:cs="微軟正黑體"/>
          <w:color w:val="auto"/>
          <w:kern w:val="0"/>
          <w:sz w:val="21"/>
          <w:szCs w:val="21"/>
          <w:lang w:val="en-US" w:eastAsia="zh-TW" w:bidi="ar-SA"/>
        </w:rPr>
        <w:t>零配置（</w:t>
      </w:r>
      <w:r>
        <w:rPr>
          <w:rStyle w:val="Strong"/>
          <w:rFonts w:eastAsia="新細明體" w:cs="微軟正黑體" w:eastAsiaTheme="minorEastAsia"/>
          <w:color w:val="auto"/>
          <w:kern w:val="0"/>
          <w:sz w:val="21"/>
          <w:szCs w:val="21"/>
          <w:lang w:val="en-US" w:eastAsia="zh-TW" w:bidi="ar-SA"/>
        </w:rPr>
        <w:t>Zero-Allocation / GC Free</w:t>
      </w:r>
      <w:r>
        <w:rPr>
          <w:rStyle w:val="Strong"/>
          <w:rFonts w:ascii="微軟正黑體" w:hAnsi="微軟正黑體" w:cs="微軟正黑體"/>
          <w:color w:val="auto"/>
          <w:kern w:val="0"/>
          <w:sz w:val="21"/>
          <w:szCs w:val="21"/>
          <w:lang w:val="en-US" w:eastAsia="zh-TW" w:bidi="ar-SA"/>
        </w:rPr>
        <w:t>）</w:t>
      </w:r>
      <w:r>
        <w:rPr>
          <w:rFonts w:ascii="微軟正黑體" w:hAnsi="微軟正黑體" w:cs="微軟正黑體"/>
          <w:color w:val="auto"/>
          <w:kern w:val="0"/>
          <w:sz w:val="21"/>
          <w:szCs w:val="21"/>
          <w:lang w:val="en-US" w:eastAsia="zh-TW" w:bidi="ar-SA"/>
        </w:rPr>
        <w:t xml:space="preserve">之極速 </w:t>
      </w:r>
      <w:r>
        <w:rPr>
          <w:rFonts w:eastAsia="新細明體" w:cs="微軟正黑體" w:eastAsiaTheme="minorEastAsia"/>
          <w:color w:val="auto"/>
          <w:kern w:val="0"/>
          <w:sz w:val="21"/>
          <w:szCs w:val="21"/>
          <w:lang w:val="en-US" w:eastAsia="zh-TW" w:bidi="ar-SA"/>
        </w:rPr>
        <w:t xml:space="preserve">SHA-256 </w:t>
      </w:r>
      <w:r>
        <w:rPr>
          <w:rFonts w:ascii="微軟正黑體" w:hAnsi="微軟正黑體" w:cs="微軟正黑體"/>
          <w:color w:val="auto"/>
          <w:kern w:val="0"/>
          <w:sz w:val="21"/>
          <w:szCs w:val="21"/>
          <w:lang w:val="en-US" w:eastAsia="zh-TW" w:bidi="ar-SA"/>
        </w:rPr>
        <w:t xml:space="preserve">雜湊鏈運算（單次運算 </w:t>
      </w:r>
      <w:r>
        <w:rPr>
          <w:rFonts w:eastAsia="新細明體" w:cs="微軟正黑體" w:eastAsiaTheme="minorEastAsia"/>
          <w:color w:val="auto"/>
          <w:kern w:val="0"/>
          <w:sz w:val="21"/>
          <w:szCs w:val="21"/>
          <w:lang w:val="en-US" w:eastAsia="zh-TW" w:bidi="ar-SA"/>
        </w:rPr>
        <w:t>&lt; 0.01 ms</w:t>
      </w:r>
      <w:r>
        <w:rPr>
          <w:rFonts w:ascii="微軟正黑體" w:hAnsi="微軟正黑體" w:cs="微軟正黑體"/>
          <w:color w:val="auto"/>
          <w:kern w:val="0"/>
          <w:sz w:val="21"/>
          <w:szCs w:val="21"/>
          <w:lang w:val="en-US" w:eastAsia="zh-TW" w:bidi="ar-SA"/>
        </w:rPr>
        <w:t xml:space="preserve">，完美實作 </w:t>
      </w:r>
      <w:r>
        <w:rPr>
          <w:rStyle w:val="Style16"/>
          <w:rFonts w:eastAsia="新細明體" w:cs="微軟正黑體" w:eastAsiaTheme="minorEastAsia"/>
          <w:color w:val="auto"/>
          <w:kern w:val="0"/>
          <w:sz w:val="21"/>
          <w:szCs w:val="21"/>
          <w:lang w:val="en-US" w:eastAsia="zh-TW" w:bidi="ar-SA"/>
        </w:rPr>
        <w:t>REQ-012</w:t>
      </w:r>
      <w:r>
        <w:rPr>
          <w:rFonts w:ascii="微軟正黑體" w:hAnsi="微軟正黑體" w:cs="微軟正黑體"/>
          <w:color w:val="auto"/>
          <w:kern w:val="0"/>
          <w:sz w:val="21"/>
          <w:szCs w:val="21"/>
          <w:lang w:val="en-US" w:eastAsia="zh-TW" w:bidi="ar-SA"/>
        </w:rPr>
        <w:t>）。</w:t>
      </w:r>
    </w:p>
    <w:p>
      <w:pPr>
        <w:pStyle w:val="ListParagraph"/>
        <w:widowControl/>
        <w:numPr>
          <w:ilvl w:val="0"/>
          <w:numId w:val="3"/>
        </w:numPr>
        <w:suppressAutoHyphens w:val="true"/>
        <w:bidi w:val="0"/>
        <w:spacing w:lineRule="auto" w:line="290" w:before="0" w:after="60"/>
        <w:jc w:val="start"/>
        <w:rPr/>
      </w:pPr>
      <w:r>
        <w:rPr>
          <w:rStyle w:val="Strong"/>
          <w:rFonts w:ascii="微軟正黑體" w:hAnsi="微軟正黑體" w:cs="微軟正黑體"/>
          <w:color w:val="auto"/>
          <w:kern w:val="0"/>
          <w:sz w:val="21"/>
          <w:szCs w:val="21"/>
          <w:lang w:val="en-US" w:eastAsia="zh-TW" w:bidi="ar-SA"/>
        </w:rPr>
        <w:t>防範內賊竄改（</w:t>
      </w:r>
      <w:r>
        <w:rPr>
          <w:rStyle w:val="Strong"/>
          <w:rFonts w:eastAsia="新細明體" w:cs="微軟正黑體" w:eastAsiaTheme="minorEastAsia"/>
          <w:color w:val="auto"/>
          <w:kern w:val="0"/>
          <w:sz w:val="21"/>
          <w:szCs w:val="21"/>
          <w:lang w:val="en-US" w:eastAsia="zh-TW" w:bidi="ar-SA"/>
        </w:rPr>
        <w:t>DBA Bypass</w:t>
      </w:r>
      <w:r>
        <w:rPr>
          <w:rStyle w:val="Strong"/>
          <w:rFonts w:ascii="微軟正黑體" w:hAnsi="微軟正黑體" w:cs="微軟正黑體"/>
          <w:color w:val="auto"/>
          <w:kern w:val="0"/>
          <w:sz w:val="21"/>
          <w:szCs w:val="21"/>
          <w:lang w:val="en-US" w:eastAsia="zh-TW" w:bidi="ar-SA"/>
        </w:rPr>
        <w:t>）</w:t>
      </w:r>
      <w:r>
        <w:rPr>
          <w:rFonts w:ascii="微軟正黑體" w:hAnsi="微軟正黑體" w:cs="微軟正黑體"/>
          <w:color w:val="auto"/>
          <w:kern w:val="0"/>
          <w:sz w:val="21"/>
          <w:szCs w:val="21"/>
          <w:lang w:val="en-US" w:eastAsia="zh-TW" w:bidi="ar-SA"/>
        </w:rPr>
        <w:t xml:space="preserve">：系統提供 </w:t>
      </w:r>
      <w:r>
        <w:rPr>
          <w:rStyle w:val="Style16"/>
          <w:rFonts w:eastAsia="新細明體" w:cs="微軟正黑體" w:eastAsiaTheme="minorEastAsia"/>
          <w:color w:val="auto"/>
          <w:kern w:val="0"/>
          <w:sz w:val="21"/>
          <w:szCs w:val="21"/>
          <w:lang w:val="en-US" w:eastAsia="zh-TW" w:bidi="ar-SA"/>
        </w:rPr>
        <w:t>LedgerVerificationController</w:t>
      </w:r>
      <w:r>
        <w:rPr>
          <w:rFonts w:ascii="微軟正黑體" w:hAnsi="微軟正黑體" w:cs="微軟正黑體"/>
          <w:color w:val="auto"/>
          <w:kern w:val="0"/>
          <w:sz w:val="21"/>
          <w:szCs w:val="21"/>
          <w:lang w:val="en-US" w:eastAsia="zh-TW" w:bidi="ar-SA"/>
        </w:rPr>
        <w:t xml:space="preserve">，整合 </w:t>
      </w:r>
      <w:r>
        <w:rPr>
          <w:rFonts w:eastAsia="新細明體" w:cs="微軟正黑體" w:eastAsiaTheme="minorEastAsia"/>
          <w:color w:val="auto"/>
          <w:kern w:val="0"/>
          <w:sz w:val="21"/>
          <w:szCs w:val="21"/>
          <w:lang w:val="en-US" w:eastAsia="zh-TW" w:bidi="ar-SA"/>
        </w:rPr>
        <w:t xml:space="preserve">SQL Server </w:t>
      </w:r>
      <w:r>
        <w:rPr>
          <w:rFonts w:ascii="微軟正黑體" w:hAnsi="微軟正黑體" w:cs="微軟正黑體"/>
          <w:color w:val="auto"/>
          <w:kern w:val="0"/>
          <w:sz w:val="21"/>
          <w:szCs w:val="21"/>
          <w:lang w:val="en-US" w:eastAsia="zh-TW" w:bidi="ar-SA"/>
        </w:rPr>
        <w:t xml:space="preserve">內建 </w:t>
      </w:r>
      <w:r>
        <w:rPr>
          <w:rStyle w:val="Style16"/>
          <w:rFonts w:eastAsia="新細明體" w:cs="微軟正黑體" w:eastAsiaTheme="minorEastAsia"/>
          <w:color w:val="auto"/>
          <w:kern w:val="0"/>
          <w:sz w:val="21"/>
          <w:szCs w:val="21"/>
          <w:lang w:val="en-US" w:eastAsia="zh-TW" w:bidi="ar-SA"/>
        </w:rPr>
        <w:t>sys.sp_verify_database_ledger</w:t>
      </w:r>
      <w:r>
        <w:rPr>
          <w:rFonts w:eastAsia="新細明體" w:cs="微軟正黑體" w:eastAsiaTheme="minorEastAsia"/>
          <w:color w:val="auto"/>
          <w:kern w:val="0"/>
          <w:sz w:val="21"/>
          <w:szCs w:val="21"/>
          <w:lang w:val="en-US" w:eastAsia="zh-TW" w:bidi="ar-SA"/>
        </w:rPr>
        <w:t xml:space="preserve"> </w:t>
      </w:r>
      <w:r>
        <w:rPr>
          <w:rFonts w:ascii="微軟正黑體" w:hAnsi="微軟正黑體" w:cs="微軟正黑體"/>
          <w:color w:val="auto"/>
          <w:kern w:val="0"/>
          <w:sz w:val="21"/>
          <w:szCs w:val="21"/>
          <w:lang w:val="en-US" w:eastAsia="zh-TW" w:bidi="ar-SA"/>
        </w:rPr>
        <w:t xml:space="preserve">比對資料庫摘要 </w:t>
      </w:r>
      <w:r>
        <w:rPr>
          <w:rFonts w:eastAsia="新細明體" w:cs="微軟正黑體" w:eastAsiaTheme="minorEastAsia"/>
          <w:color w:val="auto"/>
          <w:kern w:val="0"/>
          <w:sz w:val="21"/>
          <w:szCs w:val="21"/>
          <w:lang w:val="en-US" w:eastAsia="zh-TW" w:bidi="ar-SA"/>
        </w:rPr>
        <w:t>[Microsoft Learn]</w:t>
      </w:r>
      <w:r>
        <w:rPr>
          <w:rFonts w:ascii="微軟正黑體" w:hAnsi="微軟正黑體" w:cs="微軟正黑體"/>
          <w:color w:val="auto"/>
          <w:kern w:val="0"/>
          <w:sz w:val="21"/>
          <w:szCs w:val="21"/>
          <w:lang w:val="en-US" w:eastAsia="zh-TW" w:bidi="ar-SA"/>
        </w:rPr>
        <w:t>，並同步走訪應用程式層雜湊鏈。此「雙重校驗邏輯」能確保即使具備最高管理者（</w:t>
      </w:r>
      <w:r>
        <w:rPr>
          <w:rFonts w:eastAsia="新細明體" w:cs="微軟正黑體" w:eastAsiaTheme="minorEastAsia"/>
          <w:color w:val="auto"/>
          <w:kern w:val="0"/>
          <w:sz w:val="21"/>
          <w:szCs w:val="21"/>
          <w:lang w:val="en-US" w:eastAsia="zh-TW" w:bidi="ar-SA"/>
        </w:rPr>
        <w:t>SA</w:t>
      </w:r>
      <w:r>
        <w:rPr>
          <w:rFonts w:ascii="微軟正黑體" w:hAnsi="微軟正黑體" w:cs="微軟正黑體"/>
          <w:color w:val="auto"/>
          <w:kern w:val="0"/>
          <w:sz w:val="21"/>
          <w:szCs w:val="21"/>
          <w:lang w:val="en-US" w:eastAsia="zh-TW" w:bidi="ar-SA"/>
        </w:rPr>
        <w:t xml:space="preserve">）權限之 </w:t>
      </w:r>
      <w:r>
        <w:rPr>
          <w:rFonts w:eastAsia="新細明體" w:cs="微軟正黑體" w:eastAsiaTheme="minorEastAsia"/>
          <w:color w:val="auto"/>
          <w:kern w:val="0"/>
          <w:sz w:val="21"/>
          <w:szCs w:val="21"/>
          <w:lang w:val="en-US" w:eastAsia="zh-TW" w:bidi="ar-SA"/>
        </w:rPr>
        <w:t xml:space="preserve">DBA </w:t>
      </w:r>
      <w:r>
        <w:rPr>
          <w:rFonts w:ascii="微軟正黑體" w:hAnsi="微軟正黑體" w:cs="微軟正黑體"/>
          <w:color w:val="auto"/>
          <w:kern w:val="0"/>
          <w:sz w:val="21"/>
          <w:szCs w:val="21"/>
          <w:lang w:val="en-US" w:eastAsia="zh-TW" w:bidi="ar-SA"/>
        </w:rPr>
        <w:t xml:space="preserve">直接竄改實體資料，亦會因無法偽造應用程式層之時序雜湊鏈而觸發斷鏈告警，從而實作 </w:t>
      </w:r>
      <w:r>
        <w:rPr>
          <w:rStyle w:val="Strong"/>
          <w:rFonts w:eastAsia="新細明體" w:cs="微軟正黑體" w:eastAsiaTheme="minorEastAsia"/>
          <w:color w:val="auto"/>
          <w:kern w:val="0"/>
          <w:sz w:val="21"/>
          <w:szCs w:val="21"/>
          <w:lang w:val="en-US" w:eastAsia="zh-TW" w:bidi="ar-SA"/>
        </w:rPr>
        <w:t xml:space="preserve">ISO 17025 </w:t>
      </w:r>
      <w:r>
        <w:rPr>
          <w:rStyle w:val="Strong"/>
          <w:rFonts w:ascii="微軟正黑體" w:hAnsi="微軟正黑體" w:cs="微軟正黑體"/>
          <w:color w:val="auto"/>
          <w:kern w:val="0"/>
          <w:sz w:val="21"/>
          <w:szCs w:val="21"/>
          <w:lang w:val="en-US" w:eastAsia="zh-TW" w:bidi="ar-SA"/>
        </w:rPr>
        <w:t>數據不可否認性（</w:t>
      </w:r>
      <w:r>
        <w:rPr>
          <w:rStyle w:val="Strong"/>
          <w:rFonts w:eastAsia="新細明體" w:cs="微軟正黑體" w:eastAsiaTheme="minorEastAsia"/>
          <w:color w:val="auto"/>
          <w:kern w:val="0"/>
          <w:sz w:val="21"/>
          <w:szCs w:val="21"/>
          <w:lang w:val="en-US" w:eastAsia="zh-TW" w:bidi="ar-SA"/>
        </w:rPr>
        <w:t>Non-repudiation</w:t>
      </w:r>
      <w:r>
        <w:rPr>
          <w:rStyle w:val="Strong"/>
          <w:rFonts w:ascii="微軟正黑體" w:hAnsi="微軟正黑體" w:cs="微軟正黑體"/>
          <w:color w:val="auto"/>
          <w:kern w:val="0"/>
          <w:sz w:val="21"/>
          <w:szCs w:val="21"/>
          <w:lang w:val="en-US" w:eastAsia="zh-TW" w:bidi="ar-SA"/>
        </w:rPr>
        <w:t>）</w:t>
      </w:r>
      <w:r>
        <w:rPr>
          <w:rFonts w:ascii="微軟正黑體" w:hAnsi="微軟正黑體" w:cs="微軟正黑體"/>
          <w:color w:val="auto"/>
          <w:kern w:val="0"/>
          <w:sz w:val="21"/>
          <w:szCs w:val="21"/>
          <w:lang w:val="en-US" w:eastAsia="zh-TW" w:bidi="ar-SA"/>
        </w:rPr>
        <w:t xml:space="preserve"> 的最高合規標準。</w:t>
      </w:r>
    </w:p>
    <w:p>
      <w:pPr>
        <w:pStyle w:val="ListParagraph"/>
        <w:numPr>
          <w:ilvl w:val="0"/>
          <w:numId w:val="3"/>
        </w:numPr>
        <w:spacing w:lineRule="auto" w:line="290" w:before="0" w:after="60"/>
        <w:rPr/>
      </w:pPr>
      <w:r>
        <w:rPr>
          <w:rFonts w:eastAsia="微軟正黑體"/>
          <w:b/>
          <w:bCs/>
        </w:rPr>
        <w:t xml:space="preserve">ISO 17025 </w:t>
      </w:r>
      <w:r>
        <w:rPr>
          <w:rFonts w:eastAsia="微軟正黑體"/>
          <w:b/>
          <w:bCs/>
        </w:rPr>
        <w:t>追溯性</w:t>
      </w:r>
      <w:r>
        <w:rPr>
          <w:rFonts w:eastAsia="微軟正黑體"/>
        </w:rPr>
        <w:t xml:space="preserve">：資料異動須記入具不可否認性之稽核日誌；每筆含 </w:t>
      </w:r>
      <w:r>
        <w:rPr>
          <w:rFonts w:eastAsia="Consolas" w:cs="Consolas" w:ascii="Consolas" w:hAnsi="Consolas"/>
          <w:sz w:val="19"/>
          <w:szCs w:val="19"/>
        </w:rPr>
        <w:t>PreviousHash</w:t>
      </w:r>
      <w:r>
        <w:rPr>
          <w:rFonts w:eastAsia="微軟正黑體"/>
        </w:rPr>
        <w:t xml:space="preserve">，以 </w:t>
      </w:r>
      <w:r>
        <w:rPr>
          <w:rFonts w:eastAsia="微軟正黑體"/>
        </w:rPr>
        <w:t xml:space="preserve">SHA-256 </w:t>
      </w:r>
      <w:r>
        <w:rPr>
          <w:rFonts w:eastAsia="微軟正黑體"/>
        </w:rPr>
        <w:t xml:space="preserve">形成雜湊鏈，資料表以 </w:t>
      </w:r>
      <w:r>
        <w:rPr>
          <w:rFonts w:eastAsia="微軟正黑體"/>
        </w:rPr>
        <w:t>Ledger</w:t>
      </w:r>
      <w:r>
        <w:rPr>
          <w:rFonts w:eastAsia="微軟正黑體"/>
        </w:rPr>
        <w:t>（</w:t>
      </w:r>
      <w:r>
        <w:rPr>
          <w:rFonts w:eastAsia="微軟正黑體"/>
        </w:rPr>
        <w:t>APPEND_ONLY</w:t>
      </w:r>
      <w:r>
        <w:rPr>
          <w:rFonts w:eastAsia="微軟正黑體"/>
        </w:rPr>
        <w:t xml:space="preserve">）保護，並提供 </w:t>
      </w:r>
      <w:r>
        <w:rPr>
          <w:rFonts w:eastAsia="Consolas" w:cs="Consolas" w:ascii="Consolas" w:hAnsi="Consolas"/>
          <w:sz w:val="19"/>
          <w:szCs w:val="19"/>
        </w:rPr>
        <w:t>LedgerVerificationController</w:t>
      </w:r>
      <w:r>
        <w:rPr>
          <w:rFonts w:eastAsia="微軟正黑體"/>
        </w:rPr>
        <w:t xml:space="preserve"> </w:t>
      </w:r>
      <w:r>
        <w:rPr>
          <w:rFonts w:eastAsia="微軟正黑體"/>
        </w:rPr>
        <w:t xml:space="preserve">驗證與 </w:t>
      </w:r>
      <w:r>
        <w:rPr>
          <w:rFonts w:eastAsia="微軟正黑體"/>
        </w:rPr>
        <w:t xml:space="preserve">PDF </w:t>
      </w:r>
      <w:r>
        <w:rPr>
          <w:rFonts w:eastAsia="微軟正黑體"/>
        </w:rPr>
        <w:t>報告。</w:t>
      </w:r>
    </w:p>
    <w:p>
      <w:pPr>
        <w:pStyle w:val="ListParagraph"/>
        <w:numPr>
          <w:ilvl w:val="0"/>
          <w:numId w:val="3"/>
        </w:numPr>
        <w:spacing w:lineRule="auto" w:line="290" w:before="0" w:after="60"/>
        <w:rPr>
          <w:rFonts w:eastAsia="微軟正黑體"/>
        </w:rPr>
      </w:pPr>
      <w:r>
        <w:rPr>
          <w:rFonts w:eastAsia="微軟正黑體"/>
          <w:b/>
          <w:bCs/>
        </w:rPr>
        <w:t>軟體供應鏈安全」（</w:t>
      </w:r>
      <w:r>
        <w:rPr>
          <w:rFonts w:eastAsia="微軟正黑體"/>
          <w:b/>
          <w:bCs/>
        </w:rPr>
        <w:t>Software Supply Chain Security</w:t>
      </w:r>
      <w:r>
        <w:rPr>
          <w:rFonts w:eastAsia="微軟正黑體"/>
          <w:b/>
          <w:bCs/>
        </w:rPr>
        <w:t xml:space="preserve">） </w:t>
      </w:r>
      <w:r>
        <w:rPr>
          <w:rFonts w:eastAsia="微軟正黑體"/>
        </w:rPr>
        <w:t>：外掛必須通過數位簽章（模組層與系統層雙階段）與憑證指紋驗證才可載入。</w:t>
      </w:r>
    </w:p>
    <w:p>
      <w:pPr>
        <w:pStyle w:val="ListParagraph"/>
        <w:numPr>
          <w:ilvl w:val="0"/>
          <w:numId w:val="3"/>
        </w:numPr>
        <w:spacing w:lineRule="auto" w:line="290" w:before="0" w:after="60"/>
        <w:rPr>
          <w:rFonts w:eastAsia="微軟正黑體"/>
        </w:rPr>
      </w:pPr>
      <w:r>
        <w:rPr>
          <w:rFonts w:eastAsia="微軟正黑體"/>
          <w:b/>
          <w:bCs/>
        </w:rPr>
        <w:t xml:space="preserve">前端 </w:t>
      </w:r>
      <w:r>
        <w:rPr>
          <w:rFonts w:eastAsia="微軟正黑體"/>
          <w:b/>
          <w:bCs/>
        </w:rPr>
        <w:t xml:space="preserve">SPA </w:t>
      </w:r>
      <w:r>
        <w:rPr>
          <w:rFonts w:eastAsia="微軟正黑體"/>
          <w:b/>
          <w:bCs/>
        </w:rPr>
        <w:t>模組安全：</w:t>
      </w:r>
      <w:r>
        <w:rPr>
          <w:rFonts w:eastAsia="微軟正黑體"/>
        </w:rPr>
        <w:t xml:space="preserve">已實作：上傳之模組套件須通過 </w:t>
      </w:r>
      <w:r>
        <w:rPr>
          <w:rFonts w:eastAsia="微軟正黑體"/>
        </w:rPr>
        <w:t>Zip Slip</w:t>
      </w:r>
      <w:r>
        <w:rPr>
          <w:rFonts w:eastAsia="微軟正黑體"/>
        </w:rPr>
        <w:t xml:space="preserve">（路徑穿越）檢查，並以 </w:t>
      </w:r>
      <w:r>
        <w:rPr>
          <w:rFonts w:eastAsia="微軟正黑體"/>
        </w:rPr>
        <w:t xml:space="preserve">manifest </w:t>
      </w:r>
      <w:r>
        <w:rPr>
          <w:rFonts w:eastAsia="微軟正黑體"/>
        </w:rPr>
        <w:t xml:space="preserve">記載之 </w:t>
      </w:r>
      <w:r>
        <w:rPr>
          <w:rFonts w:eastAsia="微軟正黑體"/>
        </w:rPr>
        <w:t>SHA-256</w:t>
      </w:r>
      <w:r>
        <w:rPr>
          <w:rFonts w:eastAsia="微軟正黑體"/>
        </w:rPr>
        <w:t>（</w:t>
      </w:r>
      <w:r>
        <w:rPr>
          <w:rFonts w:eastAsia="微軟正黑體"/>
        </w:rPr>
        <w:t>FileHash</w:t>
      </w:r>
      <w:r>
        <w:rPr>
          <w:rFonts w:eastAsia="微軟正黑體"/>
        </w:rPr>
        <w:t>）驗證進入點檔案完整性。</w:t>
      </w:r>
    </w:p>
    <w:p>
      <w:pPr>
        <w:pStyle w:val="ListParagraph"/>
        <w:numPr>
          <w:ilvl w:val="0"/>
          <w:numId w:val="3"/>
        </w:numPr>
        <w:spacing w:lineRule="auto" w:line="290" w:before="0" w:after="60"/>
        <w:rPr>
          <w:rFonts w:eastAsia="微軟正黑體"/>
        </w:rPr>
      </w:pPr>
      <w:r>
        <w:rPr>
          <w:rFonts w:eastAsia="微軟正黑體"/>
          <w:b/>
          <w:bCs/>
        </w:rPr>
        <w:t>設計要求（待實作確認）：</w:t>
      </w:r>
      <w:r>
        <w:rPr>
          <w:rFonts w:eastAsia="微軟正黑體"/>
        </w:rPr>
        <w:t xml:space="preserve">僅具模組管理權限者得上傳或卸載 </w:t>
      </w:r>
      <w:r>
        <w:rPr>
          <w:rFonts w:eastAsia="微軟正黑體"/>
        </w:rPr>
        <w:t xml:space="preserve">SPA </w:t>
      </w:r>
      <w:r>
        <w:rPr>
          <w:rFonts w:eastAsia="微軟正黑體"/>
        </w:rPr>
        <w:t xml:space="preserve">模組；動態載入之模組須來自受信任來源；前端以 </w:t>
      </w:r>
      <w:r>
        <w:rPr>
          <w:rFonts w:eastAsia="微軟正黑體"/>
        </w:rPr>
        <w:t xml:space="preserve">Content-Security-Policy </w:t>
      </w:r>
      <w:r>
        <w:rPr>
          <w:rFonts w:eastAsia="微軟正黑體"/>
        </w:rPr>
        <w:t xml:space="preserve">限制 </w:t>
      </w:r>
      <w:r>
        <w:rPr>
          <w:rFonts w:eastAsia="微軟正黑體"/>
        </w:rPr>
        <w:t xml:space="preserve">script </w:t>
      </w:r>
      <w:r>
        <w:rPr>
          <w:rFonts w:eastAsia="微軟正黑體"/>
        </w:rPr>
        <w:t xml:space="preserve">來源，並禁止以 </w:t>
      </w:r>
      <w:r>
        <w:rPr>
          <w:rFonts w:eastAsia="微軟正黑體"/>
        </w:rPr>
        <w:t xml:space="preserve">v-html </w:t>
      </w:r>
      <w:r>
        <w:rPr>
          <w:rFonts w:eastAsia="微軟正黑體"/>
        </w:rPr>
        <w:t xml:space="preserve">輸出未淨化內容，以防範儲存型 </w:t>
      </w:r>
      <w:r>
        <w:rPr>
          <w:rFonts w:eastAsia="微軟正黑體"/>
        </w:rPr>
        <w:t>XSS</w:t>
      </w:r>
      <w:r>
        <w:rPr>
          <w:rFonts w:eastAsia="微軟正黑體"/>
        </w:rPr>
        <w:t>。</w:t>
      </w:r>
    </w:p>
    <w:p>
      <w:pPr>
        <w:pStyle w:val="ListParagraph"/>
        <w:numPr>
          <w:ilvl w:val="0"/>
          <w:numId w:val="3"/>
        </w:numPr>
        <w:spacing w:lineRule="auto" w:line="290" w:before="0" w:after="60"/>
        <w:rPr>
          <w:rFonts w:eastAsia="微軟正黑體"/>
        </w:rPr>
      </w:pPr>
      <w:r>
        <w:rPr>
          <w:rFonts w:eastAsia="微軟正黑體"/>
          <w:b/>
          <w:bCs/>
        </w:rPr>
        <w:t xml:space="preserve">第三方套件授權：</w:t>
      </w:r>
      <w:r>
        <w:rPr>
          <w:rFonts w:eastAsia="微軟正黑體"/>
        </w:rPr>
        <w:t xml:space="preserve">各套件之授權模式彙整於 2.4「第三方套件授權模式」。批次稽核寫入已改用原生 SqlBulkCopy（Microsoft.Data.SqlClient，MIT），並已自 Core 移除 EFCore.BulkExtensions（其為雙授權，Community 授權須符合年營收低於 100 萬美元、非營利組織或開源軟體專案等條件，否則須購買商業授權），消弭此項授權風險。QuestPDF 現用 2022.12.15 為 MIT 授權，但較新版本已改採分級授權（Community／Professional／Enterprise），升級前須先確認；MediatR 等套件於升級主版本前，亦須先確認授權條款是否變動。</w:t>
      </w:r>
    </w:p>
    <w:p>
      <w:pPr>
        <w:pStyle w:val="Heading3"/>
        <w:rPr/>
      </w:pPr>
      <w:bookmarkStart w:id="46" w:name="__RefHeading___Toc3316_1895412299"/>
      <w:bookmarkStart w:id="47" w:name="_Toc243493467"/>
      <w:bookmarkEnd w:id="46"/>
      <w:r>
        <w:rPr/>
        <w:t xml:space="preserve">2.6.2 </w:t>
      </w:r>
      <w:r>
        <w:rPr/>
        <w:t>架構與依賴原則</w:t>
      </w:r>
      <w:bookmarkEnd w:id="47"/>
    </w:p>
    <w:p>
      <w:pPr>
        <w:pStyle w:val="Normal"/>
        <w:spacing w:lineRule="auto" w:line="300" w:before="0" w:after="100"/>
      </w:pPr>
      <w:r>
        <w:rPr>
          <w:rFonts w:eastAsia="微軟正黑體"/>
        </w:rPr>
        <w:t xml:space="preserve">規範性用語：「須」為強制要求，「應」為建議，「得」為可選。「現況」依原始碼審查結果；標示「偏離」或「待」者為目標規範，須依路線圖補齊。</w:t>
      </w:r>
    </w:p>
    <w:p>
      <w:pPr>
        <w:pStyle w:val="Normal"/>
        <w:keepNext/>
        <w:spacing w:lineRule="auto" w:line="300" w:before="0" w:after="100"/>
      </w:pPr>
      <w:r>
        <w:rPr>
          <w:rFonts w:eastAsia="微軟正黑體"/>
          <w:b/>
          <w:bCs/>
        </w:rPr>
        <w:t xml:space="preserve">架構目標：</w:t>
      </w:r>
      <w:r>
        <w:rPr>
          <w:rFonts w:eastAsia="微軟正黑體"/>
        </w:rPr>
        <w:t xml:space="preserve">領域層不依賴基礎設施，跨模組透過介面或事件通訊，禁止循環依賴（Clean Architecture）。</w:t>
      </w:r>
    </w:p>
    <w:tbl>
      <w:tblPr>
        <w:tblW w:w="9638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900"/>
        <w:gridCol w:w="1500"/>
        <w:gridCol w:w="3700"/>
        <w:gridCol w:w="2200"/>
        <w:gridCol w:w="1338"/>
      </w:tblGrid>
      <w:tr>
        <w:trPr>
          <w:tblHeader w:val="true"/>
        </w:trPr>
        <w:tc>
          <w:tcPr>
            <w:tcW w:w="9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val="clear" w:color="auto" w:fill="1F4E79"/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 xml:space="preserve">編號</w:t>
            </w:r>
          </w:p>
        </w:tc>
        <w:tc>
          <w:tcPr>
            <w:tcW w:w="1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val="clear" w:color="auto" w:fill="1F4E79"/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w="37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val="clear" w:color="auto" w:fill="1F4E79"/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 xml:space="preserve">規範</w:t>
            </w:r>
          </w:p>
        </w:tc>
        <w:tc>
          <w:tcPr>
            <w:tcW w:w="22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val="clear" w:color="auto" w:fill="1F4E79"/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 xml:space="preserve">現況</w:t>
            </w:r>
          </w:p>
        </w:tc>
        <w:tc>
          <w:tcPr>
            <w:tcW w:w="13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val="clear" w:color="auto" w:fill="1F4E79"/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 xml:space="preserve">驗證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ARC-01</w:t>
            </w:r>
          </w:p>
        </w:tc>
        <w:tc>
          <w:tcPr>
            <w:tcW w:w="1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 xml:space="preserve">依賴方向</w:t>
            </w:r>
          </w:p>
        </w:tc>
        <w:tc>
          <w:tcPr>
            <w:tcW w:w="37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依賴須由外向內。領域層與 Shared Kernel（SGSFramework.Core）不得引用基礎設施套件（EF Core、報表、日誌／快取／韌性之實作等）；基礎設施實作 Core 定義之介面，並由 ApiInfrastructure 於組合根註入。</w:t>
            </w:r>
          </w:p>
        </w:tc>
        <w:tc>
          <w:tcPr>
            <w:tcW w:w="22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偏離：Core 目前引用 EF Core、MediatR、FluentValidation、FusionCache、QuestPDF、MiniExcel、Polly、Serilog、Bogus（EFCore.BulkExtensions 已移除）。</w:t>
            </w:r>
          </w:p>
        </w:tc>
        <w:tc>
          <w:tcPr>
            <w:tcW w:w="13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TC-ARCH-N001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ARC-02</w:t>
            </w:r>
          </w:p>
        </w:tc>
        <w:tc>
          <w:tcPr>
            <w:tcW w:w="1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 xml:space="preserve">模組隔離</w:t>
            </w:r>
          </w:p>
        </w:tc>
        <w:tc>
          <w:tcPr>
            <w:tcW w:w="37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業務模組間須透過 Contracts 組件或事件互通，不得互相直接引用；禁止循環依賴。</w:t>
            </w:r>
          </w:p>
        </w:tc>
        <w:tc>
          <w:tcPr>
            <w:tcW w:w="22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大致遵循：ORG 以 ORG.Contracts 對外暴露介面。</w:t>
            </w:r>
          </w:p>
        </w:tc>
        <w:tc>
          <w:tcPr>
            <w:tcW w:w="13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TC-ARCH-N002、TC-ARCH-N003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ARC-03</w:t>
            </w:r>
          </w:p>
        </w:tc>
        <w:tc>
          <w:tcPr>
            <w:tcW w:w="1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 xml:space="preserve">持久化邊界</w:t>
            </w:r>
          </w:p>
        </w:tc>
        <w:tc>
          <w:tcPr>
            <w:tcW w:w="37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EF Core、DbContext、Fluent 設定與批次寫入實作須置於 SGSFramework.Persistent（及各模組 Infrastructure）；Core 僅保留 POCO 實體與不含實作之 Repository／查詢介面。</w:t>
            </w:r>
          </w:p>
        </w:tc>
        <w:tc>
          <w:tcPr>
            <w:tcW w:w="22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待重構（路線圖階段一）。</w:t>
            </w:r>
          </w:p>
        </w:tc>
        <w:tc>
          <w:tcPr>
            <w:tcW w:w="13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TC-ARCH-N001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ARC-04</w:t>
            </w:r>
          </w:p>
        </w:tc>
        <w:tc>
          <w:tcPr>
            <w:tcW w:w="1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 xml:space="preserve">橫切套件</w:t>
            </w:r>
          </w:p>
        </w:tc>
        <w:tc>
          <w:tcPr>
            <w:tcW w:w="37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報表（QuestPDF、MiniExcel）、日誌（Serilog）、快取（FusionCache）、韌性（Polly）之實作須置於對應 Infrastructure 組件，Core 僅留抽象介面；測試資料套件（Bogus）僅限測試或開發專案。</w:t>
            </w:r>
          </w:p>
        </w:tc>
        <w:tc>
          <w:tcPr>
            <w:tcW w:w="22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待重構（路線圖階段二）。</w:t>
            </w:r>
          </w:p>
        </w:tc>
        <w:tc>
          <w:tcPr>
            <w:tcW w:w="13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TC-ARCH-N001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ARC-05</w:t>
            </w:r>
          </w:p>
        </w:tc>
        <w:tc>
          <w:tcPr>
            <w:tcW w:w="1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 xml:space="preserve">CI 守門</w:t>
            </w:r>
          </w:p>
        </w:tc>
        <w:tc>
          <w:tcPr>
            <w:tcW w:w="37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須於 CI 以架構測試檢查 ARC-01 至 ARC-04，違反即建置失敗；新增例外須經架構審查，並記錄於本節。</w:t>
            </w:r>
          </w:p>
        </w:tc>
        <w:tc>
          <w:tcPr>
            <w:tcW w:w="22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待建立（路線圖階段三）。</w:t>
            </w:r>
          </w:p>
        </w:tc>
        <w:tc>
          <w:tcPr>
            <w:tcW w:w="13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TC-ARCH-N001、TC-ARCH-N002、TC-ARCH-N003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ARC-06</w:t>
            </w:r>
          </w:p>
        </w:tc>
        <w:tc>
          <w:tcPr>
            <w:tcW w:w="1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 xml:space="preserve">通用程式規範</w:t>
            </w:r>
          </w:p>
        </w:tc>
        <w:tc>
          <w:tcPr>
            <w:tcW w:w="37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時間須由 TimeProvider 取得，不得使用 DateTime.Now；I/O 方法須傳遞 CancellationToken；專案須啟用 Nullable。</w:t>
            </w:r>
          </w:p>
        </w:tc>
        <w:tc>
          <w:tcPr>
            <w:tcW w:w="22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既有規範，持續適用。</w:t>
            </w:r>
          </w:p>
        </w:tc>
        <w:tc>
          <w:tcPr>
            <w:tcW w:w="13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程式碼審查（驗證方法 I）</w:t>
            </w:r>
          </w:p>
        </w:tc>
      </w:tr>
    </w:tbl>
    <w:p>
      <w:pPr>
        <w:pStyle w:val="Normal"/>
        <w:spacing w:before="0" w:after="80"/>
      </w:pPr>
    </w:p>
    <w:p>
      <w:pPr>
        <w:pStyle w:val="Normal"/>
        <w:keepNext/>
        <w:spacing w:lineRule="auto" w:line="300" w:before="0" w:after="100"/>
      </w:pPr>
      <w:r>
        <w:rPr>
          <w:rFonts w:eastAsia="微軟正黑體"/>
          <w:b/>
          <w:bCs/>
        </w:rPr>
        <w:t xml:space="preserve">重構路線圖：</w:t>
      </w:r>
      <w:r>
        <w:rPr>
          <w:rFonts w:eastAsia="微軟正黑體"/>
        </w:rPr>
        <w:t xml:space="preserve">依階段一、二、三順序執行，各階段須獨立合併，不得與功能開發混於同一變更；遷移期間以轉接介面維持相容，完成後再移除舊參考。</w:t>
      </w:r>
    </w:p>
    <w:tbl>
      <w:tblPr>
        <w:tblW w:w="9638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1700"/>
        <w:gridCol w:w="4600"/>
        <w:gridCol w:w="3338"/>
      </w:tblGrid>
      <w:tr>
        <w:trPr>
          <w:tblHeader w:val="true"/>
        </w:trPr>
        <w:tc>
          <w:tcPr>
            <w:tcW w:w="17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val="clear" w:color="auto" w:fill="1F4E79"/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 xml:space="preserve">階段</w:t>
            </w:r>
          </w:p>
        </w:tc>
        <w:tc>
          <w:tcPr>
            <w:tcW w:w="4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val="clear" w:color="auto" w:fill="1F4E79"/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 xml:space="preserve">工作內容</w:t>
            </w:r>
          </w:p>
        </w:tc>
        <w:tc>
          <w:tcPr>
            <w:tcW w:w="33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val="clear" w:color="auto" w:fill="1F4E79"/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 xml:space="preserve">完成準則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階段一：持久化</w:t>
            </w:r>
          </w:p>
        </w:tc>
        <w:tc>
          <w:tcPr>
            <w:tcW w:w="4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將 Microsoft.EntityFrameworkCore.* 自 Core 移至 SGSFramework.Persistent；DbContext 與 Fluent 設定隨之搬遷，Core 僅留 POCO 與介面。（EFCore.BulkExtensions 已移除。）</w:t>
            </w:r>
          </w:p>
        </w:tc>
        <w:tc>
          <w:tcPr>
            <w:tcW w:w="33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SGSFramework.Core.csproj 不含 EF Core 相關參考；既有 Migrations 與整合測試全數通過。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階段二：橫切實作</w:t>
            </w:r>
          </w:p>
        </w:tc>
        <w:tc>
          <w:tcPr>
            <w:tcW w:w="4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將 QuestPDF、MiniExcel 移至 ReportEngine；Serilog、FusionCache、Polly 之實作移至對應 Infrastructure 組件；Bogus 移至測試專案。</w:t>
            </w:r>
          </w:p>
        </w:tc>
        <w:tc>
          <w:tcPr>
            <w:tcW w:w="33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Core 不含上述套件參考；各組件以介面注入並通過整合測試。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階段三：CI 守門</w:t>
            </w:r>
          </w:p>
        </w:tc>
        <w:tc>
          <w:tcPr>
            <w:tcW w:w="4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以 NetArchTest 等工具建立架構測試，納入 CI 流程。</w:t>
            </w:r>
          </w:p>
        </w:tc>
        <w:tc>
          <w:tcPr>
            <w:tcW w:w="33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ARC-01 至 ARC-04 之架構測試全數綠燈，且違反時建置失敗。</w:t>
            </w:r>
          </w:p>
        </w:tc>
      </w:tr>
    </w:tbl>
    <w:p>
      <w:pPr>
        <w:pStyle w:val="Normal"/>
        <w:spacing w:before="0" w:after="80"/>
      </w:pPr>
    </w:p>
    <w:p>
      <w:pPr>
        <w:pStyle w:val="Heading3"/>
        <w:rPr/>
      </w:pPr>
      <w:bookmarkStart w:id="48" w:name="__RefHeading___Toc3318_1895412299"/>
      <w:bookmarkStart w:id="49" w:name="_Toc243493468"/>
      <w:bookmarkEnd w:id="48"/>
      <w:r>
        <w:rPr/>
        <w:t xml:space="preserve">2.6.3 </w:t>
      </w:r>
      <w:r>
        <w:rPr/>
        <w:t xml:space="preserve">高併發與 </w:t>
      </w:r>
      <w:r>
        <w:rPr/>
        <w:t xml:space="preserve">Race Condition </w:t>
      </w:r>
      <w:r>
        <w:rPr/>
        <w:t>控制</w:t>
      </w:r>
      <w:bookmarkEnd w:id="49"/>
    </w:p>
    <w:p>
      <w:pPr>
        <w:pStyle w:val="Normal"/>
        <w:spacing w:lineRule="auto" w:line="300" w:before="0" w:after="100"/>
      </w:pPr>
      <w:r>
        <w:rPr>
          <w:rFonts w:eastAsia="微軟正黑體"/>
          <w:b/>
          <w:bCs/>
        </w:rPr>
        <w:t xml:space="preserve">設計目標：</w:t>
      </w:r>
      <w:r>
        <w:rPr>
          <w:rFonts w:eastAsia="微軟正黑體"/>
        </w:rPr>
        <w:t xml:space="preserve">API 執行緒不得因等待資料庫寫入而阻塞（支援 REQ-012：P95 &lt; 100 ms 之目標），同時保證稽核紀錄之順序、完整與不可否認（REQ-008、REQ-015）。</w:t>
      </w:r>
    </w:p>
    <w:p>
      <w:pPr>
        <w:pStyle w:val="Normal"/>
        <w:keepNext/>
        <w:spacing w:lineRule="auto" w:line="300" w:before="0" w:after="100"/>
      </w:pPr>
      <w:r>
        <w:rPr>
          <w:rFonts w:eastAsia="微軟正黑體"/>
          <w:b/>
          <w:bCs/>
        </w:rPr>
        <w:t xml:space="preserve">稽核寫入模型：</w:t>
      </w:r>
      <w:r>
        <w:rPr>
          <w:rFonts w:eastAsia="微軟正黑體"/>
        </w:rPr>
        <w:t xml:space="preserve">生產者（API 請求）將稽核事件非阻塞投入有界強型別 Channel，由單一消費者 AuditWorker 依序取出、串接 PreviousHash 與計算 SHA-256，再批次寫入 SQL Server Ledger（APPEND_ONLY）資料表。下表為規範與現況對照；「待補強」或「偏離」項目為目標規範，實作完成前不得對外宣稱已具備斷電防禦能力。</w:t>
      </w:r>
    </w:p>
    <w:tbl>
      <w:tblPr>
        <w:tblW w:w="9638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900"/>
        <w:gridCol w:w="1500"/>
        <w:gridCol w:w="3800"/>
        <w:gridCol w:w="2200"/>
        <w:gridCol w:w="1238"/>
      </w:tblGrid>
      <w:tr>
        <w:trPr>
          <w:tblHeader w:val="true"/>
        </w:trPr>
        <w:tc>
          <w:tcPr>
            <w:tcW w:w="9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val="clear" w:color="auto" w:fill="1F4E79"/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 xml:space="preserve">編號</w:t>
            </w:r>
          </w:p>
        </w:tc>
        <w:tc>
          <w:tcPr>
            <w:tcW w:w="1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val="clear" w:color="auto" w:fill="1F4E79"/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w="3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val="clear" w:color="auto" w:fill="1F4E79"/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 xml:space="preserve">規範</w:t>
            </w:r>
          </w:p>
        </w:tc>
        <w:tc>
          <w:tcPr>
            <w:tcW w:w="22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val="clear" w:color="auto" w:fill="1F4E79"/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 xml:space="preserve">現況</w:t>
            </w:r>
          </w:p>
        </w:tc>
        <w:tc>
          <w:tcPr>
            <w:tcW w:w="1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val="clear" w:color="auto" w:fill="1F4E79"/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 xml:space="preserve">驗證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CON-01</w:t>
            </w:r>
          </w:p>
        </w:tc>
        <w:tc>
          <w:tcPr>
            <w:tcW w:w="1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 xml:space="preserve">換票序列化</w:t>
            </w:r>
          </w:p>
        </w:tc>
        <w:tc>
          <w:tcPr>
            <w:tcW w:w="3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Refresh Token 輪替須由 ITokenRefresher 協調器確保同一時間只換票一次（並行 401 共用結果）；前端須以共用 Promise（single-flight）序列化換票。</w:t>
            </w:r>
          </w:p>
        </w:tc>
        <w:tc>
          <w:tcPr>
            <w:tcW w:w="22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已實作。</w:t>
            </w:r>
          </w:p>
        </w:tc>
        <w:tc>
          <w:tcPr>
            <w:tcW w:w="1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TC-AUTH-F002、TC-AUTHFE-F002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CON-02</w:t>
            </w:r>
          </w:p>
        </w:tc>
        <w:tc>
          <w:tcPr>
            <w:tcW w:w="1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 xml:space="preserve">工作階段撤銷</w:t>
            </w:r>
          </w:p>
        </w:tc>
        <w:tc>
          <w:tcPr>
            <w:tcW w:w="3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登入裝置數上限與撤銷由伺服端工作階段表控管；撤銷時須經 SessionHub 即時通知其他裝置。</w:t>
            </w:r>
          </w:p>
        </w:tc>
        <w:tc>
          <w:tcPr>
            <w:tcW w:w="22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後端已實作；前端串接待確認。</w:t>
            </w:r>
          </w:p>
        </w:tc>
        <w:tc>
          <w:tcPr>
            <w:tcW w:w="1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TC-AUTH-F003、TC-RT-F001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CON-03</w:t>
            </w:r>
          </w:p>
        </w:tc>
        <w:tc>
          <w:tcPr>
            <w:tcW w:w="1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 xml:space="preserve">單一消費者與雜湊順序</w:t>
            </w:r>
          </w:p>
        </w:tc>
        <w:tc>
          <w:tcPr>
            <w:tcW w:w="3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AuditChannel 須為多寫入者、單一消費者（SingleWriter=false、SingleReader=true）；PreviousHash 串接與 SHA-256 計算僅得由 AuditWorker 單一消費者執行，其他執行緒不得計算或寫入雜湊，以消除並行計算之 Race Condition。</w:t>
            </w:r>
          </w:p>
        </w:tc>
        <w:tc>
          <w:tcPr>
            <w:tcW w:w="22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已實作。</w:t>
            </w:r>
          </w:p>
        </w:tc>
        <w:tc>
          <w:tcPr>
            <w:tcW w:w="1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TC-AUDIT-F001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CON-04</w:t>
            </w:r>
          </w:p>
        </w:tc>
        <w:tc>
          <w:tcPr>
            <w:tcW w:w="1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 xml:space="preserve">背壓與不丟棄</w:t>
            </w:r>
          </w:p>
        </w:tc>
        <w:tc>
          <w:tcPr>
            <w:tcW w:w="3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通道須為有界；通道滿載時生產端須等待（FullMode=Wait），不得靜默丟棄稽核事件；同步 TryAdd 回傳 false 時，呼叫端須重試或記錄。生產端須以非阻塞方式投遞，API 請求不等待落地。</w:t>
            </w:r>
          </w:p>
        </w:tc>
        <w:tc>
          <w:tcPr>
            <w:tcW w:w="22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有界通道（容量 5000）已實作；TryAdd 失敗處理待補強。</w:t>
            </w:r>
          </w:p>
        </w:tc>
        <w:tc>
          <w:tcPr>
            <w:tcW w:w="1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TC-AUDIT-R005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CON-05</w:t>
            </w:r>
          </w:p>
        </w:tc>
        <w:tc>
          <w:tcPr>
            <w:tcW w:w="1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 xml:space="preserve">批次與刷新閾值</w:t>
            </w:r>
          </w:p>
        </w:tc>
        <w:tc>
          <w:tcPr>
            <w:tcW w:w="3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暫存緩衝區須以「滿 1,000 筆」或「每 3 秒」雙閾值觸發寫入；閾值須可由組態調整，並於啟動日誌記錄。</w:t>
            </w:r>
          </w:p>
        </w:tc>
        <w:tc>
          <w:tcPr>
            <w:tcW w:w="22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偏離：目前為程式常數 10 筆／2 秒。</w:t>
            </w:r>
          </w:p>
        </w:tc>
        <w:tc>
          <w:tcPr>
            <w:tcW w:w="1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TC-AUDIT-P001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CON-06</w:t>
            </w:r>
          </w:p>
        </w:tc>
        <w:tc>
          <w:tcPr>
            <w:tcW w:w="1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 xml:space="preserve">原生批次寫入</w:t>
            </w:r>
          </w:p>
        </w:tc>
        <w:tc>
          <w:tcPr>
            <w:tcW w:w="3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批次寫入須採 Microsoft.Data.SqlClient.SqlBulkCopy，以內部交易（Internal Transaction）包住整批，並以 TableLock 寫入 Ledger 資料表；不得依賴 EFCore.BulkExtensions 等第三方批次寫入套件（授權風險見 2.4）。</w:t>
            </w:r>
          </w:p>
        </w:tc>
        <w:tc>
          <w:tcPr>
            <w:tcW w:w="22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已實作：SqlBulkAuditStorageStrategy 已改用原生 SqlBulkCopy（UseInternalTransaction＋TableLock，整批單一交易），並已移除 EFCore.BulkExtensions；失敗時退回 DbContext.SaveChanges（整批已回復，不會重複）。待以 TC-AUDIT-F002 驗證。</w:t>
            </w:r>
          </w:p>
        </w:tc>
        <w:tc>
          <w:tcPr>
            <w:tcW w:w="1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TC-AUDIT-F002、TC-AUDIT-P001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CON-07</w:t>
            </w:r>
          </w:p>
        </w:tc>
        <w:tc>
          <w:tcPr>
            <w:tcW w:w="1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 xml:space="preserve">失敗重試與降級</w:t>
            </w:r>
          </w:p>
        </w:tc>
        <w:tc>
          <w:tcPr>
            <w:tcW w:w="3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寫入失敗須最多重試 3 次（退避 1 秒、2 秒）；仍失敗須將批次寫入降級備份檔（Audit_Failures\&lt;Context&gt;\*.json）並記錄重大錯誤；服務啟動時須自動復原降級檔，復原成功後才可刪除。</w:t>
            </w:r>
          </w:p>
        </w:tc>
        <w:tc>
          <w:tcPr>
            <w:tcW w:w="22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已實作。</w:t>
            </w:r>
          </w:p>
        </w:tc>
        <w:tc>
          <w:tcPr>
            <w:tcW w:w="1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TC-AUDIT-R001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CON-08</w:t>
            </w:r>
          </w:p>
        </w:tc>
        <w:tc>
          <w:tcPr>
            <w:tcW w:w="1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 xml:space="preserve">優雅關閉（FinalFlushAsync）</w:t>
            </w:r>
          </w:p>
        </w:tc>
        <w:tc>
          <w:tcPr>
            <w:tcW w:w="3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收到主機停止訊號（停止、應用程式集區回收、重啟）時，Worker 須停止接收新事件，排空通道與緩衝區、補齊雜湊鏈並寫入資料庫；主機關閉逾時（HostOptions.ShutdownTimeout）須至少 10 秒，逾時仍有殘留資料者須改寫降級備份檔。</w:t>
            </w:r>
          </w:p>
        </w:tc>
        <w:tc>
          <w:tcPr>
            <w:tcW w:w="22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待補強：目前僅於終止前 flush 緩衝區（不超過一批次），通道內尚未取出者未排空；尚無 FinalFlushAsync 與逾時降級。</w:t>
            </w:r>
          </w:p>
        </w:tc>
        <w:tc>
          <w:tcPr>
            <w:tcW w:w="1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TC-AUDIT-R002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CON-09</w:t>
            </w:r>
          </w:p>
        </w:tc>
        <w:tc>
          <w:tcPr>
            <w:tcW w:w="1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 xml:space="preserve">斷電／強制終止防禦</w:t>
            </w:r>
          </w:p>
        </w:tc>
        <w:tc>
          <w:tcPr>
            <w:tcW w:w="3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突然斷電、強制終止（kill）或當機時，主機不會收到停止訊號，記憶體中之通道與緩衝區必然遺失，故不得以優雅關閉視為斷電防禦。須符合：(1) 關鍵稽核事件（權限變更、角色治理、登入與資安事件）須於業務交易內寫入稽核暫存表（Outbox），再由 Worker 搬運並串鏈，確保業務異動成功即稽核不遺失；(2) 一般事件之最大遺失窗口（RPO）為通道內未消費筆數加一個批次（不超過 3 秒），並須載明於資安文件；(3) 降級備份檔須原子寫入（寫入暫存檔、flush 至磁碟、再原子改名），檔名含單調序號，並置於獨立磁碟區且納入備份。</w:t>
            </w:r>
          </w:p>
        </w:tc>
        <w:tc>
          <w:tcPr>
            <w:tcW w:w="22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待補強：未實作 Outbox；降級檔目前以 File.WriteAllTextAsync 直接寫入，非原子。</w:t>
            </w:r>
          </w:p>
        </w:tc>
        <w:tc>
          <w:tcPr>
            <w:tcW w:w="1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TC-AUDIT-R004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CON-10</w:t>
            </w:r>
          </w:p>
        </w:tc>
        <w:tc>
          <w:tcPr>
            <w:tcW w:w="1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 xml:space="preserve">復原冪等與鏈完整性</w:t>
            </w:r>
          </w:p>
        </w:tc>
        <w:tc>
          <w:tcPr>
            <w:tcW w:w="3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降級檔復原須冪等（以 TraceId、Timestamp、TableName、Action 去重），依原產生順序重算 PreviousHash，復原後須觸發雜湊鏈與 Ledger 驗證；復原失敗須經 Alert 告警並保留檔案。</w:t>
            </w:r>
          </w:p>
        </w:tc>
        <w:tc>
          <w:tcPr>
            <w:tcW w:w="22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待補強：現行以 RecoverLogsAsync 批次寫入，去重與復原後驗證尚未建立。</w:t>
            </w:r>
          </w:p>
        </w:tc>
        <w:tc>
          <w:tcPr>
            <w:tcW w:w="1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TC-AUDIT-R003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CON-11</w:t>
            </w:r>
          </w:p>
        </w:tc>
        <w:tc>
          <w:tcPr>
            <w:tcW w:w="1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 xml:space="preserve">監控與驗證</w:t>
            </w:r>
          </w:p>
        </w:tc>
        <w:tc>
          <w:tcPr>
            <w:tcW w:w="3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須監控通道深度、降級備份檔數量與最近一次雜湊鏈／Ledger 驗證結果，超過門檻須告警；驗證須由 LedgerVerificationController 提供並可產出報告。</w:t>
            </w:r>
          </w:p>
        </w:tc>
        <w:tc>
          <w:tcPr>
            <w:tcW w:w="22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驗證端點已實作；監控告警待建立。</w:t>
            </w:r>
          </w:p>
        </w:tc>
        <w:tc>
          <w:tcPr>
            <w:tcW w:w="1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TC-AUDIT-S002</w:t>
            </w:r>
          </w:p>
        </w:tc>
      </w:tr>
    </w:tbl>
    <w:p>
      <w:pPr>
        <w:pStyle w:val="Normal"/>
        <w:spacing w:before="0" w:after="80"/>
      </w:pPr>
    </w:p>
    <w:p>
      <w:pPr>
        <w:pStyle w:val="Heading3"/>
        <w:rPr/>
      </w:pPr>
      <w:bookmarkStart w:id="50" w:name="__RefHeading___Toc3320_1895412299"/>
      <w:bookmarkStart w:id="51" w:name="_Toc243493469"/>
      <w:bookmarkEnd w:id="50"/>
      <w:r>
        <w:rPr/>
        <w:t xml:space="preserve">2.6.4 </w:t>
      </w:r>
      <w:r>
        <w:rPr/>
        <w:t>前端顯示與相容性</w:t>
      </w:r>
      <w:bookmarkEnd w:id="51"/>
    </w:p>
    <w:p>
      <w:pPr>
        <w:pStyle w:val="ListParagraph"/>
        <w:numPr>
          <w:ilvl w:val="0"/>
          <w:numId w:val="3"/>
        </w:numPr>
        <w:spacing w:lineRule="auto" w:line="290" w:before="0" w:after="60"/>
        <w:rPr/>
      </w:pPr>
      <w:r>
        <w:rPr>
          <w:rFonts w:eastAsia="微軟正黑體"/>
        </w:rPr>
        <w:t xml:space="preserve">UI </w:t>
      </w:r>
      <w:r>
        <w:rPr>
          <w:rFonts w:eastAsia="微軟正黑體"/>
        </w:rPr>
        <w:t xml:space="preserve">須為 </w:t>
      </w:r>
      <w:r>
        <w:rPr>
          <w:rFonts w:eastAsia="微軟正黑體"/>
        </w:rPr>
        <w:t>RWD</w:t>
      </w:r>
      <w:r>
        <w:rPr>
          <w:rFonts w:eastAsia="微軟正黑體"/>
        </w:rPr>
        <w:t xml:space="preserve">，最低解析度 </w:t>
      </w:r>
      <w:r>
        <w:rPr>
          <w:rFonts w:eastAsia="微軟正黑體"/>
        </w:rPr>
        <w:t>1366 × 768</w:t>
      </w:r>
      <w:r>
        <w:rPr>
          <w:rFonts w:eastAsia="微軟正黑體"/>
        </w:rPr>
        <w:t xml:space="preserve">；支援 </w:t>
      </w:r>
      <w:r>
        <w:rPr>
          <w:rFonts w:eastAsia="微軟正黑體"/>
        </w:rPr>
        <w:t>Chrome</w:t>
      </w:r>
      <w:r>
        <w:rPr>
          <w:rFonts w:eastAsia="微軟正黑體"/>
        </w:rPr>
        <w:t>、</w:t>
      </w:r>
      <w:r>
        <w:rPr>
          <w:rFonts w:eastAsia="微軟正黑體"/>
        </w:rPr>
        <w:t>Edge</w:t>
      </w:r>
      <w:r>
        <w:rPr>
          <w:rFonts w:eastAsia="微軟正黑體"/>
        </w:rPr>
        <w:t>、</w:t>
      </w:r>
      <w:r>
        <w:rPr>
          <w:rFonts w:eastAsia="微軟正黑體"/>
        </w:rPr>
        <w:t xml:space="preserve">Safari </w:t>
      </w:r>
      <w:r>
        <w:rPr>
          <w:rFonts w:eastAsia="微軟正黑體"/>
        </w:rPr>
        <w:t xml:space="preserve">最新 </w:t>
      </w:r>
      <w:r>
        <w:rPr>
          <w:rFonts w:eastAsia="微軟正黑體"/>
        </w:rPr>
        <w:t xml:space="preserve">2 </w:t>
      </w:r>
      <w:r>
        <w:rPr>
          <w:rFonts w:eastAsia="微軟正黑體"/>
        </w:rPr>
        <w:t>個版本。</w:t>
      </w:r>
    </w:p>
    <w:p>
      <w:pPr>
        <w:pStyle w:val="Heading1"/>
        <w:rPr/>
      </w:pPr>
      <w:bookmarkStart w:id="52" w:name="__RefHeading___Toc3322_1895412299"/>
      <w:bookmarkStart w:id="53" w:name="_Toc243493470"/>
      <w:bookmarkEnd w:id="52"/>
      <w:r>
        <w:rPr/>
        <w:t xml:space="preserve">3. </w:t>
      </w:r>
      <w:r>
        <w:rPr/>
        <w:t xml:space="preserve">系統初步設計 </w:t>
      </w:r>
      <w:r>
        <w:rPr/>
        <w:t>(UML)</w:t>
      </w:r>
      <w:bookmarkEnd w:id="53"/>
    </w:p>
    <w:p>
      <w:pPr>
        <w:pStyle w:val="Normal"/>
        <w:keepNext w:val="true"/>
        <w:spacing w:lineRule="auto" w:line="300" w:before="0" w:after="100"/>
        <w:rPr/>
      </w:pPr>
      <w:r>
        <w:rPr>
          <w:rFonts w:eastAsia="微軟正黑體"/>
        </w:rPr>
        <w:t xml:space="preserve">本章依現行 </w:t>
      </w:r>
      <w:r>
        <w:rPr>
          <w:rFonts w:eastAsia="微軟正黑體"/>
        </w:rPr>
        <w:t xml:space="preserve">SGSFramework </w:t>
      </w:r>
      <w:r>
        <w:rPr>
          <w:rFonts w:eastAsia="微軟正黑體"/>
        </w:rPr>
        <w:t xml:space="preserve">原始碼與前端發佈版整理，以 </w:t>
      </w:r>
      <w:r>
        <w:rPr>
          <w:rFonts w:eastAsia="微軟正黑體"/>
        </w:rPr>
        <w:t xml:space="preserve">UML </w:t>
      </w:r>
      <w:r>
        <w:rPr>
          <w:rFonts w:eastAsia="微軟正黑體"/>
        </w:rPr>
        <w:t>呈現使用者介面結構、使用案例與關鍵模組之循序圖。圖中名稱對應實際元件；尚未實作或待確認之處已於圖說註明。</w:t>
      </w:r>
    </w:p>
    <w:p>
      <w:pPr>
        <w:pStyle w:val="Heading2"/>
        <w:keepNext w:val="true"/>
        <w:rPr/>
      </w:pPr>
      <w:bookmarkStart w:id="54" w:name="__RefHeading___Toc3324_1895412299"/>
      <w:bookmarkStart w:id="55" w:name="_Toc243493471"/>
      <w:bookmarkEnd w:id="54"/>
      <w:r>
        <w:rPr/>
        <w:t xml:space="preserve">3.1 </w:t>
      </w:r>
      <w:r>
        <w:rPr/>
        <w:t xml:space="preserve">系統使用者介面結構層次圖 </w:t>
      </w:r>
      <w:r>
        <w:rPr/>
        <w:t>(Use Case Diagram)</w:t>
      </w:r>
      <w:bookmarkEnd w:id="55"/>
    </w:p>
    <w:p>
      <w:pPr>
        <w:pStyle w:val="Normal"/>
        <w:keepNext w:val="true"/>
        <w:spacing w:lineRule="auto" w:line="300" w:before="0" w:after="100"/>
        <w:rPr/>
      </w:pPr>
      <w:r>
        <w:rPr>
          <w:rFonts w:eastAsia="微軟正黑體"/>
          <w:b/>
          <w:bCs/>
        </w:rPr>
        <w:t>介面結構：</w:t>
      </w:r>
      <w:r>
        <w:rPr>
          <w:rFonts w:eastAsia="微軟正黑體"/>
        </w:rPr>
        <w:t xml:space="preserve">前端為 </w:t>
      </w:r>
      <w:r>
        <w:rPr>
          <w:rFonts w:eastAsia="微軟正黑體"/>
        </w:rPr>
        <w:t xml:space="preserve">Vue 3 </w:t>
      </w:r>
      <w:r>
        <w:rPr>
          <w:rFonts w:eastAsia="微軟正黑體"/>
        </w:rPr>
        <w:t xml:space="preserve">單頁應用，導覽選單由「選單管理」動態維護（三層），並依使用者有效權限顯示。依現行控制器與前端頁面，功能分為身分與個人、組織與實驗室、使用者與權限、系統與模組、日誌與稽核及業務外掛模組六大群組（圖 </w:t>
      </w:r>
      <w:r>
        <w:rPr>
          <w:rFonts w:eastAsia="微軟正黑體"/>
        </w:rPr>
        <w:t>3-1</w:t>
      </w:r>
      <w:r>
        <w:rPr>
          <w:rFonts w:eastAsia="微軟正黑體"/>
        </w:rPr>
        <w:t>）。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939790" cy="4957440"/>
            <wp:effectExtent l="0" t="0" r="0" b="0"/>
            <wp:docPr id="4" name="ui.png" descr="圖 3-1　系統使用者介面結構層次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ui.png" descr="圖 3-1　系統使用者介面結構層次圖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957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40"/>
        <w:jc w:val="center"/>
        <w:rPr/>
      </w:pPr>
      <w:r>
        <w:rPr>
          <w:rFonts w:eastAsia="微軟正黑體"/>
          <w:b/>
          <w:bCs/>
        </w:rPr>
        <w:t xml:space="preserve">圖 </w:t>
      </w:r>
      <w:r>
        <w:rPr>
          <w:rFonts w:eastAsia="微軟正黑體"/>
          <w:b/>
          <w:bCs/>
        </w:rPr>
        <w:t>3-1</w:t>
      </w:r>
      <w:r>
        <w:rPr>
          <w:rFonts w:eastAsia="微軟正黑體"/>
          <w:b/>
          <w:bCs/>
        </w:rPr>
        <w:t>　系統使用者介面結構層次圖</w:t>
      </w:r>
    </w:p>
    <w:p>
      <w:pPr>
        <w:pStyle w:val="Normal"/>
        <w:keepNext/>
        <w:spacing w:lineRule="auto" w:line="300" w:before="0" w:after="100"/>
      </w:pPr>
      <w:r>
        <w:rPr>
          <w:rFonts w:eastAsia="微軟正黑體"/>
          <w:b/>
          <w:bCs/>
        </w:rPr>
        <w:t xml:space="preserve">圖說明：</w:t>
      </w:r>
      <w:r>
        <w:rPr>
          <w:rFonts w:eastAsia="微軟正黑體"/>
        </w:rPr>
        <w:t xml:space="preserve">圖 3-1 由左至右依序為系統入口、功能群組與頁面（選單項目）。選單項目隨模組載入自動註冊，可於「選單管理」調整層級、排序與圖示；使用者僅能看到其有效權限涵蓋之項目，且頁面存取另受「實驗室功能開放範圍」與系統功能停用旗標限制（功能停用時回 403 並自選單隱藏）。表 3-1 說明各群組之功能項目與用途。</w:t>
      </w:r>
    </w:p>
    <w:p>
      <w:pPr>
        <w:pStyle w:val="Normal"/>
        <w:keepNext/>
        <w:spacing w:lineRule="auto" w:line="300" w:before="0" w:after="100"/>
      </w:pPr>
      <w:r>
        <w:rPr>
          <w:rFonts w:eastAsia="微軟正黑體"/>
          <w:b/>
          <w:bCs/>
        </w:rPr>
        <w:t xml:space="preserve">表 3-1　介面功能群組說明</w:t>
      </w:r>
    </w:p>
    <w:tbl>
      <w:tblPr>
        <w:tblW w:w="9638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1500"/>
        <w:gridCol w:w="3500"/>
        <w:gridCol w:w="4638"/>
      </w:tblGrid>
      <w:tr>
        <w:trPr>
          <w:tblHeader w:val="true"/>
        </w:trPr>
        <w:tc>
          <w:tcPr>
            <w:tcW w:w="1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val="clear" w:color="auto" w:fill="1F4E79"/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 xml:space="preserve">功能群組</w:t>
            </w:r>
          </w:p>
        </w:tc>
        <w:tc>
          <w:tcPr>
            <w:tcW w:w="3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val="clear" w:color="auto" w:fill="1F4E79"/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 xml:space="preserve">功能項目（對應控制器）</w:t>
            </w:r>
          </w:p>
        </w:tc>
        <w:tc>
          <w:tcPr>
            <w:tcW w:w="46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val="clear" w:color="auto" w:fill="1F4E79"/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 xml:space="preserve">身分與個人</w:t>
            </w:r>
          </w:p>
        </w:tc>
        <w:tc>
          <w:tcPr>
            <w:tcW w:w="3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登入／忘記密碼（AuthController、AdSsoController、WindowsAuthController）；切換實驗室（switch-context、my-labs）；個人資料</w:t>
            </w:r>
          </w:p>
        </w:tc>
        <w:tc>
          <w:tcPr>
            <w:tcW w:w="46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登入端點允許匿名，其餘僅需登入、不需功能權限；切換實驗室後重新取得權限範圍與動態選單。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 xml:space="preserve">組織與實驗室</w:t>
            </w:r>
          </w:p>
        </w:tc>
        <w:tc>
          <w:tcPr>
            <w:tcW w:w="3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實驗室管理（LaboratoryController）；用戶歸屬實驗室（UserLabMappingController）；實驗室功能範圍（LabFunctionScopeController）；實驗室名錄（LabDirectoryController）</w:t>
            </w:r>
          </w:p>
        </w:tc>
        <w:tc>
          <w:tcPr>
            <w:tcW w:w="46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維護組織樹（HierarchyId）、使用者之主要／兼任實驗室、各區開放之功能範圍，以及區域主管與成員名錄。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 xml:space="preserve">使用者與權限</w:t>
            </w:r>
          </w:p>
        </w:tc>
        <w:tc>
          <w:tcPr>
            <w:tcW w:w="3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使用者管理（UserManagementController）；角色管理（RoleManagementController）；角色治理（RoleGovernanceController）；權限管理（PermissionController）；權限覆核（AccessReviewController）；身分安全管理（IdentitySecurityController）；稽核指派（LabAuditController）</w:t>
            </w:r>
          </w:p>
        </w:tc>
        <w:tc>
          <w:tcPr>
            <w:tcW w:w="46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帳號與角色維護；權限變更須經 Maker-Checker 與 SoD 檢查；定期存取覆核；帳號緊急熔斷與解凍；指派稽核員於期間內稽核區域實驗室。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 xml:space="preserve">系統與模組</w:t>
            </w:r>
          </w:p>
        </w:tc>
        <w:tc>
          <w:tcPr>
            <w:tcW w:w="3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系統功能管理（FunctionManagementController）；選單管理（MenuItemController）；模組管理（ModuleManagementController）；SPA 模組管理（SPAModuleController）；系統配置（SystemSettingsController）</w:t>
            </w:r>
          </w:p>
        </w:tc>
        <w:tc>
          <w:tcPr>
            <w:tcW w:w="46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檢視並停用系統註冊功能、維護三層動態選單、外掛熱插拔與 SPA 模組部署，以及系統外觀與密碼、帳號鎖定規則。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 xml:space="preserve">日誌與稽核</w:t>
            </w:r>
          </w:p>
        </w:tc>
        <w:tc>
          <w:tcPr>
            <w:tcW w:w="3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系統日誌管理（LogManagementController）；資安日誌（TelemetryController）；資料稽核日誌（前端頁面）；總帳驗證管理（LedgerVerificationController）；資料庫結構文件（DatabaseSchemaController）</w:t>
            </w:r>
          </w:p>
        </w:tc>
        <w:tc>
          <w:tcPr>
            <w:tcW w:w="46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動態調整 Serilog 層級、檢視資安日誌與資料稽核日誌、驗證稽核雜湊鏈與 Ledger，並匯出資料表結構與 ERD。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 xml:space="preserve">業務外掛模組</w:t>
            </w:r>
          </w:p>
        </w:tc>
        <w:tc>
          <w:tcPr>
            <w:tcW w:w="3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ORG 組織／實驗室、其他外掛模組</w:t>
            </w:r>
          </w:p>
        </w:tc>
        <w:tc>
          <w:tcPr>
            <w:tcW w:w="46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隨外掛載入自動註冊選單與權限，不需修改主機程式。</w:t>
            </w:r>
          </w:p>
        </w:tc>
      </w:tr>
    </w:tbl>
    <w:p>
      <w:pPr>
        <w:pStyle w:val="Normal"/>
        <w:spacing w:before="0" w:after="80"/>
      </w:pPr>
    </w:p>
    <w:p>
      <w:pPr>
        <w:pStyle w:val="Normal"/>
        <w:keepNext w:val="true"/>
        <w:spacing w:lineRule="auto" w:line="300" w:before="0" w:after="100"/>
        <w:rPr/>
      </w:pPr>
      <w:r>
        <w:rPr>
          <w:rFonts w:eastAsia="微軟正黑體"/>
          <w:b/>
          <w:bCs/>
        </w:rPr>
        <w:t>使用案例：</w:t>
      </w:r>
      <w:r>
        <w:rPr>
          <w:rFonts w:eastAsia="微軟正黑體"/>
        </w:rPr>
        <w:t xml:space="preserve">下圖依 </w:t>
      </w:r>
      <w:r>
        <w:rPr>
          <w:rFonts w:eastAsia="微軟正黑體"/>
        </w:rPr>
        <w:t xml:space="preserve">2.2.2 </w:t>
      </w:r>
      <w:r>
        <w:rPr>
          <w:rFonts w:eastAsia="微軟正黑體"/>
        </w:rPr>
        <w:t xml:space="preserve">之預設角色整理主要使用案例（圖 </w:t>
      </w:r>
      <w:r>
        <w:rPr>
          <w:rFonts w:eastAsia="微軟正黑體"/>
        </w:rPr>
        <w:t>3-2</w:t>
      </w:r>
      <w:r>
        <w:rPr>
          <w:rFonts w:eastAsia="微軟正黑體"/>
        </w:rPr>
        <w:t>）。各角色實際可執行之功能，最終由角色權限與「實驗室功能開放範圍」決定；系統管理員不介入業務角色指派，權限變更須由提出者以外之審核者核准。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939790" cy="5377489"/>
            <wp:effectExtent l="0" t="0" r="0" b="0"/>
            <wp:docPr id="5" name="usecase.png" descr="圖 3-2　使用案例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usecase.png" descr="圖 3-2　使用案例圖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37748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40"/>
        <w:jc w:val="center"/>
        <w:rPr/>
      </w:pPr>
      <w:r>
        <w:rPr>
          <w:rFonts w:eastAsia="微軟正黑體"/>
          <w:b/>
          <w:bCs/>
        </w:rPr>
        <w:t xml:space="preserve">圖 </w:t>
      </w:r>
      <w:r>
        <w:rPr>
          <w:rFonts w:eastAsia="微軟正黑體"/>
          <w:b/>
          <w:bCs/>
        </w:rPr>
        <w:t>3-2</w:t>
      </w:r>
      <w:r>
        <w:rPr>
          <w:rFonts w:eastAsia="微軟正黑體"/>
          <w:b/>
          <w:bCs/>
        </w:rPr>
        <w:t>　使用案例圖</w:t>
      </w:r>
    </w:p>
    <w:p>
      <w:pPr>
        <w:pStyle w:val="Normal"/>
        <w:keepNext/>
        <w:spacing w:lineRule="auto" w:line="300" w:before="0" w:after="100"/>
      </w:pPr>
      <w:r>
        <w:rPr>
          <w:rFonts w:eastAsia="微軟正黑體"/>
          <w:b/>
          <w:bCs/>
        </w:rPr>
        <w:t xml:space="preserve">圖說明：</w:t>
      </w:r>
      <w:r>
        <w:rPr>
          <w:rFonts w:eastAsia="微軟正黑體"/>
        </w:rPr>
        <w:t xml:space="preserve">圖 3-2 以人形表示參與者（預設角色）、橢圓表示使用案例、實線表示參與者可執行該案例，矩形為系統邊界；AD／Windows 網域為外部系統參與者。案例編號（UC-xx）與表 3-2 對應。</w:t>
      </w:r>
    </w:p>
    <w:p>
      <w:pPr>
        <w:pStyle w:val="Normal"/>
        <w:keepNext/>
        <w:spacing w:lineRule="auto" w:line="300" w:before="0" w:after="100"/>
      </w:pPr>
      <w:r>
        <w:rPr>
          <w:rFonts w:eastAsia="微軟正黑體"/>
          <w:b/>
          <w:bCs/>
        </w:rPr>
        <w:t xml:space="preserve">限制說明：</w:t>
      </w:r>
      <w:r>
        <w:rPr>
          <w:rFonts w:eastAsia="微軟正黑體"/>
        </w:rPr>
        <w:t xml:space="preserve">SA 不介入業務角色指派（職責分離）；權限變更須由提出者以外之審核者核准（持有系統內建角色且管理階層較高者除外）；各角色實際可執行之功能，最終由角色權限與「實驗室功能開放範圍」決定。</w:t>
      </w:r>
    </w:p>
    <w:p>
      <w:pPr>
        <w:pStyle w:val="Normal"/>
        <w:keepNext/>
        <w:spacing w:lineRule="auto" w:line="300" w:before="0" w:after="100"/>
      </w:pPr>
      <w:r>
        <w:rPr>
          <w:rFonts w:eastAsia="微軟正黑體"/>
          <w:b/>
          <w:bCs/>
        </w:rPr>
        <w:t xml:space="preserve">表 3-2　使用案例說明</w:t>
      </w:r>
    </w:p>
    <w:tbl>
      <w:tblPr>
        <w:tblW w:w="9638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800"/>
        <w:gridCol w:w="2100"/>
        <w:gridCol w:w="1600"/>
        <w:gridCol w:w="3038"/>
        <w:gridCol w:w="2100"/>
      </w:tblGrid>
      <w:tr>
        <w:trPr>
          <w:tblHeader w:val="true"/>
        </w:trPr>
        <w:tc>
          <w:tcPr>
            <w:tcW w:w="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val="clear" w:color="auto" w:fill="1F4E79"/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 xml:space="preserve">編號</w:t>
            </w:r>
          </w:p>
        </w:tc>
        <w:tc>
          <w:tcPr>
            <w:tcW w:w="21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val="clear" w:color="auto" w:fill="1F4E79"/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 xml:space="preserve">使用案例</w:t>
            </w:r>
          </w:p>
        </w:tc>
        <w:tc>
          <w:tcPr>
            <w:tcW w:w="1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val="clear" w:color="auto" w:fill="1F4E79"/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 xml:space="preserve">參與者</w:t>
            </w:r>
          </w:p>
        </w:tc>
        <w:tc>
          <w:tcPr>
            <w:tcW w:w="30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val="clear" w:color="auto" w:fill="1F4E79"/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w="21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val="clear" w:color="auto" w:fill="1F4E79"/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 xml:space="preserve">對應功能</w:t>
            </w:r>
          </w:p>
        </w:tc>
      </w:tr>
      <w:tr>
        <w:trPr>
          <w:cantSplit/>
        </w:trPr>
        <w:tc>
          <w:tcPr>
            <w:tcW w:w="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UC-01</w:t>
            </w:r>
          </w:p>
        </w:tc>
        <w:tc>
          <w:tcPr>
            <w:tcW w:w="21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登入／登出（帳密、AD SSO）</w:t>
            </w:r>
          </w:p>
        </w:tc>
        <w:tc>
          <w:tcPr>
            <w:tcW w:w="1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所有角色；AD 網域</w:t>
            </w:r>
          </w:p>
        </w:tc>
        <w:tc>
          <w:tcPr>
            <w:tcW w:w="30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以帳密或 AD／Windows 整合驗證登入，取得 Token 與動態選單；可單一裝置登出或全裝置登出。</w:t>
            </w:r>
          </w:p>
        </w:tc>
        <w:tc>
          <w:tcPr>
            <w:tcW w:w="21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/auth/login、adlogin、logout、logout-all</w:t>
            </w:r>
          </w:p>
        </w:tc>
      </w:tr>
      <w:tr>
        <w:trPr>
          <w:cantSplit/>
        </w:trPr>
        <w:tc>
          <w:tcPr>
            <w:tcW w:w="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UC-02</w:t>
            </w:r>
          </w:p>
        </w:tc>
        <w:tc>
          <w:tcPr>
            <w:tcW w:w="21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切換實驗室</w:t>
            </w:r>
          </w:p>
        </w:tc>
        <w:tc>
          <w:tcPr>
            <w:tcW w:w="1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MO、MA、AU、自訂角色</w:t>
            </w:r>
          </w:p>
        </w:tc>
        <w:tc>
          <w:tcPr>
            <w:tcW w:w="30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於可存取之實驗室間切換，切換後重新取得該實驗室之權限範圍與選單。</w:t>
            </w:r>
          </w:p>
        </w:tc>
        <w:tc>
          <w:tcPr>
            <w:tcW w:w="21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/auth/switch-context、my-labs</w:t>
            </w:r>
          </w:p>
        </w:tc>
      </w:tr>
      <w:tr>
        <w:trPr>
          <w:cantSplit/>
        </w:trPr>
        <w:tc>
          <w:tcPr>
            <w:tcW w:w="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UC-03</w:t>
            </w:r>
          </w:p>
        </w:tc>
        <w:tc>
          <w:tcPr>
            <w:tcW w:w="21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檢視個人權限與工作階段</w:t>
            </w:r>
          </w:p>
        </w:tc>
        <w:tc>
          <w:tcPr>
            <w:tcW w:w="1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所有角色</w:t>
            </w:r>
          </w:p>
        </w:tc>
        <w:tc>
          <w:tcPr>
            <w:tcW w:w="30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檢視本人有效權限（全域、直接、角色、各實驗室）與已登入裝置。</w:t>
            </w:r>
          </w:p>
        </w:tc>
        <w:tc>
          <w:tcPr>
            <w:tcW w:w="21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/auth/sessions；使用者權限總覽</w:t>
            </w:r>
          </w:p>
        </w:tc>
      </w:tr>
      <w:tr>
        <w:trPr>
          <w:cantSplit/>
        </w:trPr>
        <w:tc>
          <w:tcPr>
            <w:tcW w:w="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UC-04</w:t>
            </w:r>
          </w:p>
        </w:tc>
        <w:tc>
          <w:tcPr>
            <w:tcW w:w="21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使用業務模組功能（依權限）</w:t>
            </w:r>
          </w:p>
        </w:tc>
        <w:tc>
          <w:tcPr>
            <w:tcW w:w="1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自訂角色（如 QC、FQ）</w:t>
            </w:r>
          </w:p>
        </w:tc>
        <w:tc>
          <w:tcPr>
            <w:tcW w:w="30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依角色權限使用外掛模組功能（如 ORG 組織／實驗室）。</w:t>
            </w:r>
          </w:p>
        </w:tc>
        <w:tc>
          <w:tcPr>
            <w:tcW w:w="21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業務外掛模組</w:t>
            </w:r>
          </w:p>
        </w:tc>
      </w:tr>
      <w:tr>
        <w:trPr>
          <w:cantSplit/>
        </w:trPr>
        <w:tc>
          <w:tcPr>
            <w:tcW w:w="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UC-05</w:t>
            </w:r>
          </w:p>
        </w:tc>
        <w:tc>
          <w:tcPr>
            <w:tcW w:w="21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管理實驗室成員與角色指派</w:t>
            </w:r>
          </w:p>
        </w:tc>
        <w:tc>
          <w:tcPr>
            <w:tcW w:w="1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MO、MA</w:t>
            </w:r>
          </w:p>
        </w:tc>
        <w:tc>
          <w:tcPr>
            <w:tcW w:w="30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維護使用者之歸屬實驗室與角色指派；MA 僅限所屬區域。</w:t>
            </w:r>
          </w:p>
        </w:tc>
        <w:tc>
          <w:tcPr>
            <w:tcW w:w="21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用戶歸屬實驗室、角色管理</w:t>
            </w:r>
          </w:p>
        </w:tc>
      </w:tr>
      <w:tr>
        <w:trPr>
          <w:cantSplit/>
        </w:trPr>
        <w:tc>
          <w:tcPr>
            <w:tcW w:w="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UC-06</w:t>
            </w:r>
          </w:p>
        </w:tc>
        <w:tc>
          <w:tcPr>
            <w:tcW w:w="21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配置實驗室功能範圍</w:t>
            </w:r>
          </w:p>
        </w:tc>
        <w:tc>
          <w:tcPr>
            <w:tcW w:w="1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MO、MA</w:t>
            </w:r>
          </w:p>
        </w:tc>
        <w:tc>
          <w:tcPr>
            <w:tcW w:w="30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設定各區域實驗室開放之功能與模組範圍。</w:t>
            </w:r>
          </w:p>
        </w:tc>
        <w:tc>
          <w:tcPr>
            <w:tcW w:w="21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實驗室功能範圍</w:t>
            </w:r>
          </w:p>
        </w:tc>
      </w:tr>
      <w:tr>
        <w:trPr>
          <w:cantSplit/>
        </w:trPr>
        <w:tc>
          <w:tcPr>
            <w:tcW w:w="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UC-07</w:t>
            </w:r>
          </w:p>
        </w:tc>
        <w:tc>
          <w:tcPr>
            <w:tcW w:w="21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提出角色權限變更（Maker）</w:t>
            </w:r>
          </w:p>
        </w:tc>
        <w:tc>
          <w:tcPr>
            <w:tcW w:w="1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MO、MA</w:t>
            </w:r>
          </w:p>
        </w:tc>
        <w:tc>
          <w:tcPr>
            <w:tcW w:w="30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提出角色權限調整並送審，送出時檢查 SoD。</w:t>
            </w:r>
          </w:p>
        </w:tc>
        <w:tc>
          <w:tcPr>
            <w:tcW w:w="21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角色治理（change-requests）</w:t>
            </w:r>
          </w:p>
        </w:tc>
      </w:tr>
      <w:tr>
        <w:trPr>
          <w:cantSplit/>
        </w:trPr>
        <w:tc>
          <w:tcPr>
            <w:tcW w:w="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UC-08</w:t>
            </w:r>
          </w:p>
        </w:tc>
        <w:tc>
          <w:tcPr>
            <w:tcW w:w="21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審核權限變更（Checker／SoD）</w:t>
            </w:r>
          </w:p>
        </w:tc>
        <w:tc>
          <w:tcPr>
            <w:tcW w:w="1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MO、MA</w:t>
            </w:r>
          </w:p>
        </w:tc>
        <w:tc>
          <w:tcPr>
            <w:tcW w:w="30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由提出者以外之審核者核准或駁回；核准時再次檢查 SoD，核准即套用。</w:t>
            </w:r>
          </w:p>
        </w:tc>
        <w:tc>
          <w:tcPr>
            <w:tcW w:w="21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角色治理（approve／reject）</w:t>
            </w:r>
          </w:p>
        </w:tc>
      </w:tr>
      <w:tr>
        <w:trPr>
          <w:cantSplit/>
        </w:trPr>
        <w:tc>
          <w:tcPr>
            <w:tcW w:w="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UC-09</w:t>
            </w:r>
          </w:p>
        </w:tc>
        <w:tc>
          <w:tcPr>
            <w:tcW w:w="21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定期存取覆核</w:t>
            </w:r>
          </w:p>
        </w:tc>
        <w:tc>
          <w:tcPr>
            <w:tcW w:w="1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MO、MA</w:t>
            </w:r>
          </w:p>
        </w:tc>
        <w:tc>
          <w:tcPr>
            <w:tcW w:w="30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建立覆核活動，逐項確認使用者角色指派是否仍合適，不合適者回收並建立矯正工單。</w:t>
            </w:r>
          </w:p>
        </w:tc>
        <w:tc>
          <w:tcPr>
            <w:tcW w:w="21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權限覆核（AccessReviewController）</w:t>
            </w:r>
          </w:p>
        </w:tc>
      </w:tr>
      <w:tr>
        <w:trPr>
          <w:cantSplit/>
        </w:trPr>
        <w:tc>
          <w:tcPr>
            <w:tcW w:w="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UC-10</w:t>
            </w:r>
          </w:p>
        </w:tc>
        <w:tc>
          <w:tcPr>
            <w:tcW w:w="21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檢視稽核與異動軌跡（唯讀）</w:t>
            </w:r>
          </w:p>
        </w:tc>
        <w:tc>
          <w:tcPr>
            <w:tcW w:w="1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AU、SA</w:t>
            </w:r>
          </w:p>
        </w:tc>
        <w:tc>
          <w:tcPr>
            <w:tcW w:w="30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檢視所屬範圍內之資料與異動紀錄，不得修改。</w:t>
            </w:r>
          </w:p>
        </w:tc>
        <w:tc>
          <w:tcPr>
            <w:tcW w:w="21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稽核日誌、系統日誌管理</w:t>
            </w:r>
          </w:p>
        </w:tc>
      </w:tr>
      <w:tr>
        <w:trPr>
          <w:cantSplit/>
        </w:trPr>
        <w:tc>
          <w:tcPr>
            <w:tcW w:w="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UC-11</w:t>
            </w:r>
          </w:p>
        </w:tc>
        <w:tc>
          <w:tcPr>
            <w:tcW w:w="21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驗證稽核雜湊鏈與 Ledger</w:t>
            </w:r>
          </w:p>
        </w:tc>
        <w:tc>
          <w:tcPr>
            <w:tcW w:w="1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SA、AU</w:t>
            </w:r>
          </w:p>
        </w:tc>
        <w:tc>
          <w:tcPr>
            <w:tcW w:w="30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驗證稽核紀錄之雜湊鏈與 Ledger 完整性並取得報告。</w:t>
            </w:r>
          </w:p>
        </w:tc>
        <w:tc>
          <w:tcPr>
            <w:tcW w:w="21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總帳驗證管理</w:t>
            </w:r>
          </w:p>
        </w:tc>
      </w:tr>
      <w:tr>
        <w:trPr>
          <w:cantSplit/>
        </w:trPr>
        <w:tc>
          <w:tcPr>
            <w:tcW w:w="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UC-12</w:t>
            </w:r>
          </w:p>
        </w:tc>
        <w:tc>
          <w:tcPr>
            <w:tcW w:w="21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部署與管理外掛／SPA 模組</w:t>
            </w:r>
          </w:p>
        </w:tc>
        <w:tc>
          <w:tcPr>
            <w:tcW w:w="1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SA</w:t>
            </w:r>
          </w:p>
        </w:tc>
        <w:tc>
          <w:tcPr>
            <w:tcW w:w="30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上傳、啟用／停用、卸載後端外掛與前端 SPA 模組。</w:t>
            </w:r>
          </w:p>
        </w:tc>
        <w:tc>
          <w:tcPr>
            <w:tcW w:w="21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模組管理、SPA 模組管理</w:t>
            </w:r>
          </w:p>
        </w:tc>
      </w:tr>
      <w:tr>
        <w:trPr>
          <w:cantSplit/>
        </w:trPr>
        <w:tc>
          <w:tcPr>
            <w:tcW w:w="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UC-13</w:t>
            </w:r>
          </w:p>
        </w:tc>
        <w:tc>
          <w:tcPr>
            <w:tcW w:w="21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選單、功能與系統組態管理</w:t>
            </w:r>
          </w:p>
        </w:tc>
        <w:tc>
          <w:tcPr>
            <w:tcW w:w="1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SA</w:t>
            </w:r>
          </w:p>
        </w:tc>
        <w:tc>
          <w:tcPr>
            <w:tcW w:w="30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維護動態選單、停用系統功能，並設定系統外觀、密碼與帳號鎖定規則。</w:t>
            </w:r>
          </w:p>
        </w:tc>
        <w:tc>
          <w:tcPr>
            <w:tcW w:w="21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選單管理、系統功能管理、系統配置</w:t>
            </w:r>
          </w:p>
        </w:tc>
      </w:tr>
      <w:tr>
        <w:trPr>
          <w:cantSplit/>
        </w:trPr>
        <w:tc>
          <w:tcPr>
            <w:tcW w:w="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UC-14</w:t>
            </w:r>
          </w:p>
        </w:tc>
        <w:tc>
          <w:tcPr>
            <w:tcW w:w="21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系統日誌管理</w:t>
            </w:r>
          </w:p>
        </w:tc>
        <w:tc>
          <w:tcPr>
            <w:tcW w:w="1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SA</w:t>
            </w:r>
          </w:p>
        </w:tc>
        <w:tc>
          <w:tcPr>
            <w:tcW w:w="30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動態調整系統日誌層級。</w:t>
            </w:r>
          </w:p>
        </w:tc>
        <w:tc>
          <w:tcPr>
            <w:tcW w:w="21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系統日誌管理</w:t>
            </w:r>
          </w:p>
        </w:tc>
      </w:tr>
    </w:tbl>
    <w:p>
      <w:pPr>
        <w:pStyle w:val="Normal"/>
        <w:spacing w:before="0" w:after="80"/>
      </w:pPr>
    </w:p>
    <w:p>
      <w:pPr>
        <w:pStyle w:val="Heading2"/>
        <w:keepNext w:val="true"/>
        <w:rPr/>
      </w:pPr>
      <w:bookmarkStart w:id="56" w:name="__RefHeading___Toc3326_1895412299"/>
      <w:bookmarkStart w:id="57" w:name="_Toc243493472"/>
      <w:bookmarkEnd w:id="56"/>
      <w:r>
        <w:rPr/>
        <w:t xml:space="preserve">3.2 </w:t>
      </w:r>
      <w:r>
        <w:rPr/>
        <w:t xml:space="preserve">系統模組循序圖 </w:t>
      </w:r>
      <w:r>
        <w:rPr/>
        <w:t>(Sequence Diagram)</w:t>
      </w:r>
      <w:bookmarkEnd w:id="57"/>
    </w:p>
    <w:p>
      <w:pPr>
        <w:pStyle w:val="Normal"/>
        <w:spacing w:lineRule="auto" w:line="300" w:before="0" w:after="100"/>
      </w:pPr>
      <w:r>
        <w:rPr>
          <w:rFonts w:eastAsia="微軟正黑體"/>
        </w:rPr>
        <w:t xml:space="preserve">本節以循序圖說明四項關鍵流程，內容依現行原始碼整理。其中「外掛載入與簽章驗證」為本系統之核心技術重點。</w:t>
      </w:r>
      <w:r>
        <w:rPr>
          <w:rFonts w:eastAsia="微軟正黑體"/>
          <w:b/>
          <w:bCs/>
        </w:rPr>
        <w:t xml:space="preserve">閱讀方式：</w:t>
      </w:r>
      <w:r>
        <w:rPr>
          <w:rFonts w:eastAsia="微軟正黑體"/>
        </w:rPr>
        <w:t xml:space="preserve">實線箭頭為呼叫、虛線箭頭為回覆，紅色橫線為分支，黃色方塊為備註；箭頭上之數字為步驟編號，對應各小節之流程說明表。</w:t>
      </w:r>
    </w:p>
    <w:p>
      <w:pPr>
        <w:pStyle w:val="Heading3"/>
        <w:keepNext w:val="true"/>
        <w:rPr/>
      </w:pPr>
      <w:r>
        <w:rPr>
          <w:rFonts w:eastAsia="微軟正黑體"/>
        </w:rPr>
        <w:t xml:space="preserve">3.2.1 </w:t>
      </w:r>
      <w:r>
        <w:rPr/>
        <w:t>外掛載入與簽章驗證</w:t>
      </w:r>
    </w:p>
    <w:p>
      <w:pPr>
        <w:pStyle w:val="Normal"/>
        <w:keepNext w:val="true"/>
        <w:spacing w:lineRule="auto" w:line="300" w:before="0" w:after="100"/>
        <w:rPr/>
      </w:pPr>
      <w:r>
        <w:rPr>
          <w:rFonts w:eastAsia="微軟正黑體"/>
          <w:b/>
          <w:bCs/>
        </w:rPr>
        <w:t>觸發時機：</w:t>
      </w:r>
      <w:r>
        <w:rPr>
          <w:rFonts w:eastAsia="微軟正黑體"/>
        </w:rPr>
        <w:t>系統啟動。</w:t>
      </w:r>
      <w:r>
        <w:rPr>
          <w:rFonts w:eastAsia="微軟正黑體"/>
          <w:b/>
          <w:bCs/>
        </w:rPr>
        <w:t>要點：</w:t>
      </w:r>
      <w:r>
        <w:rPr>
          <w:rFonts w:eastAsia="微軟正黑體"/>
        </w:rPr>
        <w:t xml:space="preserve">未設定 </w:t>
      </w:r>
      <w:r>
        <w:rPr>
          <w:rFonts w:eastAsia="微軟正黑體"/>
        </w:rPr>
        <w:t xml:space="preserve">ModularSettings:TrustedThumbprint </w:t>
      </w:r>
      <w:r>
        <w:rPr>
          <w:rFonts w:eastAsia="微軟正黑體"/>
        </w:rPr>
        <w:t>即拒絕啟動；主模組與附屬組件（</w:t>
      </w:r>
      <w:r>
        <w:rPr>
          <w:rFonts w:eastAsia="微軟正黑體"/>
        </w:rPr>
        <w:t>.Application</w:t>
      </w:r>
      <w:r>
        <w:rPr>
          <w:rFonts w:eastAsia="微軟正黑體"/>
        </w:rPr>
        <w:t>、</w:t>
      </w:r>
      <w:r>
        <w:rPr>
          <w:rFonts w:eastAsia="微軟正黑體"/>
        </w:rPr>
        <w:t>.Infrastructure</w:t>
      </w:r>
      <w:r>
        <w:rPr>
          <w:rFonts w:eastAsia="微軟正黑體"/>
        </w:rPr>
        <w:t xml:space="preserve">）皆須通過數位簽章與憑證指紋驗證，失敗者連同 </w:t>
      </w:r>
      <w:r>
        <w:rPr>
          <w:rFonts w:eastAsia="微軟正黑體"/>
        </w:rPr>
        <w:t xml:space="preserve">.pdb </w:t>
      </w:r>
      <w:r>
        <w:rPr>
          <w:rFonts w:eastAsia="微軟正黑體"/>
        </w:rPr>
        <w:t xml:space="preserve">移至 </w:t>
      </w:r>
      <w:r>
        <w:rPr>
          <w:rFonts w:eastAsia="微軟正黑體"/>
        </w:rPr>
        <w:t xml:space="preserve">plugins\quarantine </w:t>
      </w:r>
      <w:r>
        <w:rPr>
          <w:rFonts w:eastAsia="微軟正黑體"/>
        </w:rPr>
        <w:t xml:space="preserve">並記錄資安事件；通過者以位元組串流載入獨立 </w:t>
      </w:r>
      <w:r>
        <w:rPr>
          <w:rFonts w:eastAsia="微軟正黑體"/>
        </w:rPr>
        <w:t>AssemblyLoadContext</w:t>
      </w:r>
      <w:r>
        <w:rPr>
          <w:rFonts w:eastAsia="微軟正黑體"/>
        </w:rPr>
        <w:t xml:space="preserve">（不鎖定檔案、可卸載），再註冊 </w:t>
      </w:r>
      <w:r>
        <w:rPr>
          <w:rFonts w:eastAsia="微軟正黑體"/>
        </w:rPr>
        <w:t>Controller</w:t>
      </w:r>
      <w:r>
        <w:rPr>
          <w:rFonts w:eastAsia="微軟正黑體"/>
        </w:rPr>
        <w:t>、相依服務與資料庫初始化。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400040" cy="6152188"/>
            <wp:effectExtent l="0" t="0" r="0" b="0"/>
            <wp:docPr id="6" name="seq3.png" descr="圖 3-3　外掛載入與簽章驗證循序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eq3.png" descr="圖 3-3　外掛載入與簽章驗證循序圖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1521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40"/>
        <w:jc w:val="center"/>
        <w:rPr/>
      </w:pPr>
      <w:r>
        <w:rPr>
          <w:rFonts w:eastAsia="微軟正黑體"/>
          <w:b/>
          <w:bCs/>
        </w:rPr>
        <w:t xml:space="preserve">圖 </w:t>
      </w:r>
      <w:r>
        <w:rPr>
          <w:rFonts w:eastAsia="微軟正黑體"/>
          <w:b/>
          <w:bCs/>
        </w:rPr>
        <w:t>3-3</w:t>
      </w:r>
      <w:r>
        <w:rPr>
          <w:rFonts w:eastAsia="微軟正黑體"/>
          <w:b/>
          <w:bCs/>
        </w:rPr>
        <w:t>　外掛載入與簽章驗證循序圖</w:t>
      </w:r>
    </w:p>
    <w:p>
      <w:pPr>
        <w:pStyle w:val="Normal"/>
        <w:keepNext/>
        <w:spacing w:lineRule="auto" w:line="300" w:before="0" w:after="100"/>
      </w:pPr>
      <w:r>
        <w:rPr>
          <w:rFonts w:eastAsia="微軟正黑體"/>
          <w:b/>
          <w:bCs/>
        </w:rPr>
        <w:t xml:space="preserve">流程摘要</w:t>
      </w:r>
    </w:p>
    <w:tbl>
      <w:tblPr>
        <w:tblW w:w="9638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1500"/>
        <w:gridCol w:w="8138"/>
      </w:tblGrid>
      <w:tr>
        <w:trPr>
          <w:cantSplit/>
        </w:trPr>
        <w:tc>
          <w:tcPr>
            <w:tcW w:w="1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 xml:space="preserve">目的</w:t>
            </w:r>
          </w:p>
        </w:tc>
        <w:tc>
          <w:tcPr>
            <w:tcW w:w="81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僅載入通過數位簽章驗證之外掛，並使各外掛相互隔離（軟體供應鏈安全）。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 xml:space="preserve">觸發</w:t>
            </w:r>
          </w:p>
        </w:tc>
        <w:tc>
          <w:tcPr>
            <w:tcW w:w="81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系統啟動；執行期可由模組管理卸載。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 xml:space="preserve">前置條件</w:t>
            </w:r>
          </w:p>
        </w:tc>
        <w:tc>
          <w:tcPr>
            <w:tcW w:w="81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已設定 ModularSettings（PluginsPath、TrustedThumbprint）；外掛已放置於 plugins 目錄。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 xml:space="preserve">後置結果</w:t>
            </w:r>
          </w:p>
        </w:tc>
        <w:tc>
          <w:tcPr>
            <w:tcW w:w="81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合法模組已載入並註冊 Controller、選單與權限；非法模組已隔離並留下資安紀錄。</w:t>
            </w:r>
          </w:p>
        </w:tc>
      </w:tr>
    </w:tbl>
    <w:p>
      <w:pPr>
        <w:pStyle w:val="Normal"/>
        <w:spacing w:before="0" w:after="80"/>
      </w:pPr>
    </w:p>
    <w:p>
      <w:pPr>
        <w:pStyle w:val="Normal"/>
        <w:keepNext/>
        <w:spacing w:lineRule="auto" w:line="300" w:before="0" w:after="100"/>
      </w:pPr>
      <w:r>
        <w:rPr>
          <w:rFonts w:eastAsia="微軟正黑體"/>
          <w:b/>
          <w:bCs/>
        </w:rPr>
        <w:t xml:space="preserve">流程說明</w:t>
      </w:r>
    </w:p>
    <w:tbl>
      <w:tblPr>
        <w:tblW w:w="9638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600"/>
        <w:gridCol w:w="2000"/>
        <w:gridCol w:w="4238"/>
        <w:gridCol w:w="2800"/>
      </w:tblGrid>
      <w:tr>
        <w:trPr>
          <w:tblHeader w:val="true"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val="clear" w:color="auto" w:fill="1F4E79"/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val="clear" w:color="auto" w:fill="1F4E79"/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 xml:space="preserve">參與者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val="clear" w:color="auto" w:fill="1F4E79"/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val="clear" w:color="auto" w:fill="1F4E79"/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 xml:space="preserve">對應元件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1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Host → ModuleLoader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呼叫 AddModularModules，讀取 ModularSettings。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AddModularModules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2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ModuleLoader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未設定受信任憑證指紋即拒絕啟動；否則掃描外掛目錄之 *.dll。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ModuleLoaderExtensions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3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ModuleLoader → Verifier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驗證主模組 DLL 之數位簽章與憑證指紋。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AssemblySecurityVerifier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4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ModuleLoader → quarantine（分支 A）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驗證失敗：將主 DLL 與同名 .Application、.Infrastructure、.pdb 移至 plugins\quarantine，記錄 Security Incident 並略過該模組，其餘模組不受影響。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QuarantineOrDeleteFile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5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ModuleLoader → ALC（分支 B）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驗證通過：為該模組建立獨立 AssemblyLoadContext。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ModuleAssemblyLoadContext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6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ModuleLoader → Verifier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逐一驗證附屬組件（.Application、.Infrastructure）；失敗者隔離。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AssemblySecurityVerifier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7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ModuleLoader → ALC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以位元組串流載入附屬與主組件，不鎖定檔案以利後續卸載。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LoadFromStream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8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ModuleLoader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含 Controller 者加入 ApplicationParts；找到 IModuleInitializer 並呼叫 RegisterDependencies 註冊相依服務。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IModuleInitializer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9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ModuleLoader → Host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註冊模組容器與資料庫初始化服務。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ModuleAssemblyContainer、ModuleDatabaseInitializerHostedService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10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Host → ModuleLoader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UseModularModulesAsync：呼叫各模組 OnApplicationConfigureAsync；啟動時同步模組與 Controller 中繼資料至資料庫。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DynamicControllerLoaderExtensions</w:t>
            </w:r>
          </w:p>
        </w:tc>
      </w:tr>
    </w:tbl>
    <w:p>
      <w:pPr>
        <w:pStyle w:val="Normal"/>
        <w:spacing w:before="0" w:after="80"/>
      </w:pPr>
    </w:p>
    <w:p>
      <w:pPr>
        <w:pStyle w:val="Normal"/>
        <w:keepNext/>
        <w:spacing w:lineRule="auto" w:line="300" w:before="0" w:after="100"/>
      </w:pPr>
      <w:r>
        <w:rPr>
          <w:rFonts w:eastAsia="微軟正黑體"/>
          <w:b/>
          <w:bCs/>
        </w:rPr>
        <w:t xml:space="preserve">例外與錯誤處理：</w:t>
      </w:r>
    </w:p>
    <w:p>
      <w:pPr>
        <w:pStyle w:val="Normal"/>
        <w:spacing w:lineRule="auto" w:line="300" w:before="0" w:after="100"/>
      </w:pPr>
      <w:r>
        <w:rPr>
          <w:rFonts w:eastAsia="微軟正黑體"/>
        </w:rPr>
        <w:t xml:space="preserve">（1）未設定 TrustedThumbprint：丟出例外並拒絕啟動，確保不在無驗證依據下載入外掛。</w:t>
      </w:r>
    </w:p>
    <w:p>
      <w:pPr>
        <w:pStyle w:val="Normal"/>
        <w:spacing w:lineRule="auto" w:line="300" w:before="0" w:after="100"/>
      </w:pPr>
      <w:r>
        <w:rPr>
          <w:rFonts w:eastAsia="微軟正黑體"/>
        </w:rPr>
        <w:t xml:space="preserve">（2）簽章驗證失敗：隔離相關檔案並記錄，其餘模組照常載入。</w:t>
      </w:r>
    </w:p>
    <w:p>
      <w:pPr>
        <w:pStyle w:val="Normal"/>
        <w:spacing w:lineRule="auto" w:line="300" w:before="0" w:after="100"/>
      </w:pPr>
      <w:r>
        <w:rPr>
          <w:rFonts w:eastAsia="微軟正黑體"/>
        </w:rPr>
        <w:t xml:space="preserve">（3）載入過程發生例外：卸載該模組之 ALC 並回收記憶體，不影響主機。</w:t>
      </w:r>
    </w:p>
    <w:p>
      <w:pPr>
        <w:pStyle w:val="Normal"/>
        <w:spacing w:lineRule="auto" w:line="300" w:before="0" w:after="100"/>
      </w:pPr>
      <w:r>
        <w:rPr>
          <w:rFonts w:eastAsia="微軟正黑體"/>
        </w:rPr>
        <w:t xml:space="preserve">（4）執行期卸載由 ModuleUnloader 處理，卸載後回收 ALC。</w:t>
      </w:r>
    </w:p>
    <w:p>
      <w:pPr>
        <w:pStyle w:val="Heading3"/>
        <w:keepNext w:val="true"/>
        <w:rPr/>
      </w:pPr>
      <w:r>
        <w:rPr>
          <w:rFonts w:eastAsia="微軟正黑體"/>
        </w:rPr>
        <w:t xml:space="preserve">3.2.2 </w:t>
      </w:r>
      <w:r>
        <w:rPr/>
        <w:t xml:space="preserve">登入與 </w:t>
      </w:r>
      <w:r>
        <w:rPr>
          <w:rFonts w:eastAsia="微軟正黑體"/>
        </w:rPr>
        <w:t xml:space="preserve">Token </w:t>
      </w:r>
      <w:r>
        <w:rPr/>
        <w:t>輪替</w:t>
      </w:r>
    </w:p>
    <w:p>
      <w:pPr>
        <w:pStyle w:val="Normal"/>
        <w:keepNext w:val="true"/>
        <w:spacing w:lineRule="auto" w:line="300" w:before="0" w:after="100"/>
        <w:rPr/>
      </w:pPr>
      <w:r>
        <w:rPr>
          <w:rFonts w:eastAsia="微軟正黑體"/>
          <w:b/>
          <w:bCs/>
        </w:rPr>
        <w:t>要點：</w:t>
      </w:r>
      <w:r>
        <w:rPr>
          <w:rFonts w:eastAsia="微軟正黑體"/>
        </w:rPr>
        <w:t xml:space="preserve">Refresh Token </w:t>
      </w:r>
      <w:r>
        <w:rPr>
          <w:rFonts w:eastAsia="微軟正黑體"/>
        </w:rPr>
        <w:t>以雜湊儲存並綁定裝置（</w:t>
      </w:r>
      <w:r>
        <w:rPr>
          <w:rFonts w:eastAsia="微軟正黑體"/>
        </w:rPr>
        <w:t>X-Device-Id</w:t>
      </w:r>
      <w:r>
        <w:rPr>
          <w:rFonts w:eastAsia="微軟正黑體"/>
        </w:rPr>
        <w:t xml:space="preserve">），超過裝置數上限者淘汰；換票採輪替機制，舊 </w:t>
      </w:r>
      <w:r>
        <w:rPr>
          <w:rFonts w:eastAsia="微軟正黑體"/>
        </w:rPr>
        <w:t xml:space="preserve">Token </w:t>
      </w:r>
      <w:r>
        <w:rPr>
          <w:rFonts w:eastAsia="微軟正黑體"/>
        </w:rPr>
        <w:t xml:space="preserve">遭重複使用（重放）即拒絕並寫入資安日誌；前端以共用 </w:t>
      </w:r>
      <w:r>
        <w:rPr>
          <w:rFonts w:eastAsia="微軟正黑體"/>
        </w:rPr>
        <w:t xml:space="preserve">Promise </w:t>
      </w:r>
      <w:r>
        <w:rPr>
          <w:rFonts w:eastAsia="微軟正黑體"/>
        </w:rPr>
        <w:t xml:space="preserve">避免併發換票，最多重送 </w:t>
      </w:r>
      <w:r>
        <w:rPr>
          <w:rFonts w:eastAsia="微軟正黑體"/>
        </w:rPr>
        <w:t xml:space="preserve">3 </w:t>
      </w:r>
      <w:r>
        <w:rPr>
          <w:rFonts w:eastAsia="微軟正黑體"/>
        </w:rPr>
        <w:t>次。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400040" cy="7575484"/>
            <wp:effectExtent l="0" t="0" r="0" b="0"/>
            <wp:docPr id="7" name="seq1.png" descr="圖 3-4　登入與 Token 輪替循序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eq1.png" descr="圖 3-4　登入與 Token 輪替循序圖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75754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40"/>
        <w:jc w:val="center"/>
        <w:rPr/>
      </w:pPr>
      <w:r>
        <w:rPr>
          <w:rFonts w:eastAsia="微軟正黑體"/>
          <w:b/>
          <w:bCs/>
        </w:rPr>
        <w:t xml:space="preserve">圖 </w:t>
      </w:r>
      <w:r>
        <w:rPr>
          <w:rFonts w:eastAsia="微軟正黑體"/>
          <w:b/>
          <w:bCs/>
        </w:rPr>
        <w:t>3-4</w:t>
      </w:r>
      <w:r>
        <w:rPr>
          <w:rFonts w:eastAsia="微軟正黑體"/>
          <w:b/>
          <w:bCs/>
        </w:rPr>
        <w:t xml:space="preserve">　登入與 </w:t>
      </w:r>
      <w:r>
        <w:rPr>
          <w:rFonts w:eastAsia="微軟正黑體"/>
          <w:b/>
          <w:bCs/>
        </w:rPr>
        <w:t xml:space="preserve">Token </w:t>
      </w:r>
      <w:r>
        <w:rPr>
          <w:rFonts w:eastAsia="微軟正黑體"/>
          <w:b/>
          <w:bCs/>
        </w:rPr>
        <w:t>輪替循序圖</w:t>
      </w:r>
    </w:p>
    <w:p>
      <w:pPr>
        <w:pStyle w:val="Normal"/>
        <w:keepNext/>
        <w:spacing w:lineRule="auto" w:line="300" w:before="0" w:after="100"/>
      </w:pPr>
      <w:r>
        <w:rPr>
          <w:rFonts w:eastAsia="微軟正黑體"/>
          <w:b/>
          <w:bCs/>
        </w:rPr>
        <w:t xml:space="preserve">流程摘要</w:t>
      </w:r>
    </w:p>
    <w:tbl>
      <w:tblPr>
        <w:tblW w:w="9638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1500"/>
        <w:gridCol w:w="8138"/>
      </w:tblGrid>
      <w:tr>
        <w:trPr>
          <w:cantSplit/>
        </w:trPr>
        <w:tc>
          <w:tcPr>
            <w:tcW w:w="1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 xml:space="preserve">目的</w:t>
            </w:r>
          </w:p>
        </w:tc>
        <w:tc>
          <w:tcPr>
            <w:tcW w:w="81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取得並維持有效之工作階段，Token 到期時無感續約。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 xml:space="preserve">觸發</w:t>
            </w:r>
          </w:p>
        </w:tc>
        <w:tc>
          <w:tcPr>
            <w:tcW w:w="81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使用者登入；Access Token 到期。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 xml:space="preserve">前置條件</w:t>
            </w:r>
          </w:p>
        </w:tc>
        <w:tc>
          <w:tcPr>
            <w:tcW w:w="81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帳號有效且具實驗室存取權；請求帶有 X-Device-Id。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 xml:space="preserve">後置結果</w:t>
            </w:r>
          </w:p>
        </w:tc>
        <w:tc>
          <w:tcPr>
            <w:tcW w:w="81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工作階段綁定裝置；Refresh Token 以雜湊儲存，且每次換發即輪替。</w:t>
            </w:r>
          </w:p>
        </w:tc>
      </w:tr>
    </w:tbl>
    <w:p>
      <w:pPr>
        <w:pStyle w:val="Normal"/>
        <w:spacing w:before="0" w:after="80"/>
      </w:pPr>
    </w:p>
    <w:p>
      <w:pPr>
        <w:pStyle w:val="Normal"/>
        <w:keepNext/>
        <w:spacing w:lineRule="auto" w:line="300" w:before="0" w:after="100"/>
      </w:pPr>
      <w:r>
        <w:rPr>
          <w:rFonts w:eastAsia="微軟正黑體"/>
          <w:b/>
          <w:bCs/>
        </w:rPr>
        <w:t xml:space="preserve">流程說明</w:t>
      </w:r>
    </w:p>
    <w:tbl>
      <w:tblPr>
        <w:tblW w:w="9638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600"/>
        <w:gridCol w:w="2000"/>
        <w:gridCol w:w="4238"/>
        <w:gridCol w:w="2800"/>
      </w:tblGrid>
      <w:tr>
        <w:trPr>
          <w:tblHeader w:val="true"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val="clear" w:color="auto" w:fill="1F4E79"/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val="clear" w:color="auto" w:fill="1F4E79"/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 xml:space="preserve">參與者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val="clear" w:color="auto" w:fill="1F4E79"/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val="clear" w:color="auto" w:fill="1F4E79"/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 xml:space="preserve">對應元件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1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使用者 → 後端 API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POST /auth/login，帶帳號或 Email、密碼與 X-Device-Id。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AuthController.LoginAsync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2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後端 API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以 UserManager 驗證密碼；失敗累計 AccessFailedCount 並回 401，成功則重設計數。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ASP.NET Core Identity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3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後端 API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初始化實驗室上下文與動態選單，取得可存取實驗室（無實驗室權限回 403）。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IUserRuntimeScopeService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4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後端 API → Engine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發行初始工作階段。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IssueInitialSessionAsync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5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Engine → 資料庫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儲存 Refresh Token 雜湊與裝置資訊；超過裝置數上限者淘汰。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UserRefreshToken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6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Engine → 後端 API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回傳 Access Token（JWT，15 分鐘）與 Refresh Token。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TokenResult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7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後端 API → 使用者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回傳 Token、選單與可切換實驗室；寫入資安日誌 SEC-200-LOGIN-SUCCESS。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SecurityLogger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8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使用者 → ApiClient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後續業務請求經 Axios 攔截器送出。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Axios request interceptor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9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ApiClient → 後端 API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請求帶已逾期之 Access Token。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10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後端 API → ApiClient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回 401。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JwtBearer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11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ApiClient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以共用 Promise 統一換票，避免並行請求重複換票（single-flight）。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session store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12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ApiClient → 後端 API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POST /auth/refresh，帶舊 Access Token 與 Refresh Token。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AuthController.RefreshTokenAsync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13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後端 API → Engine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驗證並換發工作階段。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RefreshSessionAsync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14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Engine → 資料庫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以舊雜湊換新雜湊（含寬限期）並回傳比對結果。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ValidateAndRotateTokenAsync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15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後端 API → ApiClient（分支 A）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回傳新 Token；前端更新 localStorage 並重送原請求（最多 3 次）。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Axios response interceptor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16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後端 API → ApiClient（分支 B）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重放攻擊、帳號凍結或工作階段無效：回 401 並寫入資安日誌。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SecurityLogger</w:t>
            </w:r>
          </w:p>
        </w:tc>
      </w:tr>
    </w:tbl>
    <w:p>
      <w:pPr>
        <w:pStyle w:val="Normal"/>
        <w:spacing w:before="0" w:after="80"/>
      </w:pPr>
    </w:p>
    <w:p>
      <w:pPr>
        <w:pStyle w:val="Normal"/>
        <w:keepNext/>
        <w:spacing w:lineRule="auto" w:line="300" w:before="0" w:after="100"/>
      </w:pPr>
      <w:r>
        <w:rPr>
          <w:rFonts w:eastAsia="微軟正黑體"/>
          <w:b/>
          <w:bCs/>
        </w:rPr>
        <w:t xml:space="preserve">例外與錯誤處理：</w:t>
      </w:r>
    </w:p>
    <w:p>
      <w:pPr>
        <w:pStyle w:val="Normal"/>
        <w:spacing w:lineRule="auto" w:line="300" w:before="0" w:after="100"/>
      </w:pPr>
      <w:r>
        <w:rPr>
          <w:rFonts w:eastAsia="微軟正黑體"/>
        </w:rPr>
        <w:t xml:space="preserve">（1）帳密錯誤：回 401 並累計失敗次數（鎖定規則見系統配置）。</w:t>
      </w:r>
    </w:p>
    <w:p>
      <w:pPr>
        <w:pStyle w:val="Normal"/>
        <w:spacing w:lineRule="auto" w:line="300" w:before="0" w:after="100"/>
      </w:pPr>
      <w:r>
        <w:rPr>
          <w:rFonts w:eastAsia="微軟正黑體"/>
        </w:rPr>
        <w:t xml:space="preserve">（2）無實驗室存取權：回 403。</w:t>
      </w:r>
    </w:p>
    <w:p>
      <w:pPr>
        <w:pStyle w:val="Normal"/>
        <w:spacing w:lineRule="auto" w:line="300" w:before="0" w:after="100"/>
      </w:pPr>
      <w:r>
        <w:rPr>
          <w:rFonts w:eastAsia="微軟正黑體"/>
        </w:rPr>
        <w:t xml:space="preserve">（3）重放攻擊：Refresh Token 遭重複使用即回 401（SEC-401-TOKEN_REPLAY_ATTACK_DETECTED），列為重大資安事件。</w:t>
      </w:r>
    </w:p>
    <w:p>
      <w:pPr>
        <w:pStyle w:val="Normal"/>
        <w:spacing w:lineRule="auto" w:line="300" w:before="0" w:after="100"/>
      </w:pPr>
      <w:r>
        <w:rPr>
          <w:rFonts w:eastAsia="微軟正黑體"/>
        </w:rPr>
        <w:t xml:space="preserve">（4）帳號凍結或工作階段已撤銷：回 401（SEC-401-INVALID-SESSION）。</w:t>
      </w:r>
    </w:p>
    <w:p>
      <w:pPr>
        <w:pStyle w:val="Normal"/>
        <w:spacing w:lineRule="auto" w:line="300" w:before="0" w:after="100"/>
      </w:pPr>
      <w:r>
        <w:rPr>
          <w:rFonts w:eastAsia="微軟正黑體"/>
        </w:rPr>
        <w:t xml:space="preserve">（5）前端重送達 3 次或換票失敗：導向登入頁。</w:t>
      </w:r>
    </w:p>
    <w:p>
      <w:pPr>
        <w:pStyle w:val="Heading3"/>
        <w:keepNext w:val="true"/>
        <w:rPr/>
      </w:pPr>
      <w:r>
        <w:rPr>
          <w:rFonts w:eastAsia="微軟正黑體"/>
        </w:rPr>
        <w:t xml:space="preserve">3.2.3 </w:t>
      </w:r>
      <w:r>
        <w:rPr/>
        <w:t xml:space="preserve">權限變更 </w:t>
      </w:r>
      <w:r>
        <w:rPr>
          <w:rFonts w:eastAsia="微軟正黑體"/>
        </w:rPr>
        <w:t xml:space="preserve">Maker-Checker </w:t>
      </w:r>
      <w:r>
        <w:rPr/>
        <w:t xml:space="preserve">審核與 </w:t>
      </w:r>
      <w:r>
        <w:rPr>
          <w:rFonts w:eastAsia="微軟正黑體"/>
        </w:rPr>
        <w:t xml:space="preserve">SoD </w:t>
      </w:r>
      <w:r>
        <w:rPr/>
        <w:t>檢查</w:t>
      </w:r>
    </w:p>
    <w:p>
      <w:pPr>
        <w:pStyle w:val="Normal"/>
        <w:keepNext w:val="true"/>
        <w:spacing w:lineRule="auto" w:line="300" w:before="0" w:after="100"/>
        <w:rPr/>
      </w:pPr>
      <w:r>
        <w:rPr>
          <w:rFonts w:eastAsia="微軟正黑體"/>
          <w:b/>
          <w:bCs/>
        </w:rPr>
        <w:t>要點：</w:t>
      </w:r>
      <w:r>
        <w:rPr>
          <w:rFonts w:eastAsia="微軟正黑體"/>
        </w:rPr>
        <w:t xml:space="preserve">送出與核准時皆檢查 </w:t>
      </w:r>
      <w:r>
        <w:rPr>
          <w:rFonts w:eastAsia="微軟正黑體"/>
        </w:rPr>
        <w:t>SoD</w:t>
      </w:r>
      <w:r>
        <w:rPr>
          <w:rFonts w:eastAsia="微軟正黑體"/>
        </w:rPr>
        <w:t xml:space="preserve">；同一角色同時僅能有一筆待審申請；提出者不得核准自己的申請（持有系統內建角色且管理階層較高者除外）；核准即套用權限並寫入稽核。組態 </w:t>
      </w:r>
      <w:r>
        <w:rPr>
          <w:rFonts w:eastAsia="微軟正黑體"/>
        </w:rPr>
        <w:t xml:space="preserve">RoleGovernance:RequireApproval </w:t>
      </w:r>
      <w:r>
        <w:rPr>
          <w:rFonts w:eastAsia="微軟正黑體"/>
        </w:rPr>
        <w:t xml:space="preserve">為 </w:t>
      </w:r>
      <w:r>
        <w:rPr>
          <w:rFonts w:eastAsia="微軟正黑體"/>
        </w:rPr>
        <w:t xml:space="preserve">false </w:t>
      </w:r>
      <w:r>
        <w:rPr>
          <w:rFonts w:eastAsia="微軟正黑體"/>
        </w:rPr>
        <w:t xml:space="preserve">時改為直接套用（供單人維運環境，仍檢查 </w:t>
      </w:r>
      <w:r>
        <w:rPr>
          <w:rFonts w:eastAsia="微軟正黑體"/>
        </w:rPr>
        <w:t>SoD</w:t>
      </w:r>
      <w:r>
        <w:rPr>
          <w:rFonts w:eastAsia="微軟正黑體"/>
        </w:rPr>
        <w:t>）。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400040" cy="6021044"/>
            <wp:effectExtent l="0" t="0" r="0" b="0"/>
            <wp:docPr id="8" name="seq2.png" descr="圖 3-5　權限變更 Maker-Checker 循序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eq2.png" descr="圖 3-5　權限變更 Maker-Checker 循序圖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0210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40"/>
        <w:jc w:val="center"/>
        <w:rPr/>
      </w:pPr>
      <w:r>
        <w:rPr>
          <w:rFonts w:eastAsia="微軟正黑體"/>
          <w:b/>
          <w:bCs/>
        </w:rPr>
        <w:t xml:space="preserve">圖 </w:t>
      </w:r>
      <w:r>
        <w:rPr>
          <w:rFonts w:eastAsia="微軟正黑體"/>
          <w:b/>
          <w:bCs/>
        </w:rPr>
        <w:t>3-5</w:t>
      </w:r>
      <w:r>
        <w:rPr>
          <w:rFonts w:eastAsia="微軟正黑體"/>
          <w:b/>
          <w:bCs/>
        </w:rPr>
        <w:t xml:space="preserve">　權限變更 </w:t>
      </w:r>
      <w:r>
        <w:rPr>
          <w:rFonts w:eastAsia="微軟正黑體"/>
          <w:b/>
          <w:bCs/>
        </w:rPr>
        <w:t xml:space="preserve">Maker-Checker </w:t>
      </w:r>
      <w:r>
        <w:rPr>
          <w:rFonts w:eastAsia="微軟正黑體"/>
          <w:b/>
          <w:bCs/>
        </w:rPr>
        <w:t>循序圖</w:t>
      </w:r>
    </w:p>
    <w:p>
      <w:pPr>
        <w:pStyle w:val="Normal"/>
        <w:keepNext/>
        <w:spacing w:lineRule="auto" w:line="300" w:before="0" w:after="100"/>
      </w:pPr>
      <w:r>
        <w:rPr>
          <w:rFonts w:eastAsia="微軟正黑體"/>
          <w:b/>
          <w:bCs/>
        </w:rPr>
        <w:t xml:space="preserve">流程摘要</w:t>
      </w:r>
    </w:p>
    <w:tbl>
      <w:tblPr>
        <w:tblW w:w="9638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1500"/>
        <w:gridCol w:w="8138"/>
      </w:tblGrid>
      <w:tr>
        <w:trPr>
          <w:cantSplit/>
        </w:trPr>
        <w:tc>
          <w:tcPr>
            <w:tcW w:w="1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 xml:space="preserve">目的</w:t>
            </w:r>
          </w:p>
        </w:tc>
        <w:tc>
          <w:tcPr>
            <w:tcW w:w="81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權限變更須雙重審批並符合職能分立（SoD）。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 xml:space="preserve">觸發</w:t>
            </w:r>
          </w:p>
        </w:tc>
        <w:tc>
          <w:tcPr>
            <w:tcW w:w="81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提出角色權限變更。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 xml:space="preserve">前置條件</w:t>
            </w:r>
          </w:p>
        </w:tc>
        <w:tc>
          <w:tcPr>
            <w:tcW w:w="81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提出者具角色管理權限；審核者為不同人（高階系統角色例外）。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 xml:space="preserve">後置結果</w:t>
            </w:r>
          </w:p>
        </w:tc>
        <w:tc>
          <w:tcPr>
            <w:tcW w:w="81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權限於核准後生效，全程留有稽核，受影響使用者即時重新載入權限。</w:t>
            </w:r>
          </w:p>
        </w:tc>
      </w:tr>
    </w:tbl>
    <w:p>
      <w:pPr>
        <w:pStyle w:val="Normal"/>
        <w:spacing w:before="0" w:after="80"/>
      </w:pPr>
    </w:p>
    <w:p>
      <w:pPr>
        <w:pStyle w:val="Normal"/>
        <w:keepNext/>
        <w:spacing w:lineRule="auto" w:line="300" w:before="0" w:after="100"/>
      </w:pPr>
      <w:r>
        <w:rPr>
          <w:rFonts w:eastAsia="微軟正黑體"/>
          <w:b/>
          <w:bCs/>
        </w:rPr>
        <w:t xml:space="preserve">流程說明</w:t>
      </w:r>
    </w:p>
    <w:tbl>
      <w:tblPr>
        <w:tblW w:w="9638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600"/>
        <w:gridCol w:w="2000"/>
        <w:gridCol w:w="4238"/>
        <w:gridCol w:w="2800"/>
      </w:tblGrid>
      <w:tr>
        <w:trPr>
          <w:tblHeader w:val="true"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val="clear" w:color="auto" w:fill="1F4E79"/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val="clear" w:color="auto" w:fill="1F4E79"/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 xml:space="preserve">參與者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val="clear" w:color="auto" w:fill="1F4E79"/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val="clear" w:color="auto" w:fill="1F4E79"/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 xml:space="preserve">對應元件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1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提出者 → Vue SPA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於角色管理調整權限；送出前可呼叫 SoD 檢查端點即時提示。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sod-rules/check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2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Vue SPA → Service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送出變更申請（目標權限鍵、原因）。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SubmitRolePermissionChangeAsync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3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Service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檢查角色狀態（僅 Active 或 PendingApproval 可異動）、SoD 規則，以及同角色是否已有待審申請。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CheckSodAsync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4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Service → 資料庫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新增 RoleChangeRequest（Pending）；角色轉為 PendingApproval；寫入角色稽核。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RoleChangeRequest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5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Service → Vue SPA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回覆已送審；若 RoleGovernance:RequireApproval 為 false 則直接套用（仍檢查 SoD）。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RoleChangeSubmitResult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6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審核者 → Vue SPA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開啟權限變更審核頁，列出待審申請。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GET change-requests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7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Vue SPA → Service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送出核准。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POST change-requests/{id}/approve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8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Service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提出者不得核准自己的申請（持有系統內建角色且管理階層較高者例外）；核准時再次檢查 SoD。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CanSelfApproveAsync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9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Service → 資料庫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套用角色權限；申請轉 Approved；寫入審核人、時間、意見與稽核。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UpdateRolePermissionsAsync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10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Service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結算角色狀態（新建角色核准後啟用）；清除權限快取並透過 SessionHub 通知受影響使用者。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IPermissionChangeNotifier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11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Service → Vue SPA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回覆已核准並套用。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—</w:t>
            </w:r>
          </w:p>
        </w:tc>
      </w:tr>
    </w:tbl>
    <w:p>
      <w:pPr>
        <w:pStyle w:val="Normal"/>
        <w:spacing w:before="0" w:after="80"/>
      </w:pPr>
    </w:p>
    <w:p>
      <w:pPr>
        <w:pStyle w:val="Normal"/>
        <w:keepNext/>
        <w:spacing w:lineRule="auto" w:line="300" w:before="0" w:after="100"/>
      </w:pPr>
      <w:r>
        <w:rPr>
          <w:rFonts w:eastAsia="微軟正黑體"/>
          <w:b/>
          <w:bCs/>
        </w:rPr>
        <w:t xml:space="preserve">例外與錯誤處理：</w:t>
      </w:r>
    </w:p>
    <w:p>
      <w:pPr>
        <w:pStyle w:val="Normal"/>
        <w:spacing w:lineRule="auto" w:line="300" w:before="0" w:after="100"/>
      </w:pPr>
      <w:r>
        <w:rPr>
          <w:rFonts w:eastAsia="微軟正黑體"/>
        </w:rPr>
        <w:t xml:space="preserve">（1）角色狀態不允許異動、已有待審申請或違反 SoD：拒絕送出並提示原因。</w:t>
      </w:r>
    </w:p>
    <w:p>
      <w:pPr>
        <w:pStyle w:val="Normal"/>
        <w:spacing w:lineRule="auto" w:line="300" w:before="0" w:after="100"/>
      </w:pPr>
      <w:r>
        <w:rPr>
          <w:rFonts w:eastAsia="微軟正黑體"/>
        </w:rPr>
        <w:t xml:space="preserve">（2）申請已處理不得重複審核；角色已刪除須駁回。</w:t>
      </w:r>
    </w:p>
    <w:p>
      <w:pPr>
        <w:pStyle w:val="Normal"/>
        <w:spacing w:lineRule="auto" w:line="300" w:before="0" w:after="100"/>
      </w:pPr>
      <w:r>
        <w:rPr>
          <w:rFonts w:eastAsia="微軟正黑體"/>
        </w:rPr>
        <w:t xml:space="preserve">（3）套用權限失敗：回傳原因，申請狀態不變。</w:t>
      </w:r>
    </w:p>
    <w:p>
      <w:pPr>
        <w:pStyle w:val="Normal"/>
        <w:spacing w:lineRule="auto" w:line="300" w:before="0" w:after="100"/>
      </w:pPr>
      <w:r>
        <w:rPr>
          <w:rFonts w:eastAsia="微軟正黑體"/>
        </w:rPr>
        <w:t xml:space="preserve">（4）駁回須填原因（Rejected）；提出者可撤回（Cancelled）。</w:t>
      </w:r>
    </w:p>
    <w:p>
      <w:pPr>
        <w:pStyle w:val="Normal"/>
        <w:spacing w:lineRule="auto" w:line="300" w:before="0" w:after="100"/>
      </w:pPr>
      <w:r>
        <w:rPr>
          <w:rFonts w:eastAsia="微軟正黑體"/>
        </w:rPr>
        <w:t xml:space="preserve">（5）通知失敗不影響已完成之異動，權限快取最晚 15 分鐘後自然更新。</w:t>
      </w:r>
    </w:p>
    <w:p>
      <w:pPr>
        <w:pStyle w:val="Heading3"/>
        <w:keepNext w:val="true"/>
        <w:rPr/>
      </w:pPr>
      <w:r>
        <w:rPr>
          <w:rFonts w:eastAsia="微軟正黑體"/>
        </w:rPr>
        <w:t xml:space="preserve">3.2.4 </w:t>
      </w:r>
      <w:r>
        <w:rPr/>
        <w:t>稽核寫入與雜湊鏈驗證</w:t>
      </w:r>
    </w:p>
    <w:p>
      <w:pPr>
        <w:pStyle w:val="Normal"/>
        <w:keepNext w:val="true"/>
        <w:spacing w:lineRule="auto" w:line="300" w:before="0" w:after="100"/>
        <w:rPr/>
      </w:pPr>
      <w:r>
        <w:rPr>
          <w:rFonts w:eastAsia="微軟正黑體"/>
          <w:b/>
          <w:bCs/>
        </w:rPr>
        <w:t>要點：</w:t>
      </w:r>
      <w:r>
        <w:rPr>
          <w:rFonts w:eastAsia="微軟正黑體"/>
        </w:rPr>
        <w:t xml:space="preserve">稽核寫入採多寫入者、單一消費者通道以確保雜湊鏈順序；每批次由 </w:t>
      </w:r>
      <w:r>
        <w:rPr>
          <w:rFonts w:eastAsia="微軟正黑體"/>
        </w:rPr>
        <w:t xml:space="preserve">SqlBulkAuditStorageStrategy </w:t>
      </w:r>
      <w:r>
        <w:rPr>
          <w:rFonts w:eastAsia="微軟正黑體"/>
        </w:rPr>
        <w:t xml:space="preserve">串接 </w:t>
      </w:r>
      <w:r>
        <w:rPr>
          <w:rFonts w:eastAsia="微軟正黑體"/>
        </w:rPr>
        <w:t xml:space="preserve">PreviousHash </w:t>
      </w:r>
      <w:r>
        <w:rPr>
          <w:rFonts w:eastAsia="微軟正黑體"/>
        </w:rPr>
        <w:t xml:space="preserve">並計算 </w:t>
      </w:r>
      <w:r>
        <w:rPr>
          <w:rFonts w:eastAsia="微軟正黑體"/>
        </w:rPr>
        <w:t>SHA-256</w:t>
      </w:r>
      <w:r>
        <w:rPr>
          <w:rFonts w:eastAsia="微軟正黑體"/>
        </w:rPr>
        <w:t xml:space="preserve">，再寫入 </w:t>
      </w:r>
      <w:r>
        <w:rPr>
          <w:rFonts w:eastAsia="微軟正黑體"/>
        </w:rPr>
        <w:t>Ledger</w:t>
      </w:r>
      <w:r>
        <w:rPr>
          <w:rFonts w:eastAsia="微軟正黑體"/>
        </w:rPr>
        <w:t>（</w:t>
      </w:r>
      <w:r>
        <w:rPr>
          <w:rFonts w:eastAsia="微軟正黑體"/>
        </w:rPr>
        <w:t>APPEND_ONLY</w:t>
      </w:r>
      <w:r>
        <w:rPr>
          <w:rFonts w:eastAsia="微軟正黑體"/>
        </w:rPr>
        <w:t xml:space="preserve">）資料表；驗證由 </w:t>
      </w:r>
      <w:r>
        <w:rPr>
          <w:rFonts w:eastAsia="微軟正黑體"/>
        </w:rPr>
        <w:t xml:space="preserve">LedgerVerificationController </w:t>
      </w:r>
      <w:r>
        <w:rPr>
          <w:rFonts w:eastAsia="微軟正黑體"/>
        </w:rPr>
        <w:t>提供，並可產出報告。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400040" cy="4698034"/>
            <wp:effectExtent l="0" t="0" r="0" b="0"/>
            <wp:docPr id="9" name="seq4.png" descr="圖 3-6　稽核寫入與雜湊鏈驗證循序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eq4.png" descr="圖 3-6　稽核寫入與雜湊鏈驗證循序圖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6980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40"/>
        <w:jc w:val="center"/>
        <w:rPr/>
      </w:pPr>
      <w:r>
        <w:rPr>
          <w:rFonts w:eastAsia="微軟正黑體"/>
          <w:b/>
          <w:bCs/>
        </w:rPr>
        <w:t xml:space="preserve">圖 </w:t>
      </w:r>
      <w:r>
        <w:rPr>
          <w:rFonts w:eastAsia="微軟正黑體"/>
          <w:b/>
          <w:bCs/>
        </w:rPr>
        <w:t>3-6</w:t>
      </w:r>
      <w:r>
        <w:rPr>
          <w:rFonts w:eastAsia="微軟正黑體"/>
          <w:b/>
          <w:bCs/>
        </w:rPr>
        <w:t>　稽核寫入與雜湊鏈驗證循序圖</w:t>
      </w:r>
    </w:p>
    <w:p>
      <w:pPr>
        <w:pStyle w:val="Normal"/>
        <w:keepNext/>
        <w:spacing w:lineRule="auto" w:line="300" w:before="0" w:after="100"/>
      </w:pPr>
      <w:r>
        <w:rPr>
          <w:rFonts w:eastAsia="微軟正黑體"/>
          <w:b/>
          <w:bCs/>
        </w:rPr>
        <w:t xml:space="preserve">流程摘要</w:t>
      </w:r>
    </w:p>
    <w:tbl>
      <w:tblPr>
        <w:tblW w:w="9638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1500"/>
        <w:gridCol w:w="8138"/>
      </w:tblGrid>
      <w:tr>
        <w:trPr>
          <w:cantSplit/>
        </w:trPr>
        <w:tc>
          <w:tcPr>
            <w:tcW w:w="1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 xml:space="preserve">目的</w:t>
            </w:r>
          </w:p>
        </w:tc>
        <w:tc>
          <w:tcPr>
            <w:tcW w:w="81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確保資料異動不可否認、可追溯，且不拖慢 API。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 xml:space="preserve">觸發</w:t>
            </w:r>
          </w:p>
        </w:tc>
        <w:tc>
          <w:tcPr>
            <w:tcW w:w="81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任何受稽核資料之異動。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 xml:space="preserve">前置條件</w:t>
            </w:r>
          </w:p>
        </w:tc>
        <w:tc>
          <w:tcPr>
            <w:tcW w:w="81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資料表已啟用稽核攔截；稽核資料表為 Ledger（APPEND_ONLY）。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 xml:space="preserve">後置結果</w:t>
            </w:r>
          </w:p>
        </w:tc>
        <w:tc>
          <w:tcPr>
            <w:tcW w:w="81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稽核紀錄串成雜湊鏈並寫入 Ledger 資料表，可隨時驗證。</w:t>
            </w:r>
          </w:p>
        </w:tc>
      </w:tr>
    </w:tbl>
    <w:p>
      <w:pPr>
        <w:pStyle w:val="Normal"/>
        <w:spacing w:before="0" w:after="80"/>
      </w:pPr>
    </w:p>
    <w:p>
      <w:pPr>
        <w:pStyle w:val="Normal"/>
        <w:keepNext/>
        <w:spacing w:lineRule="auto" w:line="300" w:before="0" w:after="100"/>
      </w:pPr>
      <w:r>
        <w:rPr>
          <w:rFonts w:eastAsia="微軟正黑體"/>
          <w:b/>
          <w:bCs/>
        </w:rPr>
        <w:t xml:space="preserve">流程說明</w:t>
      </w:r>
    </w:p>
    <w:tbl>
      <w:tblPr>
        <w:tblW w:w="9638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600"/>
        <w:gridCol w:w="2000"/>
        <w:gridCol w:w="4238"/>
        <w:gridCol w:w="2800"/>
      </w:tblGrid>
      <w:tr>
        <w:trPr>
          <w:tblHeader w:val="true"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val="clear" w:color="auto" w:fill="1F4E79"/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val="clear" w:color="auto" w:fill="1F4E79"/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 xml:space="preserve">參與者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val="clear" w:color="auto" w:fill="1F4E79"/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val="clear" w:color="auto" w:fill="1F4E79"/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 xml:space="preserve">對應元件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1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業務請求 → 稽核攔截器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SaveChanges 時由攔截器擷取異動（新舊值、TraceId、使用者、來源 IP）。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AuditInterceptor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2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稽核攔截器 → AuditChannel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投入有界通道（容量 5000，滿載時等待）；請求不等待稽核落地。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AuditChannel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3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AuditWorker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單一消費者依序取出，累積至批次量或逾時即刷新。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AuditWorker.ExecuteAsync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4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AuditWorker → Strategy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呼叫批次儲存；失敗最多重試 3 次，仍失敗改寫降級備份檔。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SaveBatchWithReliabilityAsync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5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Strategy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讀取資料庫最後一筆 StoredHash 作為鏈首，逐筆串接 PreviousHash 並計算 SHA-256。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SqlBulkAuditStorageStrategy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6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Strategy → SQL Server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以 SqlBulkCopy 單一交易寫入 core.AuditLogs（LEDGER=ON、APPEND_ONLY）。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SqlBulkCopy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7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管理者 → SQL Server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呼叫驗證端點。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POST {contextName}/verify/{entityName}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8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SQL Server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重算雜湊鏈並驗證 Ledger。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LedgerVerificationController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9</w:t>
            </w:r>
          </w:p>
        </w:tc>
        <w:tc>
          <w:tcPr>
            <w:tcW w:w="2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SQL Server → 管理者</w:t>
            </w:r>
          </w:p>
        </w:tc>
        <w:tc>
          <w:tcPr>
            <w:tcW w:w="42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回傳驗證結果；報告端點可產出報告。</w:t>
            </w:r>
          </w:p>
        </w:tc>
        <w:tc>
          <w:tcPr>
            <w:tcW w:w="2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GET {contextName}/report/{entityName}</w:t>
            </w:r>
          </w:p>
        </w:tc>
      </w:tr>
    </w:tbl>
    <w:p>
      <w:pPr>
        <w:pStyle w:val="Normal"/>
        <w:spacing w:before="0" w:after="80"/>
      </w:pPr>
    </w:p>
    <w:p>
      <w:pPr>
        <w:pStyle w:val="Normal"/>
        <w:keepNext/>
        <w:spacing w:lineRule="auto" w:line="300" w:before="0" w:after="100"/>
      </w:pPr>
      <w:r>
        <w:rPr>
          <w:rFonts w:eastAsia="微軟正黑體"/>
          <w:b/>
          <w:bCs/>
        </w:rPr>
        <w:t xml:space="preserve">例外與錯誤處理：</w:t>
      </w:r>
    </w:p>
    <w:p>
      <w:pPr>
        <w:pStyle w:val="Normal"/>
        <w:spacing w:lineRule="auto" w:line="300" w:before="0" w:after="100"/>
      </w:pPr>
      <w:r>
        <w:rPr>
          <w:rFonts w:eastAsia="微軟正黑體"/>
        </w:rPr>
        <w:t xml:space="preserve">（1）資料庫暫時失敗：重試 3 次（退避 1、2 秒），仍失敗改寫降級備份檔（Audit_Failures），下次啟動自動復原。</w:t>
      </w:r>
    </w:p>
    <w:p>
      <w:pPr>
        <w:pStyle w:val="Normal"/>
        <w:spacing w:lineRule="auto" w:line="300" w:before="0" w:after="100"/>
      </w:pPr>
      <w:r>
        <w:rPr>
          <w:rFonts w:eastAsia="微軟正黑體"/>
        </w:rPr>
        <w:t xml:space="preserve">（2）降級檔亦無法寫入：記錄重大錯誤。</w:t>
      </w:r>
    </w:p>
    <w:p>
      <w:pPr>
        <w:pStyle w:val="Normal"/>
        <w:spacing w:lineRule="auto" w:line="300" w:before="0" w:after="100"/>
      </w:pPr>
      <w:r>
        <w:rPr>
          <w:rFonts w:eastAsia="微軟正黑體"/>
        </w:rPr>
        <w:t xml:space="preserve">（3）通道滿載：生產端等待，不丟棄事件。</w:t>
      </w:r>
    </w:p>
    <w:p>
      <w:pPr>
        <w:pStyle w:val="Normal"/>
        <w:spacing w:lineRule="auto" w:line="300" w:before="0" w:after="100"/>
      </w:pPr>
      <w:r>
        <w:rPr>
          <w:rFonts w:eastAsia="微軟正黑體"/>
        </w:rPr>
        <w:t xml:space="preserve">（4）處理程序強制終止：記憶體中尚未落地之事件可能遺失，防禦規範見 2.6.3 CON-09。</w:t>
      </w:r>
    </w:p>
    <w:p>
      <w:pPr>
        <w:pStyle w:val="Normal"/>
        <w:spacing w:lineRule="auto" w:line="300" w:before="0" w:after="100"/>
      </w:pPr>
      <w:r>
        <w:rPr>
          <w:rFonts w:eastAsia="微軟正黑體"/>
        </w:rPr>
        <w:t xml:space="preserve">（5）主機停止時：終止前先刷新緩衝區（完整排空規範見 CON-08）。</w:t>
      </w:r>
    </w:p>
    <w:p>
      <w:pPr>
        <w:pStyle w:val="Heading1"/>
        <w:rPr/>
      </w:pPr>
      <w:bookmarkStart w:id="58" w:name="__RefHeading___Toc3328_1895412299"/>
      <w:bookmarkStart w:id="59" w:name="_Toc243493473"/>
      <w:bookmarkEnd w:id="58"/>
      <w:r>
        <w:rPr/>
        <w:t xml:space="preserve">4. </w:t>
      </w:r>
      <w:r>
        <w:rPr/>
        <w:t>系統模組設計</w:t>
      </w:r>
      <w:bookmarkEnd w:id="59"/>
    </w:p>
    <w:p>
      <w:pPr>
        <w:pStyle w:val="Heading2"/>
        <w:rPr/>
      </w:pPr>
      <w:bookmarkStart w:id="60" w:name="__RefHeading___Toc3330_1895412299"/>
      <w:bookmarkStart w:id="61" w:name="_Toc243493474"/>
      <w:bookmarkEnd w:id="60"/>
      <w:r>
        <w:rPr/>
        <w:t xml:space="preserve">4.1 </w:t>
      </w:r>
      <w:r>
        <w:rPr/>
        <w:t>系統模組功能</w:t>
      </w:r>
      <w:bookmarkEnd w:id="61"/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1382"/>
        <w:gridCol w:w="2153"/>
        <w:gridCol w:w="2664"/>
        <w:gridCol w:w="3439"/>
      </w:tblGrid>
      <w:tr>
        <w:trPr>
          <w:tblHeader w:val="true"/>
        </w:trPr>
        <w:tc>
          <w:tcPr>
            <w:tcW w:w="138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模組</w:t>
            </w:r>
          </w:p>
        </w:tc>
        <w:tc>
          <w:tcPr>
            <w:tcW w:w="215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專案</w:t>
            </w:r>
          </w:p>
        </w:tc>
        <w:tc>
          <w:tcPr>
            <w:tcW w:w="266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主要職責</w:t>
            </w:r>
          </w:p>
        </w:tc>
        <w:tc>
          <w:tcPr>
            <w:tcW w:w="3439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代表性入口</w:t>
            </w:r>
          </w:p>
        </w:tc>
      </w:tr>
      <w:tr>
        <w:trPr>
          <w:cantSplit/>
        </w:trPr>
        <w:tc>
          <w:tcPr>
            <w:tcW w:w="138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身分驗證與工作階段</w:t>
            </w:r>
          </w:p>
        </w:tc>
        <w:tc>
          <w:tcPr>
            <w:tcW w:w="215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AuthTokenBucket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Identity</w:t>
            </w:r>
          </w:p>
        </w:tc>
        <w:tc>
          <w:tcPr>
            <w:tcW w:w="266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登入／登出／換票、裝置工作階段、</w:t>
            </w:r>
            <w:r>
              <w:rPr>
                <w:rFonts w:eastAsia="微軟正黑體"/>
                <w:sz w:val="19"/>
                <w:szCs w:val="19"/>
              </w:rPr>
              <w:t>SSO</w:t>
            </w:r>
            <w:r>
              <w:rPr>
                <w:rFonts w:eastAsia="微軟正黑體"/>
                <w:sz w:val="19"/>
                <w:szCs w:val="19"/>
              </w:rPr>
              <w:t>、即時撤銷</w:t>
            </w:r>
          </w:p>
        </w:tc>
        <w:tc>
          <w:tcPr>
            <w:tcW w:w="3439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AuthController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AdSsoController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WindowsAuthController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SessionHub</w:t>
            </w:r>
          </w:p>
        </w:tc>
      </w:tr>
      <w:tr>
        <w:trPr>
          <w:cantSplit/>
        </w:trPr>
        <w:tc>
          <w:tcPr>
            <w:tcW w:w="138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授權與權限管理</w:t>
            </w:r>
          </w:p>
        </w:tc>
        <w:tc>
          <w:tcPr>
            <w:tcW w:w="215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AuthTokenBucket</w:t>
            </w:r>
          </w:p>
        </w:tc>
        <w:tc>
          <w:tcPr>
            <w:tcW w:w="266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權限註冊表、使用者／角色／實驗室權限、功能開放範圍、選單</w:t>
            </w:r>
          </w:p>
        </w:tc>
        <w:tc>
          <w:tcPr>
            <w:tcW w:w="3439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PermissionController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FunctionManagementController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LabFunctionScopeController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MenuItemController</w:t>
            </w:r>
          </w:p>
        </w:tc>
      </w:tr>
      <w:tr>
        <w:trPr>
          <w:cantSplit/>
        </w:trPr>
        <w:tc>
          <w:tcPr>
            <w:tcW w:w="138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角色管理</w:t>
            </w:r>
          </w:p>
        </w:tc>
        <w:tc>
          <w:tcPr>
            <w:tcW w:w="215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AuthTokenBucket</w:t>
            </w:r>
          </w:p>
        </w:tc>
        <w:tc>
          <w:tcPr>
            <w:tcW w:w="266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角色 </w:t>
            </w:r>
            <w:r>
              <w:rPr>
                <w:rFonts w:eastAsia="微軟正黑體"/>
                <w:sz w:val="19"/>
                <w:szCs w:val="19"/>
              </w:rPr>
              <w:t>CRUD</w:t>
            </w:r>
            <w:r>
              <w:rPr>
                <w:rFonts w:eastAsia="微軟正黑體"/>
                <w:sz w:val="19"/>
                <w:szCs w:val="19"/>
              </w:rPr>
              <w:t>、變更審核（</w:t>
            </w:r>
            <w:r>
              <w:rPr>
                <w:rFonts w:eastAsia="微軟正黑體"/>
                <w:sz w:val="19"/>
                <w:szCs w:val="19"/>
              </w:rPr>
              <w:t>Maker-Checker</w:t>
            </w:r>
            <w:r>
              <w:rPr>
                <w:rFonts w:eastAsia="微軟正黑體"/>
                <w:sz w:val="19"/>
                <w:szCs w:val="19"/>
              </w:rPr>
              <w:t>）、</w:t>
            </w:r>
            <w:r>
              <w:rPr>
                <w:rFonts w:eastAsia="微軟正黑體"/>
                <w:sz w:val="19"/>
                <w:szCs w:val="19"/>
              </w:rPr>
              <w:t>SoD</w:t>
            </w:r>
            <w:r>
              <w:rPr>
                <w:rFonts w:eastAsia="微軟正黑體"/>
                <w:sz w:val="19"/>
                <w:szCs w:val="19"/>
              </w:rPr>
              <w:t>、到期、存取覆核</w:t>
            </w:r>
          </w:p>
        </w:tc>
        <w:tc>
          <w:tcPr>
            <w:tcW w:w="3439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RoleManagementController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RoleGovernanceController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AccessReviewController</w:t>
            </w:r>
          </w:p>
        </w:tc>
      </w:tr>
      <w:tr>
        <w:trPr>
          <w:cantSplit/>
        </w:trPr>
        <w:tc>
          <w:tcPr>
            <w:tcW w:w="138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使用者與實驗室</w:t>
            </w:r>
          </w:p>
        </w:tc>
        <w:tc>
          <w:tcPr>
            <w:tcW w:w="215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AuthTokenBucket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Modules/ORG</w:t>
            </w:r>
          </w:p>
        </w:tc>
        <w:tc>
          <w:tcPr>
            <w:tcW w:w="266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使用者管理、使用者實驗室對應、實驗室目錄</w:t>
            </w:r>
          </w:p>
        </w:tc>
        <w:tc>
          <w:tcPr>
            <w:tcW w:w="3439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UserManagementController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UserLabMappingController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LaboratoryController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LabDirectoryController</w:t>
            </w:r>
          </w:p>
        </w:tc>
      </w:tr>
      <w:tr>
        <w:trPr>
          <w:cantSplit/>
        </w:trPr>
        <w:tc>
          <w:tcPr>
            <w:tcW w:w="138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後端模組管理</w:t>
            </w:r>
          </w:p>
        </w:tc>
        <w:tc>
          <w:tcPr>
            <w:tcW w:w="215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ModulePlugin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SPAModulePlugin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CodeSecurity</w:t>
            </w:r>
          </w:p>
        </w:tc>
        <w:tc>
          <w:tcPr>
            <w:tcW w:w="266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外掛載入／簽章驗證、</w:t>
            </w:r>
            <w:r>
              <w:rPr>
                <w:rFonts w:eastAsia="微軟正黑體"/>
                <w:sz w:val="19"/>
                <w:szCs w:val="19"/>
              </w:rPr>
              <w:t xml:space="preserve">Controller </w:t>
            </w:r>
            <w:r>
              <w:rPr>
                <w:rFonts w:eastAsia="微軟正黑體"/>
                <w:sz w:val="19"/>
                <w:szCs w:val="19"/>
              </w:rPr>
              <w:t>元資料同步、模組啟停</w:t>
            </w:r>
          </w:p>
        </w:tc>
        <w:tc>
          <w:tcPr>
            <w:tcW w:w="3439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ModuleManagementController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SPAModuleController</w:t>
            </w:r>
          </w:p>
        </w:tc>
      </w:tr>
      <w:tr>
        <w:trPr>
          <w:cantSplit/>
        </w:trPr>
        <w:tc>
          <w:tcPr>
            <w:tcW w:w="138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稽核與日誌</w:t>
            </w:r>
          </w:p>
        </w:tc>
        <w:tc>
          <w:tcPr>
            <w:tcW w:w="215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AuditLog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SystemLog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VerifyLedger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Alert</w:t>
            </w:r>
          </w:p>
        </w:tc>
        <w:tc>
          <w:tcPr>
            <w:tcW w:w="266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稽核攔截、批次寫入、雜湊鏈、</w:t>
            </w:r>
            <w:r>
              <w:rPr>
                <w:rFonts w:eastAsia="微軟正黑體"/>
                <w:sz w:val="19"/>
                <w:szCs w:val="19"/>
              </w:rPr>
              <w:t xml:space="preserve">Ledger </w:t>
            </w:r>
            <w:r>
              <w:rPr>
                <w:rFonts w:eastAsia="微軟正黑體"/>
                <w:sz w:val="19"/>
                <w:szCs w:val="19"/>
              </w:rPr>
              <w:t>驗證、日誌查詢與告警</w:t>
            </w:r>
          </w:p>
        </w:tc>
        <w:tc>
          <w:tcPr>
            <w:tcW w:w="3439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LogManagementController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LedgerVerificationController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TelemetryController</w:t>
            </w:r>
          </w:p>
        </w:tc>
      </w:tr>
      <w:tr>
        <w:trPr>
          <w:cantSplit/>
        </w:trPr>
        <w:tc>
          <w:tcPr>
            <w:tcW w:w="138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資料保護</w:t>
            </w:r>
          </w:p>
        </w:tc>
        <w:tc>
          <w:tcPr>
            <w:tcW w:w="215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DataProtection</w:t>
            </w:r>
          </w:p>
        </w:tc>
        <w:tc>
          <w:tcPr>
            <w:tcW w:w="266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欄位加密、金鑰輪替、個資遮蔽</w:t>
            </w:r>
          </w:p>
        </w:tc>
        <w:tc>
          <w:tcPr>
            <w:tcW w:w="3439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DataProtectionController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IdentitySecurityController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62" w:name="__RefHeading___Toc3332_1895412299"/>
      <w:bookmarkStart w:id="63" w:name="_Toc243493475"/>
      <w:bookmarkEnd w:id="62"/>
      <w:r>
        <w:rPr/>
        <w:t xml:space="preserve">4.2 </w:t>
      </w:r>
      <w:r>
        <w:rPr/>
        <w:t>系統類別細部</w:t>
      </w:r>
      <w:bookmarkEnd w:id="63"/>
    </w:p>
    <w:p>
      <w:pPr>
        <w:pStyle w:val="Heading3"/>
        <w:rPr/>
      </w:pPr>
      <w:bookmarkStart w:id="64" w:name="__RefHeading___Toc3334_1895412299"/>
      <w:bookmarkStart w:id="65" w:name="_Toc243493476"/>
      <w:bookmarkEnd w:id="64"/>
      <w:r>
        <w:rPr/>
        <w:t xml:space="preserve">4.2.1 </w:t>
      </w:r>
      <w:r>
        <w:rPr/>
        <w:t>後端核心類別</w:t>
      </w:r>
      <w:bookmarkEnd w:id="65"/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3434"/>
        <w:gridCol w:w="1800"/>
        <w:gridCol w:w="4404"/>
      </w:tblGrid>
      <w:tr>
        <w:trPr>
          <w:tblHeader w:val="true"/>
        </w:trPr>
        <w:tc>
          <w:tcPr>
            <w:tcW w:w="343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類別</w:t>
            </w:r>
          </w:p>
        </w:tc>
        <w:tc>
          <w:tcPr>
            <w:tcW w:w="1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所在專案</w:t>
            </w:r>
          </w:p>
        </w:tc>
        <w:tc>
          <w:tcPr>
            <w:tcW w:w="440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責任</w:t>
            </w:r>
          </w:p>
        </w:tc>
      </w:tr>
      <w:tr>
        <w:trPr>
          <w:cantSplit/>
        </w:trPr>
        <w:tc>
          <w:tcPr>
            <w:tcW w:w="343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AuthController</w:t>
            </w:r>
          </w:p>
        </w:tc>
        <w:tc>
          <w:tcPr>
            <w:tcW w:w="1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AuthTokenBucket</w:t>
            </w:r>
          </w:p>
        </w:tc>
        <w:tc>
          <w:tcPr>
            <w:tcW w:w="440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登入、換票、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switch-context</w:t>
            </w:r>
            <w:r>
              <w:rPr>
                <w:rFonts w:eastAsia="微軟正黑體"/>
                <w:sz w:val="19"/>
                <w:szCs w:val="19"/>
              </w:rPr>
              <w:t>（切換實驗室）、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my-labs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sessions</w:t>
            </w:r>
            <w:r>
              <w:rPr>
                <w:rFonts w:eastAsia="微軟正黑體"/>
                <w:sz w:val="19"/>
                <w:szCs w:val="19"/>
              </w:rPr>
              <w:t>；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ResolveUserIdFromContextOrHeader</w:t>
            </w:r>
            <w:r>
              <w:rPr>
                <w:rFonts w:eastAsia="微軟正黑體"/>
                <w:sz w:val="19"/>
                <w:szCs w:val="19"/>
              </w:rPr>
              <w:t xml:space="preserve"> </w:t>
            </w:r>
            <w:r>
              <w:rPr>
                <w:rFonts w:eastAsia="微軟正黑體"/>
                <w:sz w:val="19"/>
                <w:szCs w:val="19"/>
              </w:rPr>
              <w:t xml:space="preserve">先取已驗證身分，必要時由過期 </w:t>
            </w:r>
            <w:r>
              <w:rPr>
                <w:rFonts w:eastAsia="微軟正黑體"/>
                <w:sz w:val="19"/>
                <w:szCs w:val="19"/>
              </w:rPr>
              <w:t xml:space="preserve">Token </w:t>
            </w:r>
            <w:r>
              <w:rPr>
                <w:rFonts w:eastAsia="微軟正黑體"/>
                <w:sz w:val="19"/>
                <w:szCs w:val="19"/>
              </w:rPr>
              <w:t>解析使用者</w:t>
            </w:r>
          </w:p>
        </w:tc>
      </w:tr>
      <w:tr>
        <w:trPr>
          <w:cantSplit/>
        </w:trPr>
        <w:tc>
          <w:tcPr>
            <w:tcW w:w="343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SessionHub</w:t>
            </w:r>
          </w:p>
        </w:tc>
        <w:tc>
          <w:tcPr>
            <w:tcW w:w="1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AuthTokenBucket</w:t>
            </w:r>
          </w:p>
        </w:tc>
        <w:tc>
          <w:tcPr>
            <w:tcW w:w="440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連線時依使用者與 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device_id</w:t>
            </w:r>
            <w:r>
              <w:rPr>
                <w:rFonts w:eastAsia="微軟正黑體"/>
                <w:sz w:val="19"/>
                <w:szCs w:val="19"/>
              </w:rPr>
              <w:t xml:space="preserve"> </w:t>
            </w:r>
            <w:r>
              <w:rPr>
                <w:rFonts w:eastAsia="微軟正黑體"/>
                <w:sz w:val="19"/>
                <w:szCs w:val="19"/>
              </w:rPr>
              <w:t xml:space="preserve">加入群組；撤銷時推播 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SessionRevoked</w:t>
            </w:r>
            <w:r>
              <w:rPr>
                <w:rFonts w:eastAsia="微軟正黑體"/>
                <w:sz w:val="19"/>
                <w:szCs w:val="19"/>
              </w:rPr>
              <w:t xml:space="preserve">；權限異動推播 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PermissionsChanged</w:t>
            </w:r>
          </w:p>
        </w:tc>
      </w:tr>
      <w:tr>
        <w:trPr>
          <w:cantSplit/>
        </w:trPr>
        <w:tc>
          <w:tcPr>
            <w:tcW w:w="343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RoleEffectivePermissionProvider</w:t>
            </w:r>
          </w:p>
        </w:tc>
        <w:tc>
          <w:tcPr>
            <w:tcW w:w="1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AuthTokenBucket</w:t>
            </w:r>
          </w:p>
        </w:tc>
        <w:tc>
          <w:tcPr>
            <w:tcW w:w="440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計算使用者經由角色取得的有效權限（見 </w:t>
            </w:r>
            <w:r>
              <w:rPr>
                <w:rFonts w:eastAsia="微軟正黑體"/>
                <w:sz w:val="19"/>
                <w:szCs w:val="19"/>
              </w:rPr>
              <w:t>4.4</w:t>
            </w:r>
            <w:r>
              <w:rPr>
                <w:rFonts w:eastAsia="微軟正黑體"/>
                <w:sz w:val="19"/>
                <w:szCs w:val="19"/>
              </w:rPr>
              <w:t>）</w:t>
            </w:r>
          </w:p>
        </w:tc>
      </w:tr>
      <w:tr>
        <w:trPr>
          <w:cantSplit/>
        </w:trPr>
        <w:tc>
          <w:tcPr>
            <w:tcW w:w="343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UserRuntimeScopeService</w:t>
            </w:r>
          </w:p>
        </w:tc>
        <w:tc>
          <w:tcPr>
            <w:tcW w:w="1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AuthTokenBucket</w:t>
            </w:r>
          </w:p>
        </w:tc>
        <w:tc>
          <w:tcPr>
            <w:tcW w:w="440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執行期權限範圍：直接權限 ∪ 角色權限，結果以 </w:t>
            </w:r>
            <w:r>
              <w:rPr>
                <w:rFonts w:eastAsia="微軟正黑體"/>
                <w:sz w:val="19"/>
                <w:szCs w:val="19"/>
              </w:rPr>
              <w:t xml:space="preserve">FusionCache </w:t>
            </w:r>
            <w:r>
              <w:rPr>
                <w:rFonts w:eastAsia="微軟正黑體"/>
                <w:sz w:val="19"/>
                <w:szCs w:val="19"/>
              </w:rPr>
              <w:t>快取並以使用者標籤失效</w:t>
            </w:r>
          </w:p>
        </w:tc>
      </w:tr>
      <w:tr>
        <w:trPr>
          <w:cantSplit/>
        </w:trPr>
        <w:tc>
          <w:tcPr>
            <w:tcW w:w="343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PermissionManagementService</w:t>
            </w:r>
          </w:p>
        </w:tc>
        <w:tc>
          <w:tcPr>
            <w:tcW w:w="1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AuthTokenBucket</w:t>
            </w:r>
          </w:p>
        </w:tc>
        <w:tc>
          <w:tcPr>
            <w:tcW w:w="440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角色／使用者權限維護、權限稽核總覽（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GetUserAuditPermissionsAsync</w:t>
            </w:r>
            <w:r>
              <w:rPr>
                <w:rFonts w:eastAsia="微軟正黑體"/>
                <w:sz w:val="19"/>
                <w:szCs w:val="19"/>
              </w:rPr>
              <w:t>）、快取失效與異動通知</w:t>
            </w:r>
          </w:p>
        </w:tc>
      </w:tr>
      <w:tr>
        <w:trPr>
          <w:cantSplit/>
        </w:trPr>
        <w:tc>
          <w:tcPr>
            <w:tcW w:w="343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AuditWorker</w:t>
            </w:r>
            <w:r>
              <w:rPr>
                <w:rFonts w:eastAsia="微軟正黑體"/>
                <w:sz w:val="19"/>
                <w:szCs w:val="19"/>
              </w:rPr>
              <w:t>／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SqlBulkAuditStorageStrategy</w:t>
            </w:r>
          </w:p>
        </w:tc>
        <w:tc>
          <w:tcPr>
            <w:tcW w:w="1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AuditLog</w:t>
            </w:r>
          </w:p>
        </w:tc>
        <w:tc>
          <w:tcPr>
            <w:tcW w:w="440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自 </w:t>
            </w:r>
            <w:r>
              <w:rPr>
                <w:sz w:val="19"/>
                <w:szCs w:val="19"/>
              </w:rPr>
              <w:t xml:space="preserve">AuditChannel </w:t>
            </w:r>
            <w:r>
              <w:rPr>
                <w:sz w:val="19"/>
                <w:szCs w:val="19"/>
              </w:rPr>
              <w:t xml:space="preserve">取出稽核紀錄、串接 </w:t>
            </w:r>
            <w:r>
              <w:rPr>
                <w:sz w:val="19"/>
                <w:szCs w:val="19"/>
              </w:rPr>
              <w:t>PreviousHash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 xml:space="preserve">SHA-256 </w:t>
            </w:r>
            <w:r>
              <w:rPr>
                <w:sz w:val="19"/>
                <w:szCs w:val="19"/>
              </w:rPr>
              <w:t>計算並</w:t>
            </w:r>
            <w:bookmarkStart w:id="66" w:name="docs-internal-guid-a44a223c-7fff-1149-9c"/>
            <w:bookmarkEnd w:id="66"/>
            <w:r>
              <w:rPr>
                <w:sz w:val="19"/>
                <w:szCs w:val="19"/>
              </w:rPr>
              <w:t xml:space="preserve">採用微軟原生 </w:t>
            </w:r>
            <w:r>
              <w:rPr>
                <w:sz w:val="19"/>
                <w:szCs w:val="19"/>
              </w:rPr>
              <w:t xml:space="preserve">Microsoft.Data.SqlClient.SqlBulkCopy </w:t>
            </w:r>
            <w:r>
              <w:rPr>
                <w:sz w:val="19"/>
                <w:szCs w:val="19"/>
              </w:rPr>
              <w:t xml:space="preserve">進行內建交易封裝之大量批次非同步寫入 </w:t>
            </w:r>
          </w:p>
        </w:tc>
      </w:tr>
      <w:tr>
        <w:trPr>
          <w:cantSplit/>
        </w:trPr>
        <w:tc>
          <w:tcPr>
            <w:tcW w:w="343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MssqlLedgerVerificationService</w:t>
            </w:r>
          </w:p>
        </w:tc>
        <w:tc>
          <w:tcPr>
            <w:tcW w:w="1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VerifyLedger</w:t>
            </w:r>
          </w:p>
        </w:tc>
        <w:tc>
          <w:tcPr>
            <w:tcW w:w="440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呼叫 </w:t>
            </w:r>
            <w:r>
              <w:rPr>
                <w:rFonts w:eastAsia="微軟正黑體"/>
                <w:sz w:val="19"/>
                <w:szCs w:val="19"/>
              </w:rPr>
              <w:t xml:space="preserve">SQL Server Ledger </w:t>
            </w:r>
            <w:r>
              <w:rPr>
                <w:rFonts w:eastAsia="微軟正黑體"/>
                <w:sz w:val="19"/>
                <w:szCs w:val="19"/>
              </w:rPr>
              <w:t>驗證並產出報告</w:t>
            </w:r>
          </w:p>
        </w:tc>
      </w:tr>
      <w:tr>
        <w:trPr>
          <w:cantSplit/>
        </w:trPr>
        <w:tc>
          <w:tcPr>
            <w:tcW w:w="343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ModuleAssemblyLoadContext</w:t>
            </w:r>
            <w:r>
              <w:rPr>
                <w:rFonts w:eastAsia="微軟正黑體"/>
                <w:sz w:val="19"/>
                <w:szCs w:val="19"/>
              </w:rPr>
              <w:t>／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ModuleAssemblyContainer</w:t>
            </w:r>
          </w:p>
        </w:tc>
        <w:tc>
          <w:tcPr>
            <w:tcW w:w="18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ModulePlugin</w:t>
            </w:r>
          </w:p>
        </w:tc>
        <w:tc>
          <w:tcPr>
            <w:tcW w:w="440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以獨立 </w:t>
            </w:r>
            <w:r>
              <w:rPr>
                <w:rFonts w:eastAsia="微軟正黑體"/>
                <w:sz w:val="19"/>
                <w:szCs w:val="19"/>
              </w:rPr>
              <w:t xml:space="preserve">ALC </w:t>
            </w:r>
            <w:r>
              <w:rPr>
                <w:rFonts w:eastAsia="微軟正黑體"/>
                <w:sz w:val="19"/>
                <w:szCs w:val="19"/>
              </w:rPr>
              <w:t>載入外掛及其相依組件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3"/>
        <w:rPr/>
      </w:pPr>
      <w:bookmarkStart w:id="67" w:name="__RefHeading___Toc3336_1895412299"/>
      <w:bookmarkStart w:id="68" w:name="_Toc243493477"/>
      <w:bookmarkEnd w:id="67"/>
      <w:r>
        <w:rPr>
          <w:rFonts w:eastAsia="微軟正黑體"/>
        </w:rPr>
        <w:t xml:space="preserve">4.2.2 </w:t>
      </w:r>
      <w:r>
        <w:rPr/>
        <w:t xml:space="preserve">前端 </w:t>
      </w:r>
      <w:r>
        <w:rPr>
          <w:rFonts w:eastAsia="微軟正黑體"/>
        </w:rPr>
        <w:t xml:space="preserve">Vue 3 (JavaScript) </w:t>
      </w:r>
      <w:r>
        <w:rPr/>
        <w:t>核心類別</w:t>
      </w:r>
      <w:bookmarkEnd w:id="68"/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3012"/>
        <w:gridCol w:w="2525"/>
        <w:gridCol w:w="4101"/>
      </w:tblGrid>
      <w:tr>
        <w:trPr>
          <w:tblHeader w:val="true"/>
        </w:trPr>
        <w:tc>
          <w:tcPr>
            <w:tcW w:w="301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類別</w:t>
            </w:r>
          </w:p>
        </w:tc>
        <w:tc>
          <w:tcPr>
            <w:tcW w:w="2525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所在專案</w:t>
            </w:r>
          </w:p>
        </w:tc>
        <w:tc>
          <w:tcPr>
            <w:tcW w:w="4101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責任</w:t>
            </w:r>
          </w:p>
        </w:tc>
      </w:tr>
      <w:tr>
        <w:trPr>
          <w:cantSplit/>
        </w:trPr>
        <w:tc>
          <w:tcPr>
            <w:tcW w:w="301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ApiClient</w:t>
            </w:r>
            <w:r>
              <w:rPr>
                <w:rFonts w:eastAsia="微軟正黑體"/>
                <w:sz w:val="19"/>
                <w:szCs w:val="19"/>
              </w:rPr>
              <w:t>（</w:t>
            </w:r>
            <w:r>
              <w:rPr>
                <w:rFonts w:eastAsia="微軟正黑體"/>
                <w:sz w:val="19"/>
                <w:szCs w:val="19"/>
              </w:rPr>
              <w:t xml:space="preserve">Axios </w:t>
            </w:r>
            <w:r>
              <w:rPr>
                <w:rFonts w:eastAsia="微軟正黑體"/>
                <w:sz w:val="19"/>
                <w:szCs w:val="19"/>
              </w:rPr>
              <w:t>實例）</w:t>
            </w:r>
          </w:p>
        </w:tc>
        <w:tc>
          <w:tcPr>
            <w:tcW w:w="2525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</w:rPr>
              <w:t>core/api</w:t>
            </w:r>
          </w:p>
        </w:tc>
        <w:tc>
          <w:tcPr>
            <w:tcW w:w="4101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Axios </w:t>
            </w:r>
            <w:r>
              <w:rPr>
                <w:rFonts w:eastAsia="微軟正黑體"/>
                <w:sz w:val="19"/>
                <w:szCs w:val="19"/>
              </w:rPr>
              <w:t xml:space="preserve">實例（逾時 </w:t>
            </w:r>
            <w:r>
              <w:rPr>
                <w:rFonts w:eastAsia="微軟正黑體"/>
                <w:sz w:val="19"/>
                <w:szCs w:val="19"/>
              </w:rPr>
              <w:t xml:space="preserve">30 </w:t>
            </w:r>
            <w:r>
              <w:rPr>
                <w:rFonts w:eastAsia="微軟正黑體"/>
                <w:sz w:val="19"/>
                <w:szCs w:val="19"/>
              </w:rPr>
              <w:t>秒），</w:t>
            </w:r>
            <w:r>
              <w:rPr>
                <w:rFonts w:eastAsia="微軟正黑體"/>
                <w:sz w:val="19"/>
                <w:szCs w:val="19"/>
              </w:rPr>
              <w:t xml:space="preserve">baseURL </w:t>
            </w:r>
            <w:r>
              <w:rPr>
                <w:rFonts w:eastAsia="微軟正黑體"/>
                <w:sz w:val="19"/>
                <w:szCs w:val="19"/>
              </w:rPr>
              <w:t xml:space="preserve">取自 </w:t>
            </w:r>
            <w:r>
              <w:rPr>
                <w:rFonts w:eastAsia="微軟正黑體"/>
                <w:sz w:val="19"/>
                <w:szCs w:val="19"/>
              </w:rPr>
              <w:t>VITE_API_URL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 xml:space="preserve">API </w:t>
            </w:r>
            <w:r>
              <w:rPr>
                <w:rFonts w:eastAsia="微軟正黑體"/>
                <w:sz w:val="19"/>
                <w:szCs w:val="19"/>
              </w:rPr>
              <w:t xml:space="preserve">前綴為 </w:t>
            </w:r>
            <w:r>
              <w:rPr>
                <w:rFonts w:eastAsia="微軟正黑體"/>
                <w:sz w:val="19"/>
                <w:szCs w:val="19"/>
              </w:rPr>
              <w:t>/api/v1</w:t>
            </w:r>
            <w:r>
              <w:rPr>
                <w:rFonts w:eastAsia="微軟正黑體"/>
                <w:sz w:val="19"/>
                <w:szCs w:val="19"/>
              </w:rPr>
              <w:t xml:space="preserve">；掛載請求攔截器（注入標頭）與回應攔截器（權限與 </w:t>
            </w:r>
            <w:r>
              <w:rPr>
                <w:rFonts w:eastAsia="微軟正黑體"/>
                <w:sz w:val="19"/>
                <w:szCs w:val="19"/>
              </w:rPr>
              <w:t xml:space="preserve">401 </w:t>
            </w:r>
            <w:r>
              <w:rPr>
                <w:rFonts w:eastAsia="微軟正黑體"/>
                <w:sz w:val="19"/>
                <w:szCs w:val="19"/>
              </w:rPr>
              <w:t>處理）。</w:t>
            </w:r>
          </w:p>
        </w:tc>
      </w:tr>
      <w:tr>
        <w:trPr>
          <w:cantSplit/>
        </w:trPr>
        <w:tc>
          <w:tcPr>
            <w:tcW w:w="301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請求攔截器</w:t>
            </w:r>
          </w:p>
        </w:tc>
        <w:tc>
          <w:tcPr>
            <w:tcW w:w="2525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</w:rPr>
              <w:t>core/api</w:t>
            </w:r>
          </w:p>
        </w:tc>
        <w:tc>
          <w:tcPr>
            <w:tcW w:w="4101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自動注入 </w:t>
            </w:r>
            <w:r>
              <w:rPr>
                <w:rFonts w:eastAsia="微軟正黑體"/>
                <w:sz w:val="19"/>
                <w:szCs w:val="19"/>
              </w:rPr>
              <w:t>Authorization</w:t>
            </w:r>
            <w:r>
              <w:rPr>
                <w:rFonts w:eastAsia="微軟正黑體"/>
                <w:sz w:val="19"/>
                <w:szCs w:val="19"/>
              </w:rPr>
              <w:t>（</w:t>
            </w:r>
            <w:r>
              <w:rPr>
                <w:rFonts w:eastAsia="微軟正黑體"/>
                <w:sz w:val="19"/>
                <w:szCs w:val="19"/>
              </w:rPr>
              <w:t>Bearer</w:t>
            </w:r>
            <w:r>
              <w:rPr>
                <w:rFonts w:eastAsia="微軟正黑體"/>
                <w:sz w:val="19"/>
                <w:szCs w:val="19"/>
              </w:rPr>
              <w:t>）、</w:t>
            </w:r>
            <w:r>
              <w:rPr>
                <w:rFonts w:eastAsia="微軟正黑體"/>
                <w:sz w:val="19"/>
                <w:szCs w:val="19"/>
              </w:rPr>
              <w:t>X-Current-Route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X-Device-Id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微軟正黑體"/>
                <w:sz w:val="19"/>
                <w:szCs w:val="19"/>
              </w:rPr>
              <w:t>X-User-Timezone</w:t>
            </w:r>
            <w:r>
              <w:rPr>
                <w:rFonts w:eastAsia="微軟正黑體"/>
                <w:sz w:val="19"/>
                <w:szCs w:val="19"/>
              </w:rPr>
              <w:t xml:space="preserve">；登入端點以外另帶以 </w:t>
            </w:r>
            <w:r>
              <w:rPr>
                <w:rFonts w:eastAsia="微軟正黑體"/>
                <w:sz w:val="19"/>
                <w:szCs w:val="19"/>
              </w:rPr>
              <w:t xml:space="preserve">AES </w:t>
            </w:r>
            <w:r>
              <w:rPr>
                <w:rFonts w:eastAsia="微軟正黑體"/>
                <w:sz w:val="19"/>
                <w:szCs w:val="19"/>
              </w:rPr>
              <w:t xml:space="preserve">加密之一次性票證 </w:t>
            </w:r>
            <w:r>
              <w:rPr>
                <w:rFonts w:eastAsia="微軟正黑體"/>
                <w:sz w:val="19"/>
                <w:szCs w:val="19"/>
              </w:rPr>
              <w:t>X-Once-Token</w:t>
            </w:r>
            <w:r>
              <w:rPr>
                <w:rFonts w:eastAsia="微軟正黑體"/>
                <w:sz w:val="19"/>
                <w:szCs w:val="19"/>
              </w:rPr>
              <w:t xml:space="preserve">（含路由、帳號、時間戳與 </w:t>
            </w:r>
            <w:r>
              <w:rPr>
                <w:rFonts w:eastAsia="微軟正黑體"/>
                <w:sz w:val="19"/>
                <w:szCs w:val="19"/>
              </w:rPr>
              <w:t>nonce</w:t>
            </w:r>
            <w:r>
              <w:rPr>
                <w:rFonts w:eastAsia="微軟正黑體"/>
                <w:sz w:val="19"/>
                <w:szCs w:val="19"/>
              </w:rPr>
              <w:t xml:space="preserve">，用於防重放），並於請求附帶 </w:t>
            </w:r>
            <w:r>
              <w:rPr>
                <w:rFonts w:eastAsia="微軟正黑體"/>
                <w:sz w:val="19"/>
                <w:szCs w:val="19"/>
              </w:rPr>
              <w:t>userId</w:t>
            </w:r>
            <w:r>
              <w:rPr>
                <w:rFonts w:eastAsia="微軟正黑體"/>
                <w:sz w:val="19"/>
                <w:szCs w:val="19"/>
              </w:rPr>
              <w:t>。</w:t>
            </w:r>
          </w:p>
        </w:tc>
      </w:tr>
      <w:tr>
        <w:trPr>
          <w:cantSplit/>
        </w:trPr>
        <w:tc>
          <w:tcPr>
            <w:tcW w:w="301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回應攔截器</w:t>
            </w:r>
          </w:p>
        </w:tc>
        <w:tc>
          <w:tcPr>
            <w:tcW w:w="2525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</w:rPr>
              <w:t>core/api</w:t>
            </w:r>
          </w:p>
        </w:tc>
        <w:tc>
          <w:tcPr>
            <w:tcW w:w="4101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收到 </w:t>
            </w:r>
            <w:r>
              <w:rPr>
                <w:rFonts w:eastAsia="微軟正黑體"/>
                <w:sz w:val="19"/>
                <w:szCs w:val="19"/>
              </w:rPr>
              <w:t>401</w:t>
            </w:r>
            <w:r>
              <w:rPr>
                <w:rFonts w:eastAsia="微軟正黑體"/>
                <w:sz w:val="19"/>
                <w:szCs w:val="19"/>
              </w:rPr>
              <w:t xml:space="preserve">（登入與換票端點除外）時呼叫 </w:t>
            </w:r>
            <w:r>
              <w:rPr>
                <w:rFonts w:eastAsia="微軟正黑體"/>
                <w:sz w:val="19"/>
                <w:szCs w:val="19"/>
              </w:rPr>
              <w:t xml:space="preserve">/auth/refresh </w:t>
            </w:r>
            <w:r>
              <w:rPr>
                <w:rFonts w:eastAsia="微軟正黑體"/>
                <w:sz w:val="19"/>
                <w:szCs w:val="19"/>
              </w:rPr>
              <w:t xml:space="preserve">換票並重送，最多重試 </w:t>
            </w:r>
            <w:r>
              <w:rPr>
                <w:rFonts w:eastAsia="微軟正黑體"/>
                <w:sz w:val="19"/>
                <w:szCs w:val="19"/>
              </w:rPr>
              <w:t xml:space="preserve">3 </w:t>
            </w:r>
            <w:r>
              <w:rPr>
                <w:rFonts w:eastAsia="微軟正黑體"/>
                <w:sz w:val="19"/>
                <w:szCs w:val="19"/>
              </w:rPr>
              <w:t>次，失敗則導向登入頁；</w:t>
            </w:r>
            <w:r>
              <w:rPr>
                <w:rFonts w:eastAsia="微軟正黑體"/>
                <w:sz w:val="19"/>
                <w:szCs w:val="19"/>
              </w:rPr>
              <w:t xml:space="preserve">403 </w:t>
            </w:r>
            <w:r>
              <w:rPr>
                <w:rFonts w:eastAsia="微軟正黑體"/>
                <w:sz w:val="19"/>
                <w:szCs w:val="19"/>
              </w:rPr>
              <w:t xml:space="preserve">顯示無權限訊息；依回應之 </w:t>
            </w:r>
            <w:r>
              <w:rPr>
                <w:rFonts w:eastAsia="微軟正黑體"/>
                <w:sz w:val="19"/>
                <w:szCs w:val="19"/>
              </w:rPr>
              <w:t xml:space="preserve">currentPermission </w:t>
            </w:r>
            <w:r>
              <w:rPr>
                <w:rFonts w:eastAsia="微軟正黑體"/>
                <w:sz w:val="19"/>
                <w:szCs w:val="19"/>
              </w:rPr>
              <w:t>更新頁面權限，</w:t>
            </w:r>
            <w:r>
              <w:rPr>
                <w:rFonts w:eastAsia="微軟正黑體"/>
                <w:sz w:val="19"/>
                <w:szCs w:val="19"/>
              </w:rPr>
              <w:t xml:space="preserve">allowRead </w:t>
            </w:r>
            <w:r>
              <w:rPr>
                <w:rFonts w:eastAsia="微軟正黑體"/>
                <w:sz w:val="19"/>
                <w:szCs w:val="19"/>
              </w:rPr>
              <w:t xml:space="preserve">為 </w:t>
            </w:r>
            <w:r>
              <w:rPr>
                <w:rFonts w:eastAsia="微軟正黑體"/>
                <w:sz w:val="19"/>
                <w:szCs w:val="19"/>
              </w:rPr>
              <w:t xml:space="preserve">false </w:t>
            </w:r>
            <w:r>
              <w:rPr>
                <w:rFonts w:eastAsia="微軟正黑體"/>
                <w:sz w:val="19"/>
                <w:szCs w:val="19"/>
              </w:rPr>
              <w:t xml:space="preserve">時導向 </w:t>
            </w:r>
            <w:r>
              <w:rPr>
                <w:rFonts w:eastAsia="微軟正黑體"/>
                <w:sz w:val="19"/>
                <w:szCs w:val="19"/>
              </w:rPr>
              <w:t xml:space="preserve">403 </w:t>
            </w:r>
            <w:r>
              <w:rPr>
                <w:rFonts w:eastAsia="微軟正黑體"/>
                <w:sz w:val="19"/>
                <w:szCs w:val="19"/>
              </w:rPr>
              <w:t>頁。</w:t>
            </w:r>
          </w:p>
        </w:tc>
      </w:tr>
      <w:tr>
        <w:trPr>
          <w:cantSplit/>
        </w:trPr>
        <w:tc>
          <w:tcPr>
            <w:tcW w:w="301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Token </w:t>
            </w:r>
            <w:r>
              <w:rPr>
                <w:rFonts w:eastAsia="微軟正黑體"/>
                <w:sz w:val="19"/>
                <w:szCs w:val="19"/>
              </w:rPr>
              <w:t>與換票管理</w:t>
            </w:r>
          </w:p>
        </w:tc>
        <w:tc>
          <w:tcPr>
            <w:tcW w:w="2525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</w:rPr>
              <w:t>core/auth</w:t>
            </w:r>
          </w:p>
        </w:tc>
        <w:tc>
          <w:tcPr>
            <w:tcW w:w="4101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Token </w:t>
            </w:r>
            <w:r>
              <w:rPr>
                <w:rFonts w:eastAsia="微軟正黑體"/>
                <w:sz w:val="19"/>
                <w:szCs w:val="19"/>
              </w:rPr>
              <w:t>與使用者資訊（</w:t>
            </w:r>
            <w:r>
              <w:rPr>
                <w:rFonts w:eastAsia="微軟正黑體"/>
                <w:sz w:val="19"/>
                <w:szCs w:val="19"/>
              </w:rPr>
              <w:t>userInfo</w:t>
            </w:r>
            <w:r>
              <w:rPr>
                <w:rFonts w:eastAsia="微軟正黑體"/>
                <w:sz w:val="19"/>
                <w:szCs w:val="19"/>
              </w:rPr>
              <w:t xml:space="preserve">）存於 </w:t>
            </w:r>
            <w:r>
              <w:rPr>
                <w:rFonts w:eastAsia="微軟正黑體"/>
                <w:sz w:val="19"/>
                <w:szCs w:val="19"/>
              </w:rPr>
              <w:t>localStorage</w:t>
            </w:r>
            <w:r>
              <w:rPr>
                <w:rFonts w:eastAsia="微軟正黑體"/>
                <w:sz w:val="19"/>
                <w:szCs w:val="19"/>
              </w:rPr>
              <w:t xml:space="preserve">；換票以共用 </w:t>
            </w:r>
            <w:r>
              <w:rPr>
                <w:rFonts w:eastAsia="微軟正黑體"/>
                <w:sz w:val="19"/>
                <w:szCs w:val="19"/>
              </w:rPr>
              <w:t>Promise</w:t>
            </w:r>
            <w:r>
              <w:rPr>
                <w:rFonts w:eastAsia="微軟正黑體"/>
                <w:sz w:val="19"/>
                <w:szCs w:val="19"/>
              </w:rPr>
              <w:t>（</w:t>
            </w:r>
            <w:r>
              <w:rPr>
                <w:rFonts w:eastAsia="微軟正黑體"/>
                <w:sz w:val="19"/>
                <w:szCs w:val="19"/>
              </w:rPr>
              <w:t>single-flight</w:t>
            </w:r>
            <w:r>
              <w:rPr>
                <w:rFonts w:eastAsia="微軟正黑體"/>
                <w:sz w:val="19"/>
                <w:szCs w:val="19"/>
              </w:rPr>
              <w:t xml:space="preserve">）避免併發；依 </w:t>
            </w:r>
            <w:r>
              <w:rPr>
                <w:rFonts w:eastAsia="微軟正黑體"/>
                <w:sz w:val="19"/>
                <w:szCs w:val="19"/>
              </w:rPr>
              <w:t xml:space="preserve">JWT exp </w:t>
            </w:r>
            <w:r>
              <w:rPr>
                <w:rFonts w:eastAsia="微軟正黑體"/>
                <w:sz w:val="19"/>
                <w:szCs w:val="19"/>
              </w:rPr>
              <w:t>排程於到期前自動續約，並維護多帳號清單（</w:t>
            </w:r>
            <w:r>
              <w:rPr>
                <w:rFonts w:eastAsia="微軟正黑體"/>
                <w:sz w:val="19"/>
                <w:szCs w:val="19"/>
              </w:rPr>
              <w:t>accountList</w:t>
            </w:r>
            <w:r>
              <w:rPr>
                <w:rFonts w:eastAsia="微軟正黑體"/>
                <w:sz w:val="19"/>
                <w:szCs w:val="19"/>
              </w:rPr>
              <w:t>）。</w:t>
            </w:r>
          </w:p>
        </w:tc>
      </w:tr>
      <w:tr>
        <w:trPr>
          <w:cantSplit/>
        </w:trPr>
        <w:tc>
          <w:tcPr>
            <w:tcW w:w="301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通知連線（</w:t>
            </w:r>
            <w:r>
              <w:rPr>
                <w:rFonts w:eastAsia="微軟正黑體"/>
                <w:sz w:val="19"/>
                <w:szCs w:val="19"/>
              </w:rPr>
              <w:t>SignalR</w:t>
            </w:r>
            <w:r>
              <w:rPr>
                <w:rFonts w:eastAsia="微軟正黑體"/>
                <w:sz w:val="19"/>
                <w:szCs w:val="19"/>
              </w:rPr>
              <w:t>）</w:t>
            </w:r>
          </w:p>
        </w:tc>
        <w:tc>
          <w:tcPr>
            <w:tcW w:w="2525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</w:rPr>
              <w:t>core/session</w:t>
            </w:r>
          </w:p>
        </w:tc>
        <w:tc>
          <w:tcPr>
            <w:tcW w:w="4101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以 </w:t>
            </w:r>
            <w:r>
              <w:rPr>
                <w:rFonts w:eastAsia="微軟正黑體"/>
                <w:sz w:val="19"/>
                <w:szCs w:val="19"/>
              </w:rPr>
              <w:t xml:space="preserve">@microsoft/signalr </w:t>
            </w:r>
            <w:r>
              <w:rPr>
                <w:rFonts w:eastAsia="微軟正黑體"/>
                <w:sz w:val="19"/>
                <w:szCs w:val="19"/>
              </w:rPr>
              <w:t xml:space="preserve">連線 </w:t>
            </w:r>
            <w:r>
              <w:rPr>
                <w:rFonts w:eastAsia="微軟正黑體"/>
                <w:sz w:val="19"/>
                <w:szCs w:val="19"/>
              </w:rPr>
              <w:t>/hubs/notification</w:t>
            </w:r>
            <w:r>
              <w:rPr>
                <w:rFonts w:eastAsia="微軟正黑體"/>
                <w:sz w:val="19"/>
                <w:szCs w:val="19"/>
              </w:rPr>
              <w:t>（</w:t>
            </w:r>
            <w:r>
              <w:rPr>
                <w:rFonts w:eastAsia="微軟正黑體"/>
                <w:sz w:val="19"/>
                <w:szCs w:val="19"/>
              </w:rPr>
              <w:t xml:space="preserve">accessTokenFactory </w:t>
            </w:r>
            <w:r>
              <w:rPr>
                <w:rFonts w:eastAsia="微軟正黑體"/>
                <w:sz w:val="19"/>
                <w:szCs w:val="19"/>
              </w:rPr>
              <w:t xml:space="preserve">帶入 </w:t>
            </w:r>
            <w:r>
              <w:rPr>
                <w:rFonts w:eastAsia="微軟正黑體"/>
                <w:sz w:val="19"/>
                <w:szCs w:val="19"/>
              </w:rPr>
              <w:t>Token</w:t>
            </w:r>
            <w:r>
              <w:rPr>
                <w:rFonts w:eastAsia="微軟正黑體"/>
                <w:sz w:val="19"/>
                <w:szCs w:val="19"/>
              </w:rPr>
              <w:t>、自動重連）接收通知。</w:t>
            </w:r>
            <w:r>
              <w:rPr>
                <w:rFonts w:eastAsia="微軟正黑體"/>
                <w:sz w:val="19"/>
                <w:szCs w:val="19"/>
              </w:rPr>
              <w:t xml:space="preserve">SessionHub </w:t>
            </w:r>
            <w:r>
              <w:rPr>
                <w:rFonts w:eastAsia="微軟正黑體"/>
                <w:sz w:val="19"/>
                <w:szCs w:val="19"/>
              </w:rPr>
              <w:t>之即時撤銷與權限異動，在現行發佈版前端中未發現對應串接，待確認。</w:t>
            </w:r>
          </w:p>
        </w:tc>
      </w:tr>
      <w:tr>
        <w:trPr>
          <w:cantSplit/>
        </w:trPr>
        <w:tc>
          <w:tcPr>
            <w:tcW w:w="301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</w:rPr>
              <w:t>LabSwitcher.vue</w:t>
            </w:r>
          </w:p>
        </w:tc>
        <w:tc>
          <w:tcPr>
            <w:tcW w:w="2525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</w:rPr>
              <w:t>core/layout</w:t>
            </w:r>
          </w:p>
        </w:tc>
        <w:tc>
          <w:tcPr>
            <w:tcW w:w="4101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載入可切換實驗室（</w:t>
            </w:r>
            <w:r>
              <w:rPr>
                <w:rFonts w:eastAsia="微軟正黑體"/>
                <w:sz w:val="19"/>
                <w:szCs w:val="19"/>
              </w:rPr>
              <w:t>groupedLabs</w:t>
            </w:r>
            <w:r>
              <w:rPr>
                <w:rFonts w:eastAsia="微軟正黑體"/>
                <w:sz w:val="19"/>
                <w:szCs w:val="19"/>
              </w:rPr>
              <w:t>）並整頁重載；</w:t>
            </w:r>
            <w:r>
              <w:rPr>
                <w:rFonts w:eastAsia="微軟正黑體"/>
                <w:sz w:val="19"/>
                <w:szCs w:val="19"/>
              </w:rPr>
              <w:t xml:space="preserve">switch-context </w:t>
            </w:r>
            <w:r>
              <w:rPr>
                <w:rFonts w:eastAsia="微軟正黑體"/>
                <w:sz w:val="19"/>
                <w:szCs w:val="19"/>
              </w:rPr>
              <w:t>呼叫於現行發佈版未確認，待對照原始碼。</w:t>
            </w:r>
          </w:p>
        </w:tc>
      </w:tr>
      <w:tr>
        <w:trPr>
          <w:cantSplit/>
        </w:trPr>
        <w:tc>
          <w:tcPr>
            <w:tcW w:w="301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</w:rPr>
              <w:t>UserAllPermissionsDialog.vue</w:t>
            </w:r>
          </w:p>
        </w:tc>
        <w:tc>
          <w:tcPr>
            <w:tcW w:w="2525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</w:rPr>
              <w:t>features/user-management</w:t>
            </w:r>
          </w:p>
        </w:tc>
        <w:tc>
          <w:tcPr>
            <w:tcW w:w="4101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使用者權限總覽：全域有效／直接／角色權限，以及各實驗室之有效權限樹。現行發佈版對應 </w:t>
            </w:r>
            <w:r>
              <w:rPr>
                <w:rFonts w:eastAsia="微軟正黑體"/>
                <w:sz w:val="19"/>
                <w:szCs w:val="19"/>
              </w:rPr>
              <w:t>UserPermissionView</w:t>
            </w:r>
            <w:r>
              <w:rPr>
                <w:rFonts w:eastAsia="微軟正黑體"/>
                <w:sz w:val="19"/>
                <w:szCs w:val="19"/>
              </w:rPr>
              <w:t>／</w:t>
            </w:r>
            <w:r>
              <w:rPr>
                <w:rFonts w:eastAsia="微軟正黑體"/>
                <w:sz w:val="19"/>
                <w:szCs w:val="19"/>
              </w:rPr>
              <w:t xml:space="preserve">UserPermissionForm </w:t>
            </w:r>
            <w:r>
              <w:rPr>
                <w:rFonts w:eastAsia="微軟正黑體"/>
                <w:sz w:val="19"/>
                <w:szCs w:val="19"/>
              </w:rPr>
              <w:t>等頁面，名稱待對齊。</w:t>
            </w:r>
          </w:p>
        </w:tc>
      </w:tr>
    </w:tbl>
    <w:p>
      <w:pPr>
        <w:pStyle w:val="Normal"/>
        <w:spacing w:lineRule="auto" w:line="300" w:before="120" w:after="100"/>
        <w:rPr/>
      </w:pPr>
      <w:r>
        <w:rPr>
          <w:rFonts w:eastAsia="微軟正黑體"/>
          <w:b/>
          <w:bCs/>
        </w:rPr>
        <w:t xml:space="preserve">前端現況對照（依 </w:t>
      </w:r>
      <w:r>
        <w:rPr>
          <w:rFonts w:eastAsia="微軟正黑體"/>
          <w:b/>
          <w:bCs/>
        </w:rPr>
        <w:t xml:space="preserve">dist </w:t>
      </w:r>
      <w:r>
        <w:rPr>
          <w:rFonts w:eastAsia="微軟正黑體"/>
          <w:b/>
          <w:bCs/>
        </w:rPr>
        <w:t>發佈版）：</w:t>
      </w:r>
      <w:r>
        <w:rPr>
          <w:rFonts w:eastAsia="微軟正黑體"/>
        </w:rPr>
        <w:t xml:space="preserve">路由守衛於每次導覽檢查 </w:t>
      </w:r>
      <w:r>
        <w:rPr>
          <w:rFonts w:eastAsia="微軟正黑體"/>
        </w:rPr>
        <w:t xml:space="preserve">Token </w:t>
      </w:r>
      <w:r>
        <w:rPr>
          <w:rFonts w:eastAsia="微軟正黑體"/>
        </w:rPr>
        <w:t xml:space="preserve">與頁面權限樹，未登入導向登入頁、無權限導向 </w:t>
      </w:r>
      <w:r>
        <w:rPr>
          <w:rFonts w:eastAsia="微軟正黑體"/>
        </w:rPr>
        <w:t>403</w:t>
      </w:r>
      <w:r>
        <w:rPr>
          <w:rFonts w:eastAsia="微軟正黑體"/>
        </w:rPr>
        <w:t xml:space="preserve">；已開啟頁籤以 </w:t>
      </w:r>
      <w:r>
        <w:rPr>
          <w:rFonts w:eastAsia="微軟正黑體"/>
        </w:rPr>
        <w:t xml:space="preserve">Pinia </w:t>
      </w:r>
      <w:r>
        <w:rPr>
          <w:rFonts w:eastAsia="微軟正黑體"/>
        </w:rPr>
        <w:t xml:space="preserve">管理並快取（上限 </w:t>
      </w:r>
      <w:r>
        <w:rPr>
          <w:rFonts w:eastAsia="微軟正黑體"/>
        </w:rPr>
        <w:t xml:space="preserve">8 </w:t>
      </w:r>
      <w:r>
        <w:rPr>
          <w:rFonts w:eastAsia="微軟正黑體"/>
        </w:rPr>
        <w:t xml:space="preserve">個、保留 </w:t>
      </w:r>
      <w:r>
        <w:rPr>
          <w:rFonts w:eastAsia="微軟正黑體"/>
        </w:rPr>
        <w:t xml:space="preserve">10 </w:t>
      </w:r>
      <w:r>
        <w:rPr>
          <w:rFonts w:eastAsia="微軟正黑體"/>
        </w:rPr>
        <w:t xml:space="preserve">分鐘）；外掛 </w:t>
      </w:r>
      <w:r>
        <w:rPr>
          <w:rFonts w:eastAsia="微軟正黑體"/>
        </w:rPr>
        <w:t xml:space="preserve">SPA </w:t>
      </w:r>
      <w:r>
        <w:rPr>
          <w:rFonts w:eastAsia="微軟正黑體"/>
        </w:rPr>
        <w:t xml:space="preserve">模組由 </w:t>
      </w:r>
      <w:r>
        <w:rPr>
          <w:rFonts w:eastAsia="微軟正黑體"/>
        </w:rPr>
        <w:t xml:space="preserve">/routes.config.json </w:t>
      </w:r>
      <w:r>
        <w:rPr>
          <w:rFonts w:eastAsia="微軟正黑體"/>
        </w:rPr>
        <w:t xml:space="preserve">列舉，樣式與資產自 </w:t>
      </w:r>
      <w:r>
        <w:rPr>
          <w:rFonts w:eastAsia="微軟正黑體"/>
        </w:rPr>
        <w:t>/modules/{</w:t>
      </w:r>
      <w:r>
        <w:rPr>
          <w:rFonts w:eastAsia="微軟正黑體"/>
        </w:rPr>
        <w:t>模組名稱</w:t>
      </w:r>
      <w:r>
        <w:rPr>
          <w:rFonts w:eastAsia="微軟正黑體"/>
        </w:rPr>
        <w:t xml:space="preserve">}/ </w:t>
      </w:r>
      <w:r>
        <w:rPr>
          <w:rFonts w:eastAsia="微軟正黑體"/>
        </w:rPr>
        <w:t>載入；</w:t>
      </w:r>
      <w:r>
        <w:rPr>
          <w:rFonts w:eastAsia="微軟正黑體"/>
        </w:rPr>
        <w:t xml:space="preserve">IIS </w:t>
      </w:r>
      <w:r>
        <w:rPr>
          <w:rFonts w:eastAsia="微軟正黑體"/>
        </w:rPr>
        <w:t xml:space="preserve">以 </w:t>
      </w:r>
      <w:r>
        <w:rPr>
          <w:rFonts w:eastAsia="微軟正黑體"/>
        </w:rPr>
        <w:t xml:space="preserve">web.config </w:t>
      </w:r>
      <w:r>
        <w:rPr>
          <w:rFonts w:eastAsia="微軟正黑體"/>
        </w:rPr>
        <w:t xml:space="preserve">之 </w:t>
      </w:r>
      <w:r>
        <w:rPr>
          <w:rFonts w:eastAsia="微軟正黑體"/>
        </w:rPr>
        <w:t xml:space="preserve">URL Rewrite </w:t>
      </w:r>
      <w:r>
        <w:rPr>
          <w:rFonts w:eastAsia="微軟正黑體"/>
        </w:rPr>
        <w:t xml:space="preserve">將非實體檔案路徑導向首頁，支援 </w:t>
      </w:r>
      <w:r>
        <w:rPr>
          <w:rFonts w:eastAsia="微軟正黑體"/>
        </w:rPr>
        <w:t xml:space="preserve">SPA </w:t>
      </w:r>
      <w:r>
        <w:rPr>
          <w:rFonts w:eastAsia="微軟正黑體"/>
        </w:rPr>
        <w:t>路由。</w:t>
      </w:r>
    </w:p>
    <w:p>
      <w:pPr>
        <w:pStyle w:val="Normal"/>
        <w:spacing w:before="0" w:after="80"/>
        <w:rPr/>
      </w:pPr>
      <w:r>
        <w:rPr/>
      </w:r>
    </w:p>
    <w:p>
      <w:pPr>
        <w:pStyle w:val="Heading3"/>
        <w:keepNext/>
      </w:pPr>
      <w:r>
        <w:rPr>
          <w:rFonts w:eastAsia="微軟正黑體"/>
        </w:rPr>
        <w:t xml:space="preserve">4.2.3 前端整合規範：SessionHub 與 Axios 攔截器（TypeScript 虛擬碼）</w:t>
      </w:r>
    </w:p>
    <w:p>
      <w:pPr>
        <w:pStyle w:val="Normal"/>
        <w:keepNext/>
        <w:spacing w:lineRule="auto" w:line="300" w:before="0" w:after="100"/>
      </w:pPr>
      <w:r>
        <w:rPr>
          <w:rFonts w:eastAsia="微軟正黑體"/>
          <w:b/>
          <w:bCs/>
        </w:rPr>
        <w:t xml:space="preserve">範圍與狀態：</w:t>
      </w:r>
      <w:r>
        <w:rPr>
          <w:rFonts w:eastAsia="微軟正黑體"/>
        </w:rPr>
        <w:t xml:space="preserve">本節為前端整合之目標規範。後端 SessionHub 路由為 /hubs/session，事件為 SessionRevoked 與 PermissionsChanged；現行 dist 發佈版僅連線 /hubs/notification，未見 SessionHub 串接，須依本節補齊。前文前端描述為 JavaScript，此處以 TypeScript 表達型別契約，實作得採 JavaScript 搭配 JSDoc，或導入 TypeScript。以下為虛擬碼，省略 import 與輔助函式。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// ===== contracts.ts：與後端對齊之型別契約 =====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export interface UserInfo {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token: string; refreshToken: string; userId: string; userAcc: string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}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export type RevokeReason = 'logout-all' | 'logout' | 'revoked'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// SessionRevoked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export interface SessionRevokedMessage { reason: RevokeReason; revokedAt: string }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// PermissionsChanged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export interface PermissionsChangedMessage { reason: string; changedAt: string }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export const HUB_ROUTE = '/hubs/session'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// ===== auth/session.store.ts（Pinia）：Token 單一來源 + single-flight 換票 =====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export const useSessionStore = defineStore('session', () =&gt; {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// localStorage 鍵名 userInfo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const user = ref&lt;UserInfo | null&gt;(readStorage('userInfo'))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let inflight: Promise&lt;UserInfo | null&gt; | null = null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const accessToken = () =&gt; user.value?.token ?? ''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const save = (u: UserInfo | null) =&gt; { user.value = u; writeStorage('userInfo', u) }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// 並行 401 共用同一個 Promise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function refreshOnce() {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inflight ??= doRefresh().finally(() =&gt; { inflight = null })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return inflight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}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async function doRefresh(): Promise&lt;UserInfo | null&gt; {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if (!user.value?.refreshToken) return null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try {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  // rawHttp：不掛攔截器之 Axios 實例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  const { data } = await rawHttp.post('/auth/refresh',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    { accessToken: user.value.token, refreshToken: user.value.refreshToken })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  save({ ...user.value, token: data.accessToken, refreshToken: data.refreshToken })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  // 依 JWT exp 排程到期前續約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  scheduleRenew(data.accessToken)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  return user.value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} catch { return null }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}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async function logout(redirectFrom?: string) {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save(null); await sessionHub.stop()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router.push({ name: 'login', query: { redirectFrom } })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}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return { user, accessToken, refreshOnce, logout, save }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})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// ===== http/apiClient.ts：Axios 請求／回應攔截器 =====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export const http = axios.create({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baseURL: import.meta.env.VITE_API_URL, timeout: 30_000 })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const MAX_RETRY = 3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const isAuthUrl = (u?: string) =&gt; /\/auth\/(login|refresh)$/i.test(u ?? '')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http.interceptors.request.use(cfg =&gt; {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const s = useSessionStore()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if (s.accessToken()) cfg.headers.Authorization = `Bearer ${s.accessToken()}`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cfg.headers['X-Device-Id']     = getOrCreateDeviceId()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cfg.headers['X-Current-Route'] = router.currentRoute.value.path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cfg.headers['X-User-Timezone'] = formatGmtOffset(new Date())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// 防重放票證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if (!isAuthUrl(cfg.url)) cfg.headers['X-Once-Token'] = buildOnceToken(s.user, cfg)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return cfg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})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http.interceptors.response.use(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// 依 currentPermission 控制頁面權限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res =&gt; { applyCurrentPermission(res); return res },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async (err: AxiosError) =&gt; {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const { response, config } = err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if (!response) return Promise.reject(friendly(err, '目前無法連線至 API'))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if (response.status === 403)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  return Promise.reject(friendly(err, '您沒有權限執行此操作'))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if (response.status === 401 &amp;&amp; config &amp;&amp; !isAuthUrl(config.url)) {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  const s = useSessionStore(), n = config.__retry ?? 0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  // 換票成功 -&gt; 重送原請求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  if (n &lt; MAX_RETRY &amp;&amp; await s.refreshOnce()) {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    config.__retry = n + 1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    return http(config)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  }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  // 換票失敗 -&gt; 登出並導向登入頁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  await s.logout(router.currentRoute.value.fullPath)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}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return Promise.reject(err)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})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// ===== realtime/sessionHub.ts：SignalR SessionHub 整合 =====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class SessionHubClient {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private conn: HubConnection | null = null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private heartbeat?: number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async start() {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if (this.conn) return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const s = useSessionStore()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this.conn = new HubConnectionBuilder()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  // 連線與重連皆取最新 Token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  .withUrl(API_URL + HUB_ROUTE, { accessTokenFactory: () =&gt; s.accessToken() })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  .withAutomaticReconnect([0, 2_000, 5_000, 10_000, 30_000])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  .build()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// 撤銷：立即登出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this.conn.on('SessionRevoked', (_m: SessionRevokedMessage) =&gt; s.logout())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// 權限異動：換票並重載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this.conn.on('PermissionsChanged', async (m: PermissionsChangedMessage) =&gt; {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  if (await s.refreshOnce()) {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    await usePermissionStore().reload(); notifySubscribers(m)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  }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})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// 斷線期間可能漏接事件，重連後補驗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this.conn.onreconnected(() =&gt; this.verifySession())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this.conn.onclose(() =&gt; this.startHeartbeat())        // 連線中斷：啟用心跳備援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await this.conn.start(); this.stopHeartbeat()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}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// GET /auth/session-status：204 有效／401 已撤銷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private startHeartbeat() {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this.heartbeat ??= window.setInterval(() =&gt; this.verifySession(), 60_000)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}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private async verifySession() {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  try { await http.get('/auth/session-status') } catch { /* 網路錯誤：下個週期重試 */ }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}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private stopHeartbeat() { clearInterval(this.heartbeat); this.heartbeat = undefined }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  async stop() { this.stopHeartbeat(); await this.conn?.stop(); this.conn = null }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}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export const sessionHub = new SessionHubClient()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// ===== 生命週期（router guard／App.vue）=====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//  登入成功                  -&gt; session.save(user); sessionHub.start()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//  重新整理頁面且 userInfo 存在 -&gt; sessionHub.start()</w:t>
      </w:r>
    </w:p>
    <w:p>
      <w:pPr>
        <w:pStyle w:val="Normal"/>
        <w:shd w:val="clear" w:color="auto" w:fill="F3F4F6"/>
        <w:spacing w:before="0" w:after="0" w:line="240" w:lineRule="auto"/>
        <w:ind w:start="120" w:end="120"/>
      </w:pPr>
      <w:r>
        <w:rPr>
          <w:rFonts w:eastAsia="Consolas" w:cs="Consolas" w:ascii="Consolas" w:hAnsi="Consolas"/>
          <w:sz w:val="17"/>
          <w:szCs w:val="17"/>
        </w:rPr>
        <w:t xml:space="preserve">//  logout()／收到撤銷         -&gt; sessionHub.stop()</w:t>
      </w:r>
    </w:p>
    <w:p>
      <w:pPr>
        <w:pStyle w:val="Normal"/>
        <w:spacing w:before="0" w:after="80"/>
      </w:pPr>
    </w:p>
    <w:p>
      <w:pPr>
        <w:pStyle w:val="Normal"/>
        <w:keepNext/>
        <w:spacing w:lineRule="auto" w:line="300" w:before="0" w:after="100"/>
      </w:pPr>
      <w:r>
        <w:rPr>
          <w:rFonts w:eastAsia="微軟正黑體"/>
          <w:b/>
          <w:bCs/>
        </w:rPr>
        <w:t xml:space="preserve">整合規範：</w:t>
      </w:r>
    </w:p>
    <w:p>
      <w:pPr>
        <w:pStyle w:val="Normal"/>
        <w:spacing w:lineRule="auto" w:line="300" w:before="0" w:after="100"/>
      </w:pPr>
      <w:r>
        <w:rPr>
          <w:rFonts w:eastAsia="微軟正黑體"/>
          <w:b/>
          <w:bCs/>
        </w:rPr>
        <w:t xml:space="preserve">1. Token 單一來源：</w:t>
      </w:r>
      <w:r>
        <w:rPr>
          <w:rFonts w:eastAsia="微軟正黑體"/>
        </w:rPr>
        <w:t xml:space="preserve">Token 僅由 session store 讀寫（localStorage 鍵名 userInfo）；Axios 與 SignalR 皆自 store 取 Token，不得各自保存副本。</w:t>
      </w:r>
    </w:p>
    <w:p>
      <w:pPr>
        <w:pStyle w:val="Normal"/>
        <w:spacing w:lineRule="auto" w:line="300" w:before="0" w:after="100"/>
      </w:pPr>
      <w:r>
        <w:rPr>
          <w:rFonts w:eastAsia="微軟正黑體"/>
          <w:b/>
          <w:bCs/>
        </w:rPr>
        <w:t xml:space="preserve">2. 單飛換票（single-flight）：</w:t>
      </w:r>
      <w:r>
        <w:rPr>
          <w:rFonts w:eastAsia="微軟正黑體"/>
        </w:rPr>
        <w:t xml:space="preserve">401 與 PermissionsChanged 之換票均須經 refreshOnce，同一時間僅送出一次 /auth/refresh；重送上限 3 次，失敗即登出。</w:t>
      </w:r>
    </w:p>
    <w:p>
      <w:pPr>
        <w:pStyle w:val="Normal"/>
        <w:spacing w:lineRule="auto" w:line="300" w:before="0" w:after="100"/>
      </w:pPr>
      <w:r>
        <w:rPr>
          <w:rFonts w:eastAsia="微軟正黑體"/>
          <w:b/>
          <w:bCs/>
        </w:rPr>
        <w:t xml:space="preserve">3. SignalR 連線：</w:t>
      </w:r>
      <w:r>
        <w:rPr>
          <w:rFonts w:eastAsia="微軟正黑體"/>
        </w:rPr>
        <w:t xml:space="preserve">以 accessTokenFactory 提供 Token（後端由 access_token 查詢參數接收）；事件名稱須與後端常數一致；啟用自動重連（退避 0、2、5、10、30 秒）。</w:t>
      </w:r>
    </w:p>
    <w:p>
      <w:pPr>
        <w:pStyle w:val="Normal"/>
        <w:spacing w:lineRule="auto" w:line="300" w:before="0" w:after="100"/>
      </w:pPr>
      <w:r>
        <w:rPr>
          <w:rFonts w:eastAsia="微軟正黑體"/>
          <w:b/>
          <w:bCs/>
        </w:rPr>
        <w:t xml:space="preserve">4. 事件處理：</w:t>
      </w:r>
      <w:r>
        <w:rPr>
          <w:rFonts w:eastAsia="微軟正黑體"/>
        </w:rPr>
        <w:t xml:space="preserve">SessionRevoked 立即登出並停止連線；PermissionsChanged 須換票並重載選單與權限，再通知訂閱元件。</w:t>
      </w:r>
    </w:p>
    <w:p>
      <w:pPr>
        <w:pStyle w:val="Normal"/>
        <w:spacing w:lineRule="auto" w:line="300" w:before="0" w:after="100"/>
      </w:pPr>
      <w:r>
        <w:rPr>
          <w:rFonts w:eastAsia="微軟正黑體"/>
          <w:b/>
          <w:bCs/>
        </w:rPr>
        <w:t xml:space="preserve">5. 心跳備援與補驗：</w:t>
      </w:r>
      <w:r>
        <w:rPr>
          <w:rFonts w:eastAsia="微軟正黑體"/>
        </w:rPr>
        <w:t xml:space="preserve">連線中斷期間每 60 秒呼叫 /auth/session-status；重連成功後立即補驗，避免漏接撤銷事件。</w:t>
      </w:r>
    </w:p>
    <w:p>
      <w:pPr>
        <w:pStyle w:val="Normal"/>
        <w:spacing w:lineRule="auto" w:line="300" w:before="0" w:after="100"/>
      </w:pPr>
      <w:r>
        <w:rPr>
          <w:rFonts w:eastAsia="微軟正黑體"/>
          <w:b/>
          <w:bCs/>
        </w:rPr>
        <w:t xml:space="preserve">6. 生命週期：</w:t>
      </w:r>
      <w:r>
        <w:rPr>
          <w:rFonts w:eastAsia="微軟正黑體"/>
        </w:rPr>
        <w:t xml:space="preserve">登入成功或頁面重新載入且已有 userInfo 時啟動連線；登出或收到撤銷時停止連線並清除心跳。對應測試案例：TC-AUTHFE-F001、TC-AUTHFE-F002、TC-AUTHFE-N001、TC-RT-F001、TC-RT-F002、TC-RT-N001。</w:t>
      </w:r>
    </w:p>
    <w:p>
      <w:pPr>
        <w:pStyle w:val="Heading2"/>
        <w:rPr/>
      </w:pPr>
      <w:bookmarkStart w:id="69" w:name="__RefHeading___Toc3338_1895412299"/>
      <w:bookmarkStart w:id="70" w:name="_Toc243493478"/>
      <w:bookmarkEnd w:id="69"/>
      <w:r>
        <w:rPr/>
        <w:t xml:space="preserve">4.3 </w:t>
      </w:r>
      <w:r>
        <w:rPr/>
        <w:t>系統類別資料結構</w:t>
      </w:r>
      <w:bookmarkEnd w:id="70"/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3402"/>
        <w:gridCol w:w="4314"/>
        <w:gridCol w:w="1922"/>
      </w:tblGrid>
      <w:tr>
        <w:trPr>
          <w:tblHeader w:val="true"/>
        </w:trPr>
        <w:tc>
          <w:tcPr>
            <w:tcW w:w="340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資料結構</w:t>
            </w:r>
          </w:p>
        </w:tc>
        <w:tc>
          <w:tcPr>
            <w:tcW w:w="431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主要欄位</w:t>
            </w:r>
          </w:p>
        </w:tc>
        <w:tc>
          <w:tcPr>
            <w:tcW w:w="192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說明</w:t>
            </w:r>
          </w:p>
        </w:tc>
      </w:tr>
      <w:tr>
        <w:trPr>
          <w:cantSplit/>
        </w:trPr>
        <w:tc>
          <w:tcPr>
            <w:tcW w:w="340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UserAuditPermissionsResponseDto</w:t>
            </w:r>
          </w:p>
        </w:tc>
        <w:tc>
          <w:tcPr>
            <w:tcW w:w="431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Roles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GlobalDirect/Role/EffectivePermissions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PrimaryLabPermission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SecondaryLabPermissions</w:t>
            </w:r>
          </w:p>
        </w:tc>
        <w:tc>
          <w:tcPr>
            <w:tcW w:w="192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權限稽核總覽回應；前後端 </w:t>
            </w:r>
            <w:r>
              <w:rPr>
                <w:rFonts w:eastAsia="微軟正黑體"/>
                <w:sz w:val="19"/>
                <w:szCs w:val="19"/>
              </w:rPr>
              <w:t xml:space="preserve">DTO </w:t>
            </w:r>
            <w:r>
              <w:rPr>
                <w:rFonts w:eastAsia="微軟正黑體"/>
                <w:sz w:val="19"/>
                <w:szCs w:val="19"/>
              </w:rPr>
              <w:t>需同步維護</w:t>
            </w:r>
          </w:p>
        </w:tc>
      </w:tr>
      <w:tr>
        <w:trPr>
          <w:cantSplit/>
        </w:trPr>
        <w:tc>
          <w:tcPr>
            <w:tcW w:w="340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UserLabPermissionAuditDto</w:t>
            </w:r>
          </w:p>
        </w:tc>
        <w:tc>
          <w:tcPr>
            <w:tcW w:w="431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TenantLabId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LabCode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LabName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IsPrimary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LabDirectPermissions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LabRolePermissions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LabEffectivePermissions</w:t>
            </w:r>
          </w:p>
        </w:tc>
        <w:tc>
          <w:tcPr>
            <w:tcW w:w="192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單一實驗室之權限明細（含實驗室專屬角色權限）</w:t>
            </w:r>
          </w:p>
        </w:tc>
      </w:tr>
      <w:tr>
        <w:trPr>
          <w:cantSplit/>
        </w:trPr>
        <w:tc>
          <w:tcPr>
            <w:tcW w:w="340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PermissionGrant</w:t>
            </w:r>
          </w:p>
        </w:tc>
        <w:tc>
          <w:tcPr>
            <w:tcW w:w="431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LabId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RoleId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PermissionVector</w:t>
            </w:r>
            <w:r>
              <w:rPr>
                <w:rFonts w:eastAsia="微軟正黑體"/>
                <w:sz w:val="19"/>
                <w:szCs w:val="19"/>
              </w:rPr>
              <w:t>（</w:t>
            </w:r>
            <w:r>
              <w:rPr>
                <w:rFonts w:eastAsia="微軟正黑體"/>
                <w:sz w:val="19"/>
                <w:szCs w:val="19"/>
              </w:rPr>
              <w:t>byte[]</w:t>
            </w:r>
            <w:r>
              <w:rPr>
                <w:rFonts w:eastAsia="微軟正黑體"/>
                <w:sz w:val="19"/>
                <w:szCs w:val="19"/>
              </w:rPr>
              <w:t>）</w:t>
            </w:r>
          </w:p>
        </w:tc>
        <w:tc>
          <w:tcPr>
            <w:tcW w:w="192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實驗室層級角色授權；位元位置為權限註冊表全域索引</w:t>
            </w:r>
          </w:p>
        </w:tc>
      </w:tr>
      <w:tr>
        <w:trPr>
          <w:cantSplit/>
        </w:trPr>
        <w:tc>
          <w:tcPr>
            <w:tcW w:w="340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RoleGlobalPermission</w:t>
            </w:r>
          </w:p>
        </w:tc>
        <w:tc>
          <w:tcPr>
            <w:tcW w:w="431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RoleId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PermissionKey</w:t>
            </w:r>
            <w:r>
              <w:rPr>
                <w:rFonts w:eastAsia="微軟正黑體"/>
                <w:sz w:val="19"/>
                <w:szCs w:val="19"/>
              </w:rPr>
              <w:t>（模組鍵）、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Bitmask</w:t>
            </w:r>
          </w:p>
        </w:tc>
        <w:tc>
          <w:tcPr>
            <w:tcW w:w="192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角色全域權限；同模組鍵跨角色以位元 </w:t>
            </w:r>
            <w:r>
              <w:rPr>
                <w:rFonts w:eastAsia="微軟正黑體"/>
                <w:sz w:val="19"/>
                <w:szCs w:val="19"/>
              </w:rPr>
              <w:t xml:space="preserve">OR </w:t>
            </w:r>
            <w:r>
              <w:rPr>
                <w:rFonts w:eastAsia="微軟正黑體"/>
                <w:sz w:val="19"/>
                <w:szCs w:val="19"/>
              </w:rPr>
              <w:t>合併</w:t>
            </w:r>
          </w:p>
        </w:tc>
      </w:tr>
      <w:tr>
        <w:trPr>
          <w:cantSplit/>
        </w:trPr>
        <w:tc>
          <w:tcPr>
            <w:tcW w:w="340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AuditLogEntity</w:t>
            </w:r>
          </w:p>
        </w:tc>
        <w:tc>
          <w:tcPr>
            <w:tcW w:w="431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PreviousHash</w:t>
            </w:r>
            <w:r>
              <w:rPr>
                <w:rFonts w:eastAsia="微軟正黑體"/>
                <w:sz w:val="19"/>
                <w:szCs w:val="19"/>
              </w:rPr>
              <w:t>、目前雜湊、操作者、異動前後值等</w:t>
            </w:r>
          </w:p>
        </w:tc>
        <w:tc>
          <w:tcPr>
            <w:tcW w:w="192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雜湊鏈稽核紀錄；</w:t>
            </w:r>
            <w:r>
              <w:rPr>
                <w:rFonts w:eastAsia="微軟正黑體"/>
                <w:sz w:val="19"/>
                <w:szCs w:val="19"/>
              </w:rPr>
              <w:t>Ledger</w:t>
            </w:r>
            <w:r>
              <w:rPr>
                <w:rFonts w:eastAsia="微軟正黑體"/>
                <w:sz w:val="19"/>
                <w:szCs w:val="19"/>
              </w:rPr>
              <w:t>（</w:t>
            </w:r>
            <w:r>
              <w:rPr>
                <w:rFonts w:eastAsia="微軟正黑體"/>
                <w:sz w:val="19"/>
                <w:szCs w:val="19"/>
              </w:rPr>
              <w:t>APPEND_ONLY</w:t>
            </w:r>
            <w:r>
              <w:rPr>
                <w:rFonts w:eastAsia="微軟正黑體"/>
                <w:sz w:val="19"/>
                <w:szCs w:val="19"/>
              </w:rPr>
              <w:t>）資料表</w:t>
            </w:r>
          </w:p>
        </w:tc>
      </w:tr>
      <w:tr>
        <w:trPr>
          <w:cantSplit/>
        </w:trPr>
        <w:tc>
          <w:tcPr>
            <w:tcW w:w="340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UserRefreshToken</w:t>
            </w:r>
          </w:p>
        </w:tc>
        <w:tc>
          <w:tcPr>
            <w:tcW w:w="431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Refresh Token SHA-256 </w:t>
            </w:r>
            <w:r>
              <w:rPr>
                <w:rFonts w:eastAsia="微軟正黑體"/>
                <w:sz w:val="19"/>
                <w:szCs w:val="19"/>
              </w:rPr>
              <w:t>雜湊、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DeviceId</w:t>
            </w:r>
            <w:r>
              <w:rPr>
                <w:rFonts w:eastAsia="微軟正黑體"/>
                <w:sz w:val="19"/>
                <w:szCs w:val="19"/>
              </w:rPr>
              <w:t>、裝置資訊、時間</w:t>
            </w:r>
          </w:p>
        </w:tc>
        <w:tc>
          <w:tcPr>
            <w:tcW w:w="192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裝置工作階段；以雜湊儲存避免明文外洩</w:t>
            </w:r>
          </w:p>
        </w:tc>
      </w:tr>
      <w:tr>
        <w:trPr>
          <w:cantSplit/>
        </w:trPr>
        <w:tc>
          <w:tcPr>
            <w:tcW w:w="340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RoleChangeRequest</w:t>
            </w:r>
          </w:p>
        </w:tc>
        <w:tc>
          <w:tcPr>
            <w:tcW w:w="431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RoleId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Status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PreviousRoleStatus</w:t>
            </w:r>
          </w:p>
        </w:tc>
        <w:tc>
          <w:tcPr>
            <w:tcW w:w="192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Maker-Checker </w:t>
            </w:r>
            <w:r>
              <w:rPr>
                <w:rFonts w:eastAsia="微軟正黑體"/>
                <w:sz w:val="19"/>
                <w:szCs w:val="19"/>
              </w:rPr>
              <w:t>變更申請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71" w:name="__RefHeading___Toc3340_1895412299"/>
      <w:bookmarkStart w:id="72" w:name="_Toc243493479"/>
      <w:bookmarkEnd w:id="71"/>
      <w:r>
        <w:rPr/>
        <w:t xml:space="preserve">4.4 </w:t>
      </w:r>
      <w:r>
        <w:rPr/>
        <w:t>系統類別成員函數</w:t>
      </w:r>
      <w:bookmarkEnd w:id="72"/>
    </w:p>
    <w:p>
      <w:pPr>
        <w:pStyle w:val="Heading3"/>
        <w:rPr/>
      </w:pPr>
      <w:bookmarkStart w:id="73" w:name="__RefHeading___Toc3342_1895412299"/>
      <w:bookmarkStart w:id="74" w:name="_Toc243493480"/>
      <w:bookmarkEnd w:id="73"/>
      <w:r>
        <w:rPr/>
        <w:t xml:space="preserve">4.4.1 </w:t>
      </w:r>
      <w:r>
        <w:rPr/>
        <w:t>角色有效性規則（</w:t>
      </w:r>
      <w:r>
        <w:rPr/>
        <w:t>`RoleEffectivePermissionProvider.GetEffectiveRoleIdsAsync`</w:t>
      </w:r>
      <w:r>
        <w:rPr/>
        <w:t>）</w:t>
      </w:r>
      <w:bookmarkEnd w:id="74"/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5000"/>
        <w:gridCol w:w="4638"/>
      </w:tblGrid>
      <w:tr>
        <w:trPr>
          <w:tblHeader w:val="true"/>
        </w:trPr>
        <w:tc>
          <w:tcPr>
            <w:tcW w:w="5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角色狀態／條件</w:t>
            </w:r>
          </w:p>
        </w:tc>
        <w:tc>
          <w:tcPr>
            <w:tcW w:w="46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是否授予權限</w:t>
            </w:r>
          </w:p>
        </w:tc>
      </w:tr>
      <w:tr>
        <w:trPr>
          <w:cantSplit/>
        </w:trPr>
        <w:tc>
          <w:tcPr>
            <w:tcW w:w="5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已刪除</w:t>
            </w:r>
          </w:p>
        </w:tc>
        <w:tc>
          <w:tcPr>
            <w:tcW w:w="46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否</w:t>
            </w:r>
          </w:p>
        </w:tc>
      </w:tr>
      <w:tr>
        <w:trPr>
          <w:cantSplit/>
        </w:trPr>
        <w:tc>
          <w:tcPr>
            <w:tcW w:w="5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啟用中（</w:t>
            </w:r>
            <w:r>
              <w:rPr>
                <w:rFonts w:eastAsia="微軟正黑體"/>
                <w:sz w:val="19"/>
                <w:szCs w:val="19"/>
              </w:rPr>
              <w:t>Active</w:t>
            </w:r>
            <w:r>
              <w:rPr>
                <w:rFonts w:eastAsia="微軟正黑體"/>
                <w:sz w:val="19"/>
                <w:szCs w:val="19"/>
              </w:rPr>
              <w:t>）</w:t>
            </w:r>
          </w:p>
        </w:tc>
        <w:tc>
          <w:tcPr>
            <w:tcW w:w="46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是</w:t>
            </w:r>
          </w:p>
        </w:tc>
      </w:tr>
      <w:tr>
        <w:trPr>
          <w:cantSplit/>
        </w:trPr>
        <w:tc>
          <w:tcPr>
            <w:tcW w:w="5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已鎖定（</w:t>
            </w:r>
            <w:r>
              <w:rPr>
                <w:rFonts w:eastAsia="微軟正黑體"/>
                <w:sz w:val="19"/>
                <w:szCs w:val="19"/>
              </w:rPr>
              <w:t>Locked</w:t>
            </w:r>
            <w:r>
              <w:rPr>
                <w:rFonts w:eastAsia="微軟正黑體"/>
                <w:sz w:val="19"/>
                <w:szCs w:val="19"/>
              </w:rPr>
              <w:t>）</w:t>
            </w:r>
          </w:p>
        </w:tc>
        <w:tc>
          <w:tcPr>
            <w:tcW w:w="46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是（既有成員保留；新成員與權限異動於管理端阻擋）</w:t>
            </w:r>
          </w:p>
        </w:tc>
      </w:tr>
      <w:tr>
        <w:trPr>
          <w:cantSplit/>
        </w:trPr>
        <w:tc>
          <w:tcPr>
            <w:tcW w:w="5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已停用（</w:t>
            </w:r>
            <w:r>
              <w:rPr>
                <w:rFonts w:eastAsia="微軟正黑體"/>
                <w:sz w:val="19"/>
                <w:szCs w:val="19"/>
              </w:rPr>
              <w:t>Disabled</w:t>
            </w:r>
            <w:r>
              <w:rPr>
                <w:rFonts w:eastAsia="微軟正黑體"/>
                <w:sz w:val="19"/>
                <w:szCs w:val="19"/>
              </w:rPr>
              <w:t>）</w:t>
            </w:r>
          </w:p>
        </w:tc>
        <w:tc>
          <w:tcPr>
            <w:tcW w:w="46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否</w:t>
            </w:r>
          </w:p>
        </w:tc>
      </w:tr>
      <w:tr>
        <w:trPr>
          <w:cantSplit/>
        </w:trPr>
        <w:tc>
          <w:tcPr>
            <w:tcW w:w="5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待審核（</w:t>
            </w:r>
            <w:r>
              <w:rPr>
                <w:rFonts w:eastAsia="微軟正黑體"/>
                <w:sz w:val="19"/>
                <w:szCs w:val="19"/>
              </w:rPr>
              <w:t>PendingApproval</w:t>
            </w:r>
            <w:r>
              <w:rPr>
                <w:rFonts w:eastAsia="微軟正黑體"/>
                <w:sz w:val="19"/>
                <w:szCs w:val="19"/>
              </w:rPr>
              <w:t>）— 新建角色</w:t>
            </w:r>
          </w:p>
        </w:tc>
        <w:tc>
          <w:tcPr>
            <w:tcW w:w="46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否</w:t>
            </w:r>
          </w:p>
        </w:tc>
      </w:tr>
      <w:tr>
        <w:trPr>
          <w:cantSplit/>
        </w:trPr>
        <w:tc>
          <w:tcPr>
            <w:tcW w:w="5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待審核 — 啟用中角色送審權限變更</w:t>
            </w:r>
          </w:p>
        </w:tc>
        <w:tc>
          <w:tcPr>
            <w:tcW w:w="46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是（維持核准前既有權限）</w:t>
            </w:r>
          </w:p>
        </w:tc>
      </w:tr>
      <w:tr>
        <w:trPr>
          <w:cantSplit/>
        </w:trPr>
        <w:tc>
          <w:tcPr>
            <w:tcW w:w="5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不在生效期間（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EffectiveFrom</w:t>
            </w:r>
            <w:r>
              <w:rPr>
                <w:rFonts w:eastAsia="微軟正黑體"/>
                <w:sz w:val="19"/>
                <w:szCs w:val="19"/>
              </w:rPr>
              <w:t>／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EffectiveTo</w:t>
            </w:r>
            <w:r>
              <w:rPr>
                <w:rFonts w:eastAsia="微軟正黑體"/>
                <w:sz w:val="19"/>
                <w:szCs w:val="19"/>
              </w:rPr>
              <w:t>）</w:t>
            </w:r>
          </w:p>
        </w:tc>
        <w:tc>
          <w:tcPr>
            <w:tcW w:w="46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否</w:t>
            </w:r>
          </w:p>
        </w:tc>
      </w:tr>
      <w:tr>
        <w:trPr>
          <w:cantSplit/>
        </w:trPr>
        <w:tc>
          <w:tcPr>
            <w:tcW w:w="5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實驗室專屬角色</w:t>
            </w:r>
          </w:p>
        </w:tc>
        <w:tc>
          <w:tcPr>
            <w:tcW w:w="46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僅在目前實驗室屬於其 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RoleLabScopes</w:t>
            </w:r>
            <w:r>
              <w:rPr>
                <w:rFonts w:eastAsia="微軟正黑體"/>
                <w:sz w:val="19"/>
                <w:szCs w:val="19"/>
              </w:rPr>
              <w:t xml:space="preserve"> </w:t>
            </w:r>
            <w:r>
              <w:rPr>
                <w:rFonts w:eastAsia="微軟正黑體"/>
                <w:sz w:val="19"/>
                <w:szCs w:val="19"/>
              </w:rPr>
              <w:t>時計入；無實驗室上下文時不計入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3"/>
        <w:rPr/>
      </w:pPr>
      <w:bookmarkStart w:id="75" w:name="__RefHeading___Toc3344_1895412299"/>
      <w:bookmarkStart w:id="76" w:name="_Toc243493481"/>
      <w:bookmarkEnd w:id="75"/>
      <w:r>
        <w:rPr/>
        <w:t xml:space="preserve">4.4.2 </w:t>
      </w:r>
      <w:r>
        <w:rPr/>
        <w:t>其他關鍵函數</w:t>
      </w:r>
      <w:bookmarkEnd w:id="76"/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3961"/>
        <w:gridCol w:w="5677"/>
      </w:tblGrid>
      <w:tr>
        <w:trPr>
          <w:tblHeader w:val="true"/>
        </w:trPr>
        <w:tc>
          <w:tcPr>
            <w:tcW w:w="3961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函數</w:t>
            </w:r>
          </w:p>
        </w:tc>
        <w:tc>
          <w:tcPr>
            <w:tcW w:w="5677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行為</w:t>
            </w:r>
          </w:p>
        </w:tc>
      </w:tr>
      <w:tr>
        <w:trPr>
          <w:cantSplit/>
        </w:trPr>
        <w:tc>
          <w:tcPr>
            <w:tcW w:w="3961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GetGlobalRolePermissionsAsync(user)</w:t>
            </w:r>
          </w:p>
        </w:tc>
        <w:tc>
          <w:tcPr>
            <w:tcW w:w="5677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無實驗室上下文：僅全域／系統角色權限，以「模組鍵</w:t>
            </w:r>
            <w:r>
              <w:rPr>
                <w:rFonts w:eastAsia="微軟正黑體"/>
                <w:sz w:val="19"/>
                <w:szCs w:val="19"/>
              </w:rPr>
              <w:t>:</w:t>
            </w:r>
            <w:r>
              <w:rPr>
                <w:rFonts w:eastAsia="微軟正黑體"/>
                <w:sz w:val="19"/>
                <w:szCs w:val="19"/>
              </w:rPr>
              <w:t>位元遮罩」回傳</w:t>
            </w:r>
          </w:p>
        </w:tc>
      </w:tr>
      <w:tr>
        <w:trPr>
          <w:cantSplit/>
        </w:trPr>
        <w:tc>
          <w:tcPr>
            <w:tcW w:w="3961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GetLabRolePermissionsAsync(user, labId)</w:t>
            </w:r>
          </w:p>
        </w:tc>
        <w:tc>
          <w:tcPr>
            <w:tcW w:w="5677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全域角色權限 ∪ 該實驗室的 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PermissionGrant</w:t>
            </w:r>
            <w:r>
              <w:rPr>
                <w:rFonts w:eastAsia="微軟正黑體"/>
                <w:sz w:val="19"/>
                <w:szCs w:val="19"/>
              </w:rPr>
              <w:t xml:space="preserve"> </w:t>
            </w:r>
            <w:r>
              <w:rPr>
                <w:rFonts w:eastAsia="微軟正黑體"/>
                <w:sz w:val="19"/>
                <w:szCs w:val="19"/>
              </w:rPr>
              <w:t>位元向量（解碼為完整權限鍵）</w:t>
            </w:r>
          </w:p>
        </w:tc>
      </w:tr>
      <w:tr>
        <w:trPr>
          <w:cantSplit/>
        </w:trPr>
        <w:tc>
          <w:tcPr>
            <w:tcW w:w="3961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GetMyLabsAsync()</w:t>
            </w:r>
            <w:r>
              <w:rPr>
                <w:rFonts w:eastAsia="微軟正黑體"/>
                <w:sz w:val="19"/>
                <w:szCs w:val="19"/>
              </w:rPr>
              <w:t>（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GET auth/my-labs</w:t>
            </w:r>
            <w:r>
              <w:rPr>
                <w:rFonts w:eastAsia="微軟正黑體"/>
                <w:sz w:val="19"/>
                <w:szCs w:val="19"/>
              </w:rPr>
              <w:t>）</w:t>
            </w:r>
          </w:p>
        </w:tc>
        <w:tc>
          <w:tcPr>
            <w:tcW w:w="5677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回傳使用者可存取實驗室（主要優先）；無法識別使用者時回 </w:t>
            </w:r>
            <w:r>
              <w:rPr>
                <w:rFonts w:eastAsia="微軟正黑體"/>
                <w:sz w:val="19"/>
                <w:szCs w:val="19"/>
              </w:rPr>
              <w:t>401</w:t>
            </w:r>
          </w:p>
        </w:tc>
      </w:tr>
      <w:tr>
        <w:trPr>
          <w:cantSplit/>
        </w:trPr>
        <w:tc>
          <w:tcPr>
            <w:tcW w:w="3961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SwitchLaboratoryWithFallbackAsync</w:t>
            </w:r>
          </w:p>
        </w:tc>
        <w:tc>
          <w:tcPr>
            <w:tcW w:w="5677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切換實驗室；無權存取時退回主要實驗室並回傳警告</w:t>
            </w:r>
          </w:p>
        </w:tc>
      </w:tr>
      <w:tr>
        <w:trPr>
          <w:cantSplit/>
        </w:trPr>
        <w:tc>
          <w:tcPr>
            <w:tcW w:w="3961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GetUserAuditPermissionsAsync(userId, labId?)</w:t>
            </w:r>
          </w:p>
        </w:tc>
        <w:tc>
          <w:tcPr>
            <w:tcW w:w="5677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產生權限稽核總覽；生效規則與執行期一致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1"/>
        <w:rPr/>
      </w:pPr>
      <w:bookmarkStart w:id="77" w:name="__RefHeading___Toc3346_1895412299"/>
      <w:bookmarkStart w:id="78" w:name="_Toc243493482"/>
      <w:bookmarkEnd w:id="77"/>
      <w:r>
        <w:rPr/>
        <w:t xml:space="preserve">5. </w:t>
      </w:r>
      <w:r>
        <w:rPr/>
        <w:t xml:space="preserve">系統需求至系統設計之追溯 </w:t>
      </w:r>
      <w:r>
        <w:rPr/>
        <w:t>(RTM)</w:t>
      </w:r>
      <w:bookmarkEnd w:id="78"/>
    </w:p>
    <w:p>
      <w:pPr>
        <w:pStyle w:val="Normal"/>
        <w:spacing w:lineRule="auto" w:line="300" w:before="0" w:after="100"/>
        <w:rPr/>
      </w:pPr>
      <w:r>
        <w:rPr>
          <w:rFonts w:eastAsia="微軟正黑體"/>
        </w:rPr>
        <w:t xml:space="preserve">追溯對象為本文件 2.1–2.2 所列需求，並納入 2.6 之架構與稽核規範（REQ-014、REQ-015）。「測試案例」欄之編號規則與驗證方法見 5.2；「實作狀態」依現行原始碼判定。</w:t>
      </w:r>
    </w:p>
    <w:p>
      <w:pPr>
        <w:pStyle w:val="Heading2"/>
        <w:rPr/>
      </w:pPr>
      <w:bookmarkStart w:id="79" w:name="__RefHeading___Toc3348_1895412299"/>
      <w:bookmarkStart w:id="80" w:name="_Toc243493483"/>
      <w:bookmarkEnd w:id="79"/>
      <w:r>
        <w:rPr/>
        <w:t xml:space="preserve">5.1 SGS </w:t>
      </w:r>
      <w:r>
        <w:rPr/>
        <w:t>基礎框架各子系統之追溯</w:t>
      </w:r>
      <w:bookmarkEnd w:id="80"/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847"/>
        <w:gridCol w:w="2344"/>
        <w:gridCol w:w="1123"/>
        <w:gridCol w:w="3448"/>
        <w:gridCol w:w="1013"/>
        <w:gridCol w:w="863"/>
      </w:tblGrid>
      <w:tr>
        <w:trPr>
          <w:tblHeader w:val="true"/>
        </w:trPr>
        <w:tc>
          <w:tcPr>
            <w:tcW w:w="847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需求編號</w:t>
            </w:r>
          </w:p>
        </w:tc>
        <w:tc>
          <w:tcPr>
            <w:tcW w:w="234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需求描述</w:t>
            </w:r>
          </w:p>
        </w:tc>
        <w:tc>
          <w:tcPr>
            <w:tcW w:w="112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設計模組</w:t>
            </w:r>
          </w:p>
        </w:tc>
        <w:tc>
          <w:tcPr>
            <w:tcW w:w="344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主要實作</w:t>
            </w:r>
          </w:p>
        </w:tc>
        <w:tc>
          <w:tcPr>
            <w:tcW w:w="101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測試案例</w:t>
            </w:r>
          </w:p>
        </w:tc>
        <w:tc>
          <w:tcPr>
            <w:tcW w:w="86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狀態</w:t>
            </w:r>
          </w:p>
        </w:tc>
      </w:tr>
      <w:tr>
        <w:trPr>
          <w:cantSplit/>
        </w:trPr>
        <w:tc>
          <w:tcPr>
            <w:tcW w:w="847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REQ-001</w:t>
            </w:r>
          </w:p>
        </w:tc>
        <w:tc>
          <w:tcPr>
            <w:tcW w:w="234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使用者登入並取得 </w:t>
            </w:r>
            <w:r>
              <w:rPr>
                <w:rFonts w:eastAsia="微軟正黑體"/>
                <w:sz w:val="19"/>
                <w:szCs w:val="19"/>
              </w:rPr>
              <w:t>JWT</w:t>
            </w:r>
            <w:r>
              <w:rPr>
                <w:rFonts w:eastAsia="微軟正黑體"/>
                <w:sz w:val="19"/>
                <w:szCs w:val="19"/>
              </w:rPr>
              <w:t>；</w:t>
            </w:r>
            <w:r>
              <w:rPr>
                <w:rFonts w:eastAsia="微軟正黑體"/>
                <w:sz w:val="19"/>
                <w:szCs w:val="19"/>
              </w:rPr>
              <w:t xml:space="preserve">Access Token 15 </w:t>
            </w:r>
            <w:r>
              <w:rPr>
                <w:rFonts w:eastAsia="微軟正黑體"/>
                <w:sz w:val="19"/>
                <w:szCs w:val="19"/>
              </w:rPr>
              <w:t>分鐘</w:t>
            </w:r>
          </w:p>
        </w:tc>
        <w:tc>
          <w:tcPr>
            <w:tcW w:w="112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DSN-AUTH</w:t>
            </w:r>
          </w:p>
        </w:tc>
        <w:tc>
          <w:tcPr>
            <w:tcW w:w="344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AuthController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TokenManager</w:t>
            </w:r>
          </w:p>
        </w:tc>
        <w:tc>
          <w:tcPr>
            <w:tcW w:w="101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TC-AUTH-F001、TC-AUTH-N001、TC-AUTH-S001</w:t>
            </w:r>
          </w:p>
        </w:tc>
        <w:tc>
          <w:tcPr>
            <w:tcW w:w="86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已實作</w:t>
            </w:r>
          </w:p>
        </w:tc>
      </w:tr>
      <w:tr>
        <w:trPr>
          <w:cantSplit/>
        </w:trPr>
        <w:tc>
          <w:tcPr>
            <w:tcW w:w="847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REQ-002</w:t>
            </w:r>
          </w:p>
        </w:tc>
        <w:tc>
          <w:tcPr>
            <w:tcW w:w="234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Refresh Token </w:t>
            </w:r>
            <w:r>
              <w:rPr>
                <w:rFonts w:eastAsia="微軟正黑體"/>
                <w:sz w:val="19"/>
                <w:szCs w:val="19"/>
              </w:rPr>
              <w:t>輪替、多裝置工作階段與撤銷</w:t>
            </w:r>
          </w:p>
        </w:tc>
        <w:tc>
          <w:tcPr>
            <w:tcW w:w="112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DSN-AUTH</w:t>
            </w:r>
          </w:p>
        </w:tc>
        <w:tc>
          <w:tcPr>
            <w:tcW w:w="344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UserRefreshToken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ISessionValidator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SessionHub</w:t>
            </w:r>
          </w:p>
        </w:tc>
        <w:tc>
          <w:tcPr>
            <w:tcW w:w="101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TC-AUTH-F002、TC-AUTH-F003、TC-AUTH-F004、TC-AUTH-S002</w:t>
            </w:r>
          </w:p>
        </w:tc>
        <w:tc>
          <w:tcPr>
            <w:tcW w:w="86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已實作</w:t>
            </w:r>
          </w:p>
        </w:tc>
      </w:tr>
      <w:tr>
        <w:trPr>
          <w:cantSplit/>
        </w:trPr>
        <w:tc>
          <w:tcPr>
            <w:tcW w:w="847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REQ-003</w:t>
            </w:r>
          </w:p>
        </w:tc>
        <w:tc>
          <w:tcPr>
            <w:tcW w:w="234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前端 </w:t>
            </w:r>
            <w:r>
              <w:rPr>
                <w:rFonts w:eastAsia="微軟正黑體"/>
                <w:sz w:val="19"/>
                <w:szCs w:val="19"/>
              </w:rPr>
              <w:t xml:space="preserve">401 </w:t>
            </w:r>
            <w:r>
              <w:rPr>
                <w:rFonts w:eastAsia="微軟正黑體"/>
                <w:sz w:val="19"/>
                <w:szCs w:val="19"/>
              </w:rPr>
              <w:t>自動換票且併發只換一次</w:t>
            </w:r>
          </w:p>
        </w:tc>
        <w:tc>
          <w:tcPr>
            <w:tcW w:w="112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DSN-AUTH-FE</w:t>
            </w:r>
          </w:p>
        </w:tc>
        <w:tc>
          <w:tcPr>
            <w:tcW w:w="344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 xml:space="preserve">Axios 請求／回應攔截器、single-flight 換票（jwtTokenProvider）</w:t>
            </w:r>
          </w:p>
        </w:tc>
        <w:tc>
          <w:tcPr>
            <w:tcW w:w="101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TC-AUTHFE-F001、TC-AUTHFE-F002、TC-AUTHFE-N001</w:t>
            </w:r>
          </w:p>
        </w:tc>
        <w:tc>
          <w:tcPr>
            <w:tcW w:w="86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已實作</w:t>
            </w:r>
          </w:p>
        </w:tc>
      </w:tr>
      <w:tr>
        <w:trPr>
          <w:cantSplit/>
        </w:trPr>
        <w:tc>
          <w:tcPr>
            <w:tcW w:w="847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REQ-004</w:t>
            </w:r>
          </w:p>
        </w:tc>
        <w:tc>
          <w:tcPr>
            <w:tcW w:w="234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RBAC</w:t>
            </w:r>
            <w:r>
              <w:rPr>
                <w:rFonts w:eastAsia="微軟正黑體"/>
                <w:sz w:val="19"/>
                <w:szCs w:val="19"/>
              </w:rPr>
              <w:t>＋位元權限，使用者有效權限＝直接 ∪ 角色</w:t>
            </w:r>
          </w:p>
        </w:tc>
        <w:tc>
          <w:tcPr>
            <w:tcW w:w="112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DSN-AUTHZ</w:t>
            </w:r>
          </w:p>
        </w:tc>
        <w:tc>
          <w:tcPr>
            <w:tcW w:w="344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UserRuntimeScopeService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RoleEffectivePermissionProvider</w:t>
            </w:r>
          </w:p>
        </w:tc>
        <w:tc>
          <w:tcPr>
            <w:tcW w:w="101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TC-AUTHZ-F001、TC-AUTHZ-F002、TC-AUTHZ-N001</w:t>
            </w:r>
          </w:p>
        </w:tc>
        <w:tc>
          <w:tcPr>
            <w:tcW w:w="86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已實作</w:t>
            </w:r>
          </w:p>
        </w:tc>
      </w:tr>
      <w:tr>
        <w:trPr>
          <w:cantSplit/>
        </w:trPr>
        <w:tc>
          <w:tcPr>
            <w:tcW w:w="847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REQ-005</w:t>
            </w:r>
          </w:p>
        </w:tc>
        <w:tc>
          <w:tcPr>
            <w:tcW w:w="234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實驗室專屬角色僅於指派實驗室生效</w:t>
            </w:r>
          </w:p>
        </w:tc>
        <w:tc>
          <w:tcPr>
            <w:tcW w:w="112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DSN-AUTHZ</w:t>
            </w:r>
          </w:p>
        </w:tc>
        <w:tc>
          <w:tcPr>
            <w:tcW w:w="344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RoleLabScopes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GetEffectiveRoleIdsAsync</w:t>
            </w:r>
          </w:p>
        </w:tc>
        <w:tc>
          <w:tcPr>
            <w:tcW w:w="101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TC-AUTHZ-F003、TC-AUTHZ-N002</w:t>
            </w:r>
          </w:p>
        </w:tc>
        <w:tc>
          <w:tcPr>
            <w:tcW w:w="86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已實作</w:t>
            </w:r>
          </w:p>
        </w:tc>
      </w:tr>
      <w:tr>
        <w:trPr>
          <w:cantSplit/>
        </w:trPr>
        <w:tc>
          <w:tcPr>
            <w:tcW w:w="847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REQ-006</w:t>
            </w:r>
          </w:p>
        </w:tc>
        <w:tc>
          <w:tcPr>
            <w:tcW w:w="234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權限變更須由他人核准（</w:t>
            </w:r>
            <w:r>
              <w:rPr>
                <w:rFonts w:eastAsia="微軟正黑體"/>
                <w:sz w:val="19"/>
                <w:szCs w:val="19"/>
              </w:rPr>
              <w:t>Maker-Checker</w:t>
            </w:r>
            <w:r>
              <w:rPr>
                <w:rFonts w:eastAsia="微軟正黑體"/>
                <w:sz w:val="19"/>
                <w:szCs w:val="19"/>
              </w:rPr>
              <w:t>）</w:t>
            </w:r>
          </w:p>
        </w:tc>
        <w:tc>
          <w:tcPr>
            <w:tcW w:w="112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DSN-GOV</w:t>
            </w:r>
          </w:p>
        </w:tc>
        <w:tc>
          <w:tcPr>
            <w:tcW w:w="344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RoleChangeRequests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RoleGovernanceController</w:t>
            </w:r>
          </w:p>
        </w:tc>
        <w:tc>
          <w:tcPr>
            <w:tcW w:w="101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TC-GOV-F001、TC-GOV-F002、TC-GOV-N001</w:t>
            </w:r>
          </w:p>
        </w:tc>
        <w:tc>
          <w:tcPr>
            <w:tcW w:w="86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已實作</w:t>
            </w:r>
          </w:p>
        </w:tc>
      </w:tr>
      <w:tr>
        <w:trPr>
          <w:cantSplit/>
        </w:trPr>
        <w:tc>
          <w:tcPr>
            <w:tcW w:w="847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REQ-007</w:t>
            </w:r>
          </w:p>
        </w:tc>
        <w:tc>
          <w:tcPr>
            <w:tcW w:w="234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職責分離、角色到期、定期存取覆核</w:t>
            </w:r>
          </w:p>
        </w:tc>
        <w:tc>
          <w:tcPr>
            <w:tcW w:w="112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DSN-GOV</w:t>
            </w:r>
          </w:p>
        </w:tc>
        <w:tc>
          <w:tcPr>
            <w:tcW w:w="344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SodRules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UserRoleExpirations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AccessReviewController</w:t>
            </w:r>
          </w:p>
        </w:tc>
        <w:tc>
          <w:tcPr>
            <w:tcW w:w="101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TC-GOV-N002、TC-GOV-F003、TC-GOV-F004</w:t>
            </w:r>
          </w:p>
        </w:tc>
        <w:tc>
          <w:tcPr>
            <w:tcW w:w="86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已實作</w:t>
            </w:r>
          </w:p>
        </w:tc>
      </w:tr>
      <w:tr>
        <w:trPr>
          <w:cantSplit/>
        </w:trPr>
        <w:tc>
          <w:tcPr>
            <w:tcW w:w="847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REQ-008</w:t>
            </w:r>
          </w:p>
        </w:tc>
        <w:tc>
          <w:tcPr>
            <w:tcW w:w="234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稽核日誌具雜湊鏈與 </w:t>
            </w:r>
            <w:r>
              <w:rPr>
                <w:rFonts w:eastAsia="微軟正黑體"/>
                <w:sz w:val="19"/>
                <w:szCs w:val="19"/>
              </w:rPr>
              <w:t xml:space="preserve">Ledger </w:t>
            </w:r>
            <w:r>
              <w:rPr>
                <w:rFonts w:eastAsia="微軟正黑體"/>
                <w:sz w:val="19"/>
                <w:szCs w:val="19"/>
              </w:rPr>
              <w:t>防篡改</w:t>
            </w:r>
          </w:p>
        </w:tc>
        <w:tc>
          <w:tcPr>
            <w:tcW w:w="112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DSN-AUDIT</w:t>
            </w:r>
          </w:p>
        </w:tc>
        <w:tc>
          <w:tcPr>
            <w:tcW w:w="344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AuditWorker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SqlBulkAuditStorageStrategy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VerifyLedger</w:t>
            </w:r>
          </w:p>
        </w:tc>
        <w:tc>
          <w:tcPr>
            <w:tcW w:w="101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TC-AUDIT-F001、TC-AUDIT-S001、TC-AUDIT-S002</w:t>
            </w:r>
          </w:p>
        </w:tc>
        <w:tc>
          <w:tcPr>
            <w:tcW w:w="86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已實作</w:t>
            </w:r>
          </w:p>
        </w:tc>
      </w:tr>
      <w:tr>
        <w:trPr>
          <w:cantSplit/>
        </w:trPr>
        <w:tc>
          <w:tcPr>
            <w:tcW w:w="847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REQ-009</w:t>
            </w:r>
          </w:p>
        </w:tc>
        <w:tc>
          <w:tcPr>
            <w:tcW w:w="234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外掛簽章驗證、隔離載入</w:t>
            </w:r>
          </w:p>
        </w:tc>
        <w:tc>
          <w:tcPr>
            <w:tcW w:w="112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DSN-PLUGIN</w:t>
            </w:r>
          </w:p>
        </w:tc>
        <w:tc>
          <w:tcPr>
            <w:tcW w:w="344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CodeSecurity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ModuleAssemblyLoadContext</w:t>
            </w:r>
          </w:p>
        </w:tc>
        <w:tc>
          <w:tcPr>
            <w:tcW w:w="101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TC-PLUGIN-F001、TC-PLUGIN-F002、TC-PLUGIN-S001</w:t>
            </w:r>
          </w:p>
        </w:tc>
        <w:tc>
          <w:tcPr>
            <w:tcW w:w="86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已實作</w:t>
            </w:r>
          </w:p>
        </w:tc>
      </w:tr>
      <w:tr>
        <w:trPr>
          <w:cantSplit/>
        </w:trPr>
        <w:tc>
          <w:tcPr>
            <w:tcW w:w="847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REQ-010</w:t>
            </w:r>
          </w:p>
        </w:tc>
        <w:tc>
          <w:tcPr>
            <w:tcW w:w="234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個資欄位加密與遮蔽</w:t>
            </w:r>
          </w:p>
        </w:tc>
        <w:tc>
          <w:tcPr>
            <w:tcW w:w="112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DSN-DP</w:t>
            </w:r>
          </w:p>
        </w:tc>
        <w:tc>
          <w:tcPr>
            <w:tcW w:w="344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>SGSFramework.DataProtection</w:t>
            </w:r>
          </w:p>
        </w:tc>
        <w:tc>
          <w:tcPr>
            <w:tcW w:w="101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TC-DP-F001、TC-DP-F002</w:t>
            </w:r>
          </w:p>
        </w:tc>
        <w:tc>
          <w:tcPr>
            <w:tcW w:w="86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已實作</w:t>
            </w:r>
          </w:p>
        </w:tc>
      </w:tr>
      <w:tr>
        <w:trPr>
          <w:cantSplit/>
        </w:trPr>
        <w:tc>
          <w:tcPr>
            <w:tcW w:w="847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REQ-011</w:t>
            </w:r>
          </w:p>
        </w:tc>
        <w:tc>
          <w:tcPr>
            <w:tcW w:w="234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工作階段撤銷／權限異動即時通知</w:t>
            </w:r>
          </w:p>
        </w:tc>
        <w:tc>
          <w:tcPr>
            <w:tcW w:w="112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DSN-RT</w:t>
            </w:r>
          </w:p>
        </w:tc>
        <w:tc>
          <w:tcPr>
            <w:tcW w:w="344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 xml:space="preserve">SessionHub、PermissionChangeNotifier；前端 sessionHub 整合（待確認）</w:t>
            </w:r>
          </w:p>
        </w:tc>
        <w:tc>
          <w:tcPr>
            <w:tcW w:w="101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TC-RT-F001、TC-RT-F002、TC-RT-N001</w:t>
            </w:r>
          </w:p>
        </w:tc>
        <w:tc>
          <w:tcPr>
            <w:tcW w:w="86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後端已實作；前端待確認</w:t>
            </w:r>
          </w:p>
        </w:tc>
      </w:tr>
      <w:tr>
        <w:trPr>
          <w:cantSplit/>
        </w:trPr>
        <w:tc>
          <w:tcPr>
            <w:tcW w:w="847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REQ-012</w:t>
            </w:r>
          </w:p>
        </w:tc>
        <w:tc>
          <w:tcPr>
            <w:tcW w:w="234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API P95 &lt; 100 ms</w:t>
            </w:r>
            <w:r>
              <w:rPr>
                <w:rFonts w:eastAsia="微軟正黑體"/>
                <w:sz w:val="19"/>
                <w:szCs w:val="19"/>
              </w:rPr>
              <w:t xml:space="preserve">；權限運算 </w:t>
            </w:r>
            <w:r>
              <w:rPr>
                <w:rFonts w:eastAsia="微軟正黑體"/>
                <w:sz w:val="19"/>
                <w:szCs w:val="19"/>
              </w:rPr>
              <w:t>&lt; 1 ms</w:t>
            </w:r>
          </w:p>
        </w:tc>
        <w:tc>
          <w:tcPr>
            <w:tcW w:w="112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DSN-PERF</w:t>
            </w:r>
          </w:p>
        </w:tc>
        <w:tc>
          <w:tcPr>
            <w:tcW w:w="344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FusionCache </w:t>
            </w:r>
            <w:r>
              <w:rPr>
                <w:rFonts w:eastAsia="微軟正黑體"/>
                <w:sz w:val="19"/>
                <w:szCs w:val="19"/>
              </w:rPr>
              <w:t>快取</w:t>
            </w:r>
          </w:p>
        </w:tc>
        <w:tc>
          <w:tcPr>
            <w:tcW w:w="101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TC-PERF-P001、TC-PERF-P002</w:t>
            </w:r>
          </w:p>
        </w:tc>
        <w:tc>
          <w:tcPr>
            <w:tcW w:w="86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待驗證</w:t>
            </w:r>
          </w:p>
        </w:tc>
      </w:tr>
      <w:tr>
        <w:trPr>
          <w:cantSplit/>
        </w:trPr>
        <w:tc>
          <w:tcPr>
            <w:tcW w:w="847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REQ-013</w:t>
            </w:r>
          </w:p>
        </w:tc>
        <w:tc>
          <w:tcPr>
            <w:tcW w:w="234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Vue 3 前端與 SPA 模組動態擴充</w:t>
            </w:r>
          </w:p>
        </w:tc>
        <w:tc>
          <w:tcPr>
            <w:tcW w:w="112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DSN-SPA</w:t>
            </w:r>
          </w:p>
        </w:tc>
        <w:tc>
          <w:tcPr>
            <w:tcW w:w="344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 xml:space="preserve">SPAModulePlugin、SPAModuleController；Vue 3 前端</w:t>
            </w:r>
          </w:p>
        </w:tc>
        <w:tc>
          <w:tcPr>
            <w:tcW w:w="101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TC-SPA-F001、TC-SPA-S001、TC-SPA-S002</w:t>
            </w:r>
          </w:p>
        </w:tc>
        <w:tc>
          <w:tcPr>
            <w:tcW w:w="86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已實作</w:t>
            </w:r>
          </w:p>
        </w:tc>
      </w:tr>
      <w:tr>
        <w:trPr>
          <w:cantSplit/>
        </w:trPr>
        <w:tc>
          <w:tcPr>
            <w:tcW w:w="847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REQ-014</w:t>
            </w:r>
          </w:p>
        </w:tc>
        <w:tc>
          <w:tcPr>
            <w:tcW w:w="234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領域層不依賴基礎設施；模組間僅經 Contracts 互通</w:t>
            </w:r>
          </w:p>
        </w:tc>
        <w:tc>
          <w:tcPr>
            <w:tcW w:w="112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DSN-ARCH</w:t>
            </w:r>
          </w:p>
        </w:tc>
        <w:tc>
          <w:tcPr>
            <w:tcW w:w="344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 xml:space="preserve">SGSFramework.Core、*.Contracts、ApiInfrastructure</w:t>
            </w:r>
          </w:p>
        </w:tc>
        <w:tc>
          <w:tcPr>
            <w:tcW w:w="101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TC-ARCH-N001、TC-ARCH-N002、TC-ARCH-N003</w:t>
            </w:r>
          </w:p>
        </w:tc>
        <w:tc>
          <w:tcPr>
            <w:tcW w:w="86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重構中</w:t>
            </w:r>
          </w:p>
        </w:tc>
      </w:tr>
      <w:tr>
        <w:trPr>
          <w:cantSplit/>
        </w:trPr>
        <w:tc>
          <w:tcPr>
            <w:tcW w:w="847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REQ-015</w:t>
            </w:r>
          </w:p>
        </w:tc>
        <w:tc>
          <w:tcPr>
            <w:tcW w:w="2344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稽核資料不遺失（重試、降級、優雅關閉、斷電防禦）</w:t>
            </w:r>
          </w:p>
        </w:tc>
        <w:tc>
          <w:tcPr>
            <w:tcW w:w="112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DSN-AUDIT</w:t>
            </w:r>
          </w:p>
        </w:tc>
        <w:tc>
          <w:tcPr>
            <w:tcW w:w="344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Consolas" w:cs="Consolas" w:ascii="Consolas" w:hAnsi="Consolas"/>
                <w:sz w:val="19"/>
                <w:szCs w:val="19"/>
              </w:rPr>
              <w:t xml:space="preserve">AuditChannel、AuditWorker、降級備份檔</w:t>
            </w:r>
          </w:p>
        </w:tc>
        <w:tc>
          <w:tcPr>
            <w:tcW w:w="101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TC-AUDIT-F002、TC-AUDIT-R001～R005、TC-AUDIT-P001</w:t>
            </w:r>
          </w:p>
        </w:tc>
        <w:tc>
          <w:tcPr>
            <w:tcW w:w="863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部分實作</w:t>
            </w:r>
          </w:p>
        </w:tc>
      </w:tr>
    </w:tbl>
    <w:p>
      <w:pPr>
        <w:pStyle w:val="Normal"/>
        <w:spacing w:before="0" w:after="80"/>
      </w:pPr>
    </w:p>
    <w:p>
      <w:pPr>
        <w:pStyle w:val="Heading2"/>
        <w:keepNext/>
      </w:pPr>
      <w:r>
        <w:rPr>
          <w:rFonts w:eastAsia="微軟正黑體"/>
        </w:rPr>
        <w:t xml:space="preserve">5.2 測試案例編號與驗證方法（TC-Code）</w:t>
      </w:r>
    </w:p>
    <w:p>
      <w:pPr>
        <w:pStyle w:val="Normal"/>
        <w:spacing w:lineRule="auto" w:line="300" w:before="0" w:after="100"/>
      </w:pPr>
      <w:r>
        <w:rPr>
          <w:rFonts w:eastAsia="微軟正黑體"/>
          <w:b/>
          <w:bCs/>
        </w:rPr>
        <w:t xml:space="preserve">編號規則：</w:t>
      </w:r>
      <w:r>
        <w:rPr>
          <w:rFonts w:eastAsia="微軟正黑體"/>
        </w:rPr>
        <w:t xml:space="preserve">TC-&lt;領域&gt;-&lt;類型&gt;&lt;流水號&gt;。領域為設計模組簡碼（AUTH、AUTHFE、AUTHZ、GOV、AUDIT、PLUGIN、DP、RT、PERF、SPA、ARCH，與 DSN-* 對應）；類型 F＝功能、N＝負向／例外、S＝資安、P＝效能、R＝可靠性／回復；流水號 3 碼，於同領域同類型內自 001 遞增，編號不得重複使用，已廢止者標示作廢而不刪除。範例：TC-AUDIT-R004。</w:t>
      </w:r>
    </w:p>
    <w:p>
      <w:pPr>
        <w:pStyle w:val="Normal"/>
        <w:spacing w:lineRule="auto" w:line="300" w:before="0" w:after="100"/>
      </w:pPr>
      <w:r>
        <w:rPr>
          <w:rFonts w:eastAsia="微軟正黑體"/>
          <w:b/>
          <w:bCs/>
        </w:rPr>
        <w:t xml:space="preserve">驗證方法（IADT）：</w:t>
      </w:r>
      <w:r>
        <w:rPr>
          <w:rFonts w:eastAsia="微軟正黑體"/>
        </w:rPr>
        <w:t xml:space="preserve">I＝檢視（程式碼或文件審查）；A＝分析（量測、基準測試、推演）；D＝展示（操作演示）；T＝測試。T 再依層級註記：UT 單元、IT 整合、E2E 端對端、SEC 資安、PT 效能。</w:t>
      </w:r>
    </w:p>
    <w:p>
      <w:pPr>
        <w:pStyle w:val="Normal"/>
        <w:spacing w:lineRule="auto" w:line="300" w:before="0" w:after="100"/>
      </w:pPr>
      <w:r>
        <w:rPr>
          <w:rFonts w:eastAsia="微軟正黑體"/>
          <w:b/>
          <w:bCs/>
        </w:rPr>
        <w:t xml:space="preserve">追溯與通過規則：</w:t>
      </w:r>
      <w:r>
        <w:rPr>
          <w:rFonts w:eastAsia="微軟正黑體"/>
        </w:rPr>
        <w:t xml:space="preserve">每項需求須至少有一個 F 案例；涉及授權、稽核或資安者另須 N 或 S 案例；需求或設計變更時須同步檢視相關 TC。通過準則須可量化，並保存證據（測試報告、日誌、截圖）。案例狀態：已設計、已實作、通過、失敗、阻擋；目前所列案例均為「已設計」，尚待實作與執行。</w:t>
      </w:r>
    </w:p>
    <w:tbl>
      <w:tblPr>
        <w:tblW w:w="9638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1750"/>
        <w:gridCol w:w="1150"/>
        <w:gridCol w:w="1250"/>
        <w:gridCol w:w="4488"/>
        <w:gridCol w:w="1000"/>
      </w:tblGrid>
      <w:tr>
        <w:trPr>
          <w:tblHeader w:val="true"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val="clear" w:color="auto" w:fill="1F4E79"/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 xml:space="preserve">案例編號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val="clear" w:color="auto" w:fill="1F4E79"/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 xml:space="preserve">對應需求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val="clear" w:color="auto" w:fill="1F4E79"/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 xml:space="preserve">驗證方法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val="clear" w:color="auto" w:fill="1F4E79"/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 xml:space="preserve">測試重點與通過準則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val="clear" w:color="auto" w:fill="1F4E79"/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 xml:space="preserve">狀態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TC-AUTH-F001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REQ-001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T-IT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帳密登入成功，回應含 Token、選單與可切換實驗室，並寫入資安日誌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TC-AUTH-N001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REQ-001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T-IT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錯誤密碼回 401 並累計 AccessFailedCount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TC-AUTH-S001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REQ-001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T-UT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Access Token 之 exp 與 iat 差為 15 分鐘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TC-AUTH-F002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REQ-002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T-IT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Refresh Token 輪替成功，資料庫僅保存新雜湊；並行換票僅一次生效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TC-AUTH-F003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REQ-002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T-IT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超過裝置數上限時淘汰最舊工作階段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TC-AUTH-F004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REQ-002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T-IT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登出與全裝置登出後，該工作階段之 Token 與 Refresh Token 皆失效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TC-AUTH-S002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REQ-002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T-SEC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以舊 Refresh Token 重放被拒（401）並寫入重大資安日誌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TC-AUTHFE-F001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REQ-003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T-UT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收到 401 時換票並重送原請求，重送次數不超過 3 次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TC-AUTHFE-F002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REQ-003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T-UT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並行 N 個 401 僅呼叫 /auth/refresh 一次，其餘共用結果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TC-AUTHFE-N001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REQ-003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T-E2E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換票失敗時導向登入頁並保留 redirectFrom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TC-AUTHZ-F001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REQ-004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T-UT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有效權限＝直接權限 ∪ 角色權限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TC-AUTHZ-F002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REQ-004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T-UT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權限編號超過 64 位元時之位元向量判定正確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TC-AUTHZ-N001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REQ-004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T-IT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無權限呼叫受保護 API 回 403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TC-AUTHZ-F003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REQ-005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T-IT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實驗室專屬角色僅於被指派之實驗室生效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TC-AUTHZ-N002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REQ-005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T-IT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切換至未指派之實驗室時不具該角色權限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TC-GOV-F001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REQ-006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T-IT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提出權限變更送審，由他人核准後套用並寫入稽核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TC-GOV-F002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REQ-006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T-IT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駁回須填原因；提出者可撤回申請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TC-GOV-N001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REQ-006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T-IT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提出者核准自己的申請被拒（高階系統角色例外）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TC-GOV-N002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REQ-007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T-IT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違反 SoD 規則時，送出與核准皆被阻擋並提示規則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TC-GOV-F003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REQ-007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T-IT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角色到期後該角色權限失效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TC-GOV-F004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REQ-007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T-IT／D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建立定期存取覆核活動，逐項核可或建立矯正工單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TC-AUDIT-F001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REQ-008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T-IT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資料異動產生稽核紀錄，PreviousHash 與前一筆 StoredHash 相符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TC-AUDIT-S001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REQ-008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T-SEC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竄改任一筆稽核紀錄後，雜湊鏈驗證失敗並指出斷鏈位置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TC-AUDIT-S002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REQ-008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T-IT／D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Ledger 驗證通過並產出報告；驗證結果可被監控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TC-AUDIT-F002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REQ-015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T-IT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批次寫入採內部交易，中途失敗時整批回復（對應 CON-06）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TC-AUDIT-R001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REQ-015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T-IT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資料庫暫時失敗時重試 3 次，仍失敗則落地降級檔，重啟後自動復原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TC-AUDIT-R002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REQ-015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T-IT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主機停止時 FinalFlush 排空通道與緩衝區，雜湊鏈連續且無遺失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TC-AUDIT-R003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REQ-015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T-IT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降級檔重複復原不產生重複紀錄，且復原後鏈可驗證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TC-AUDIT-R004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REQ-015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T-IT（故障注入）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強制終止處理程序後，關鍵事件（Outbox）不遺失；一般事件遺失筆數不超過 RPO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TC-AUDIT-R005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REQ-015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T-IT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通道滿載時生產端等待、無遺失，API 請求不逾時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TC-AUDIT-P001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REQ-015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T-PT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1,000 筆／3 秒閾值下 SqlBulkCopy 之吞吐量與交易一致性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TC-PLUGIN-F001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REQ-009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T-IT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合法簽章外掛載入成功並註冊 Controller 與中繼資料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TC-PLUGIN-F002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REQ-009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T-IT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卸載外掛後 AssemblyLoadContext 被回收，端點下線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TC-PLUGIN-S001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REQ-009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T-SEC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未簽章或指紋不符之 DLL 被隔離至 quarantine，並記錄資安事件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TC-DP-F001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REQ-010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T-IT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[Encrypted] 欄位於資料庫為密文，經 API 讀出為明文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TC-DP-F002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REQ-010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T-UT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[Masked] 欄位與日誌敏感資訊遮蔽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TC-RT-F001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REQ-011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T-E2E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撤銷工作階段後，其他裝置收到 SessionRevoked 並登出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TC-RT-F002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REQ-011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T-E2E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權限異動後收到 PermissionsChanged，前端換票並重載選單與權限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TC-RT-N001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REQ-011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T-SEC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已撤銷之裝置無法重新連線 SessionHub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TC-PERF-P001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REQ-012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T-PT／A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壓力測試下 API P95 小於 100 ms，並保存 APM 報表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TC-PERF-P002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REQ-012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A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基準測試（Benchmark）權限運算小於 1 ms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TC-SPA-F001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REQ-013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T-IT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manifest 端點依使用者授權回傳 SPA 模組清單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TC-SPA-S001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REQ-013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T-SEC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含路徑穿越（Zip Slip）之套件被拒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TC-SPA-S002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REQ-013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T-SEC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進入點 SHA-256 與 manifest 不符時拒絕載入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TC-ARCH-N001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REQ-014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T-UT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架構測試：Core 不得引用 Microsoft.EntityFrameworkCore* 與其他基礎設施套件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TC-ARCH-N002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REQ-014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T-UT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架構測試：業務模組間無直接專案參考，僅得經 Contracts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TC-ARCH-N003</w:t>
            </w:r>
          </w:p>
        </w:tc>
        <w:tc>
          <w:tcPr>
            <w:tcW w:w="11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REQ-014</w:t>
            </w:r>
          </w:p>
        </w:tc>
        <w:tc>
          <w:tcPr>
            <w:tcW w:w="125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T-UT</w:t>
            </w:r>
          </w:p>
        </w:tc>
        <w:tc>
          <w:tcPr>
            <w:tcW w:w="448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架構測試：專案相依無循環</w:t>
            </w:r>
          </w:p>
        </w:tc>
        <w:tc>
          <w:tcPr>
            <w:tcW w:w="1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</w:pPr>
            <w:r>
              <w:rPr>
                <w:rFonts w:eastAsia="微軟正黑體"/>
                <w:sz w:val="19"/>
                <w:szCs w:val="19"/>
              </w:rPr>
              <w:t xml:space="preserve">已設計</w:t>
            </w:r>
          </w:p>
        </w:tc>
      </w:tr>
    </w:tbl>
    <w:p>
      <w:pPr>
        <w:pStyle w:val="Normal"/>
        <w:spacing w:before="0" w:after="80"/>
      </w:pPr>
    </w:p>
    <w:p>
      <w:pPr>
        <w:pStyle w:val="Normal"/>
        <w:spacing w:before="0" w:after="80"/>
        <w:rPr/>
      </w:pPr>
      <w:r>
        <w:rPr/>
      </w:r>
    </w:p>
    <w:p>
      <w:pPr>
        <w:pStyle w:val="Heading1"/>
        <w:rPr/>
      </w:pPr>
      <w:bookmarkStart w:id="81" w:name="__RefHeading___Toc3350_1895412299"/>
      <w:bookmarkStart w:id="82" w:name="_Toc243493484"/>
      <w:bookmarkEnd w:id="81"/>
      <w:r>
        <w:rPr/>
        <w:t xml:space="preserve">6. </w:t>
      </w:r>
      <w:r>
        <w:rPr/>
        <w:t>資料表</w:t>
      </w:r>
      <w:bookmarkEnd w:id="82"/>
    </w:p>
    <w:p>
      <w:pPr>
        <w:pStyle w:val="Heading2"/>
        <w:rPr/>
      </w:pPr>
      <w:bookmarkStart w:id="83" w:name="__RefHeading___Toc3352_1895412299"/>
      <w:bookmarkStart w:id="84" w:name="_Toc243493485"/>
      <w:bookmarkEnd w:id="83"/>
      <w:r>
        <w:rPr/>
        <w:t>6.1 Table Schema</w:t>
      </w:r>
      <w:bookmarkEnd w:id="84"/>
    </w:p>
    <w:p>
      <w:pPr>
        <w:pStyle w:val="Normal"/>
        <w:spacing w:lineRule="auto" w:line="300" w:before="0" w:after="100"/>
        <w:rPr/>
      </w:pPr>
      <w:r>
        <w:rPr>
          <w:rFonts w:eastAsia="微軟正黑體"/>
        </w:rPr>
        <w:t xml:space="preserve">資料表依 </w:t>
      </w:r>
      <w:r>
        <w:rPr>
          <w:rFonts w:eastAsia="微軟正黑體"/>
        </w:rPr>
        <w:t xml:space="preserve">Schema </w:t>
      </w:r>
      <w:r>
        <w:rPr>
          <w:rFonts w:eastAsia="微軟正黑體"/>
        </w:rPr>
        <w:t xml:space="preserve">分為 </w:t>
      </w:r>
      <w:r>
        <w:rPr>
          <w:rFonts w:eastAsia="Consolas" w:cs="Consolas" w:ascii="Consolas" w:hAnsi="Consolas"/>
          <w:sz w:val="19"/>
          <w:szCs w:val="19"/>
        </w:rPr>
        <w:t>core</w:t>
      </w:r>
      <w:r>
        <w:rPr>
          <w:rFonts w:eastAsia="微軟正黑體"/>
        </w:rPr>
        <w:t xml:space="preserve">（框架）與 </w:t>
      </w:r>
      <w:r>
        <w:rPr>
          <w:rFonts w:eastAsia="Consolas" w:cs="Consolas" w:ascii="Consolas" w:hAnsi="Consolas"/>
          <w:sz w:val="19"/>
          <w:szCs w:val="19"/>
        </w:rPr>
        <w:t>org</w:t>
      </w:r>
      <w:r>
        <w:rPr>
          <w:rFonts w:eastAsia="微軟正黑體"/>
        </w:rPr>
        <w:t xml:space="preserve">（組織模組）。下表依 </w:t>
      </w:r>
      <w:r>
        <w:rPr>
          <w:rFonts w:eastAsia="微軟正黑體"/>
        </w:rPr>
        <w:t xml:space="preserve">EF Core </w:t>
      </w:r>
      <w:r>
        <w:rPr>
          <w:rFonts w:eastAsia="微軟正黑體"/>
        </w:rPr>
        <w:t>組態（</w:t>
      </w:r>
      <w:r>
        <w:rPr>
          <w:rFonts w:eastAsia="Consolas" w:cs="Consolas" w:ascii="Consolas" w:hAnsi="Consolas"/>
          <w:sz w:val="19"/>
          <w:szCs w:val="19"/>
        </w:rPr>
        <w:t>ToTable</w:t>
      </w:r>
      <w:r>
        <w:rPr>
          <w:rFonts w:eastAsia="微軟正黑體"/>
        </w:rPr>
        <w:t>）與遷移整理，欄位細節以遷移檔為準。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4300"/>
        <w:gridCol w:w="5338"/>
      </w:tblGrid>
      <w:tr>
        <w:trPr>
          <w:tblHeader w:val="true"/>
        </w:trPr>
        <w:tc>
          <w:tcPr>
            <w:tcW w:w="43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Schema.</w:t>
            </w: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資料表</w:t>
            </w:r>
          </w:p>
        </w:tc>
        <w:tc>
          <w:tcPr>
            <w:tcW w:w="53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用途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core.AspNetUsers</w:t>
            </w:r>
            <w:r>
              <w:rPr>
                <w:rFonts w:eastAsia="微軟正黑體"/>
                <w:sz w:val="19"/>
                <w:szCs w:val="19"/>
              </w:rPr>
              <w:t>／</w:t>
            </w:r>
            <w:r>
              <w:rPr>
                <w:rFonts w:eastAsia="微軟正黑體"/>
                <w:sz w:val="19"/>
                <w:szCs w:val="19"/>
              </w:rPr>
              <w:t>AspNetRoles</w:t>
            </w:r>
            <w:r>
              <w:rPr>
                <w:rFonts w:eastAsia="微軟正黑體"/>
                <w:sz w:val="19"/>
                <w:szCs w:val="19"/>
              </w:rPr>
              <w:t>／</w:t>
            </w:r>
            <w:r>
              <w:rPr>
                <w:rFonts w:eastAsia="微軟正黑體"/>
                <w:sz w:val="19"/>
                <w:szCs w:val="19"/>
              </w:rPr>
              <w:t>AspNetUserRoles</w:t>
            </w:r>
            <w:r>
              <w:rPr>
                <w:rFonts w:eastAsia="微軟正黑體"/>
                <w:sz w:val="19"/>
                <w:szCs w:val="19"/>
              </w:rPr>
              <w:t>／</w:t>
            </w:r>
            <w:r>
              <w:rPr>
                <w:rFonts w:eastAsia="微軟正黑體"/>
                <w:sz w:val="19"/>
                <w:szCs w:val="19"/>
              </w:rPr>
              <w:t>AspNetUserClaims</w:t>
            </w:r>
            <w:r>
              <w:rPr>
                <w:rFonts w:eastAsia="微軟正黑體"/>
                <w:sz w:val="19"/>
                <w:szCs w:val="19"/>
              </w:rPr>
              <w:t>／</w:t>
            </w:r>
            <w:r>
              <w:rPr>
                <w:rFonts w:eastAsia="微軟正黑體"/>
                <w:sz w:val="19"/>
                <w:szCs w:val="19"/>
              </w:rPr>
              <w:t>AspNetRoleClaims</w:t>
            </w:r>
            <w:r>
              <w:rPr>
                <w:rFonts w:eastAsia="微軟正黑體"/>
                <w:sz w:val="19"/>
                <w:szCs w:val="19"/>
              </w:rPr>
              <w:t>／</w:t>
            </w:r>
            <w:r>
              <w:rPr>
                <w:rFonts w:eastAsia="微軟正黑體"/>
                <w:sz w:val="19"/>
                <w:szCs w:val="19"/>
              </w:rPr>
              <w:t>AspNetUserLogins</w:t>
            </w:r>
            <w:r>
              <w:rPr>
                <w:rFonts w:eastAsia="微軟正黑體"/>
                <w:sz w:val="19"/>
                <w:szCs w:val="19"/>
              </w:rPr>
              <w:t>／</w:t>
            </w:r>
            <w:r>
              <w:rPr>
                <w:rFonts w:eastAsia="微軟正黑體"/>
                <w:sz w:val="19"/>
                <w:szCs w:val="19"/>
              </w:rPr>
              <w:t>AspNetUserTokens</w:t>
            </w:r>
          </w:p>
        </w:tc>
        <w:tc>
          <w:tcPr>
            <w:tcW w:w="53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ASP.NET Core Identity </w:t>
            </w:r>
            <w:r>
              <w:rPr>
                <w:rFonts w:eastAsia="微軟正黑體"/>
                <w:sz w:val="19"/>
                <w:szCs w:val="19"/>
              </w:rPr>
              <w:t>標準表（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ApplicationRole</w:t>
            </w:r>
            <w:r>
              <w:rPr>
                <w:rFonts w:eastAsia="微軟正黑體"/>
                <w:sz w:val="19"/>
                <w:szCs w:val="19"/>
              </w:rPr>
              <w:t xml:space="preserve"> </w:t>
            </w:r>
            <w:r>
              <w:rPr>
                <w:rFonts w:eastAsia="微軟正黑體"/>
                <w:sz w:val="19"/>
                <w:szCs w:val="19"/>
              </w:rPr>
              <w:t>另含狀態、生效期間、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ScopeType</w:t>
            </w:r>
            <w:r>
              <w:rPr>
                <w:rFonts w:eastAsia="微軟正黑體"/>
                <w:sz w:val="19"/>
                <w:szCs w:val="19"/>
              </w:rPr>
              <w:t>、</w:t>
            </w:r>
            <w:r>
              <w:rPr>
                <w:rFonts w:eastAsia="Consolas" w:cs="Consolas" w:ascii="Consolas" w:hAnsi="Consolas"/>
                <w:sz w:val="19"/>
                <w:szCs w:val="19"/>
              </w:rPr>
              <w:t>TenantLabId</w:t>
            </w:r>
            <w:r>
              <w:rPr>
                <w:rFonts w:eastAsia="微軟正黑體"/>
                <w:sz w:val="19"/>
                <w:szCs w:val="19"/>
              </w:rPr>
              <w:t>）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core.UserRefreshTokens</w:t>
            </w:r>
          </w:p>
        </w:tc>
        <w:tc>
          <w:tcPr>
            <w:tcW w:w="53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裝置工作階段與 </w:t>
            </w:r>
            <w:r>
              <w:rPr>
                <w:rFonts w:eastAsia="微軟正黑體"/>
                <w:sz w:val="19"/>
                <w:szCs w:val="19"/>
              </w:rPr>
              <w:t>Refresh Token</w:t>
            </w:r>
            <w:r>
              <w:rPr>
                <w:rFonts w:eastAsia="微軟正黑體"/>
                <w:sz w:val="19"/>
                <w:szCs w:val="19"/>
              </w:rPr>
              <w:t>（</w:t>
            </w:r>
            <w:r>
              <w:rPr>
                <w:rFonts w:eastAsia="微軟正黑體"/>
                <w:sz w:val="19"/>
                <w:szCs w:val="19"/>
              </w:rPr>
              <w:t xml:space="preserve">SHA-256 </w:t>
            </w:r>
            <w:r>
              <w:rPr>
                <w:rFonts w:eastAsia="微軟正黑體"/>
                <w:sz w:val="19"/>
                <w:szCs w:val="19"/>
              </w:rPr>
              <w:t>雜湊）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core.Role_Global_Permissions</w:t>
            </w:r>
          </w:p>
        </w:tc>
        <w:tc>
          <w:tcPr>
            <w:tcW w:w="53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角色全域權限（模組鍵＋位元遮罩）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core.User_Global_Permissions</w:t>
            </w:r>
            <w:r>
              <w:rPr>
                <w:rFonts w:eastAsia="微軟正黑體"/>
                <w:sz w:val="19"/>
                <w:szCs w:val="19"/>
              </w:rPr>
              <w:t>／</w:t>
            </w:r>
            <w:r>
              <w:rPr>
                <w:rFonts w:eastAsia="微軟正黑體"/>
                <w:sz w:val="19"/>
                <w:szCs w:val="19"/>
              </w:rPr>
              <w:t>User_Lab_Permissions</w:t>
            </w:r>
          </w:p>
        </w:tc>
        <w:tc>
          <w:tcPr>
            <w:tcW w:w="53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使用者全域／實驗室直接權限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core.PermissionGrants</w:t>
            </w:r>
          </w:p>
        </w:tc>
        <w:tc>
          <w:tcPr>
            <w:tcW w:w="53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實驗室層級角色授權（位元向量）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core.Permissions</w:t>
            </w:r>
            <w:r>
              <w:rPr>
                <w:rFonts w:eastAsia="微軟正黑體"/>
                <w:sz w:val="19"/>
                <w:szCs w:val="19"/>
              </w:rPr>
              <w:t>／</w:t>
            </w:r>
            <w:r>
              <w:rPr>
                <w:rFonts w:eastAsia="微軟正黑體"/>
                <w:sz w:val="19"/>
                <w:szCs w:val="19"/>
              </w:rPr>
              <w:t>PermissionMetadata</w:t>
            </w:r>
          </w:p>
        </w:tc>
        <w:tc>
          <w:tcPr>
            <w:tcW w:w="53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權限註冊與元資料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core.ControllerMetadatas</w:t>
            </w:r>
            <w:r>
              <w:rPr>
                <w:rFonts w:eastAsia="微軟正黑體"/>
                <w:sz w:val="19"/>
                <w:szCs w:val="19"/>
              </w:rPr>
              <w:t>／</w:t>
            </w:r>
            <w:r>
              <w:rPr>
                <w:rFonts w:eastAsia="微軟正黑體"/>
                <w:sz w:val="19"/>
                <w:szCs w:val="19"/>
              </w:rPr>
              <w:t>ModuleMetadatas</w:t>
            </w:r>
          </w:p>
        </w:tc>
        <w:tc>
          <w:tcPr>
            <w:tcW w:w="53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動態 </w:t>
            </w:r>
            <w:r>
              <w:rPr>
                <w:rFonts w:eastAsia="微軟正黑體"/>
                <w:sz w:val="19"/>
                <w:szCs w:val="19"/>
              </w:rPr>
              <w:t>Controller</w:t>
            </w:r>
            <w:r>
              <w:rPr>
                <w:rFonts w:eastAsia="微軟正黑體"/>
                <w:sz w:val="19"/>
                <w:szCs w:val="19"/>
              </w:rPr>
              <w:t>／</w:t>
            </w:r>
            <w:r>
              <w:rPr>
                <w:rFonts w:eastAsia="微軟正黑體"/>
                <w:sz w:val="19"/>
                <w:szCs w:val="19"/>
              </w:rPr>
              <w:t xml:space="preserve">Action </w:t>
            </w:r>
            <w:r>
              <w:rPr>
                <w:rFonts w:eastAsia="微軟正黑體"/>
                <w:sz w:val="19"/>
                <w:szCs w:val="19"/>
              </w:rPr>
              <w:t>與模組元資料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core.MenuItems</w:t>
            </w:r>
          </w:p>
        </w:tc>
        <w:tc>
          <w:tcPr>
            <w:tcW w:w="53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選單樹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core.LabFunctionScopes</w:t>
            </w:r>
            <w:r>
              <w:rPr>
                <w:rFonts w:eastAsia="微軟正黑體"/>
                <w:sz w:val="19"/>
                <w:szCs w:val="19"/>
              </w:rPr>
              <w:t>／</w:t>
            </w:r>
            <w:r>
              <w:rPr>
                <w:rFonts w:eastAsia="微軟正黑體"/>
                <w:sz w:val="19"/>
                <w:szCs w:val="19"/>
              </w:rPr>
              <w:t>LabFunctionPolicies</w:t>
            </w:r>
          </w:p>
        </w:tc>
        <w:tc>
          <w:tcPr>
            <w:tcW w:w="53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區域實驗室功能開放範圍與政策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core.LabManagers</w:t>
            </w:r>
            <w:r>
              <w:rPr>
                <w:rFonts w:eastAsia="微軟正黑體"/>
                <w:sz w:val="19"/>
                <w:szCs w:val="19"/>
              </w:rPr>
              <w:t>／</w:t>
            </w:r>
            <w:r>
              <w:rPr>
                <w:rFonts w:eastAsia="微軟正黑體"/>
                <w:sz w:val="19"/>
                <w:szCs w:val="19"/>
              </w:rPr>
              <w:t>UserLabMappings</w:t>
            </w:r>
            <w:r>
              <w:rPr>
                <w:rFonts w:eastAsia="微軟正黑體"/>
                <w:sz w:val="19"/>
                <w:szCs w:val="19"/>
              </w:rPr>
              <w:t>／</w:t>
            </w:r>
            <w:r>
              <w:rPr>
                <w:rFonts w:eastAsia="微軟正黑體"/>
                <w:sz w:val="19"/>
                <w:szCs w:val="19"/>
              </w:rPr>
              <w:t>RoleLabScopes</w:t>
            </w:r>
          </w:p>
        </w:tc>
        <w:tc>
          <w:tcPr>
            <w:tcW w:w="53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實驗室管理者、使用者與實驗室對應、實驗室專屬角色範圍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core.RoleChangeRequests</w:t>
            </w:r>
            <w:r>
              <w:rPr>
                <w:rFonts w:eastAsia="微軟正黑體"/>
                <w:sz w:val="19"/>
                <w:szCs w:val="19"/>
              </w:rPr>
              <w:t>／</w:t>
            </w:r>
            <w:r>
              <w:rPr>
                <w:rFonts w:eastAsia="微軟正黑體"/>
                <w:sz w:val="19"/>
                <w:szCs w:val="19"/>
              </w:rPr>
              <w:t>RoleAuditLogs</w:t>
            </w:r>
          </w:p>
        </w:tc>
        <w:tc>
          <w:tcPr>
            <w:tcW w:w="53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角色變更申請（</w:t>
            </w:r>
            <w:r>
              <w:rPr>
                <w:rFonts w:eastAsia="微軟正黑體"/>
                <w:sz w:val="19"/>
                <w:szCs w:val="19"/>
              </w:rPr>
              <w:t>Maker-Checker</w:t>
            </w:r>
            <w:r>
              <w:rPr>
                <w:rFonts w:eastAsia="微軟正黑體"/>
                <w:sz w:val="19"/>
                <w:szCs w:val="19"/>
              </w:rPr>
              <w:t>）與角色異動稽核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core.SodRules</w:t>
            </w:r>
            <w:r>
              <w:rPr>
                <w:rFonts w:eastAsia="微軟正黑體"/>
                <w:sz w:val="19"/>
                <w:szCs w:val="19"/>
              </w:rPr>
              <w:t>／</w:t>
            </w:r>
            <w:r>
              <w:rPr>
                <w:rFonts w:eastAsia="微軟正黑體"/>
                <w:sz w:val="19"/>
                <w:szCs w:val="19"/>
              </w:rPr>
              <w:t>UserRoleExpirations</w:t>
            </w:r>
          </w:p>
        </w:tc>
        <w:tc>
          <w:tcPr>
            <w:tcW w:w="53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職責分離規則、使用者角色到期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core.AccessReviewCampaigns</w:t>
            </w:r>
            <w:r>
              <w:rPr>
                <w:rFonts w:eastAsia="微軟正黑體"/>
                <w:sz w:val="19"/>
                <w:szCs w:val="19"/>
              </w:rPr>
              <w:t>／</w:t>
            </w:r>
            <w:r>
              <w:rPr>
                <w:rFonts w:eastAsia="微軟正黑體"/>
                <w:sz w:val="19"/>
                <w:szCs w:val="19"/>
              </w:rPr>
              <w:t>AccessReviewItems</w:t>
            </w:r>
            <w:r>
              <w:rPr>
                <w:rFonts w:eastAsia="微軟正黑體"/>
                <w:sz w:val="19"/>
                <w:szCs w:val="19"/>
              </w:rPr>
              <w:t>／</w:t>
            </w:r>
            <w:r>
              <w:rPr>
                <w:rFonts w:eastAsia="微軟正黑體"/>
                <w:sz w:val="19"/>
                <w:szCs w:val="19"/>
              </w:rPr>
              <w:t>RemediationTickets</w:t>
            </w:r>
          </w:p>
        </w:tc>
        <w:tc>
          <w:tcPr>
            <w:tcW w:w="53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存取覆核活動、項目與矯正工單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core.UserResourceGrants</w:t>
            </w:r>
          </w:p>
        </w:tc>
        <w:tc>
          <w:tcPr>
            <w:tcW w:w="53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使用者資源層級授權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core.AuditLogs</w:t>
            </w:r>
            <w:r>
              <w:rPr>
                <w:rFonts w:eastAsia="微軟正黑體"/>
                <w:sz w:val="19"/>
                <w:szCs w:val="19"/>
              </w:rPr>
              <w:t>（</w:t>
            </w:r>
            <w:r>
              <w:rPr>
                <w:rFonts w:eastAsia="微軟正黑體"/>
                <w:sz w:val="19"/>
                <w:szCs w:val="19"/>
              </w:rPr>
              <w:t>Ledger</w:t>
            </w:r>
            <w:r>
              <w:rPr>
                <w:rFonts w:eastAsia="微軟正黑體"/>
                <w:sz w:val="19"/>
                <w:szCs w:val="19"/>
              </w:rPr>
              <w:t>）／</w:t>
            </w:r>
            <w:r>
              <w:rPr>
                <w:rFonts w:eastAsia="微軟正黑體"/>
                <w:sz w:val="19"/>
                <w:szCs w:val="19"/>
              </w:rPr>
              <w:t>SecurityAuditLedger</w:t>
            </w:r>
            <w:r>
              <w:rPr>
                <w:rFonts w:eastAsia="微軟正黑體"/>
                <w:sz w:val="19"/>
                <w:szCs w:val="19"/>
              </w:rPr>
              <w:t>／</w:t>
            </w:r>
            <w:r>
              <w:rPr>
                <w:rFonts w:eastAsia="微軟正黑體"/>
                <w:sz w:val="19"/>
                <w:szCs w:val="19"/>
              </w:rPr>
              <w:t>SecurityLog</w:t>
            </w:r>
            <w:r>
              <w:rPr>
                <w:rFonts w:eastAsia="微軟正黑體"/>
                <w:sz w:val="19"/>
                <w:szCs w:val="19"/>
              </w:rPr>
              <w:t>／</w:t>
            </w:r>
            <w:r>
              <w:rPr>
                <w:rFonts w:eastAsia="微軟正黑體"/>
                <w:sz w:val="19"/>
                <w:szCs w:val="19"/>
              </w:rPr>
              <w:t>SystemLogs</w:t>
            </w:r>
          </w:p>
        </w:tc>
        <w:tc>
          <w:tcPr>
            <w:tcW w:w="53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稽核（雜湊鏈＋</w:t>
            </w:r>
            <w:r>
              <w:rPr>
                <w:rFonts w:eastAsia="微軟正黑體"/>
                <w:sz w:val="19"/>
                <w:szCs w:val="19"/>
              </w:rPr>
              <w:t>Ledger</w:t>
            </w:r>
            <w:r>
              <w:rPr>
                <w:rFonts w:eastAsia="微軟正黑體"/>
                <w:sz w:val="19"/>
                <w:szCs w:val="19"/>
              </w:rPr>
              <w:t>）、資安稽核、資安日誌、系統日誌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core.OutboxMessages</w:t>
            </w:r>
          </w:p>
        </w:tc>
        <w:tc>
          <w:tcPr>
            <w:tcW w:w="53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Outbox </w:t>
            </w:r>
            <w:r>
              <w:rPr>
                <w:rFonts w:eastAsia="微軟正黑體"/>
                <w:sz w:val="19"/>
                <w:szCs w:val="19"/>
              </w:rPr>
              <w:t>事件（可靠投遞）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org.Organization</w:t>
            </w:r>
          </w:p>
        </w:tc>
        <w:tc>
          <w:tcPr>
            <w:tcW w:w="53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組織／實驗室（</w:t>
            </w:r>
            <w:r>
              <w:rPr>
                <w:rFonts w:eastAsia="微軟正黑體"/>
                <w:sz w:val="19"/>
                <w:szCs w:val="19"/>
              </w:rPr>
              <w:t xml:space="preserve">HierarchyId </w:t>
            </w:r>
            <w:r>
              <w:rPr>
                <w:rFonts w:eastAsia="微軟正黑體"/>
                <w:sz w:val="19"/>
                <w:szCs w:val="19"/>
              </w:rPr>
              <w:t>階層）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org.UserLaboratory</w:t>
            </w:r>
          </w:p>
        </w:tc>
        <w:tc>
          <w:tcPr>
            <w:tcW w:w="53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使用者所屬實驗室（主要／兼任）</w:t>
            </w:r>
          </w:p>
        </w:tc>
      </w:tr>
      <w:tr>
        <w:trPr>
          <w:cantSplit/>
        </w:trPr>
        <w:tc>
          <w:tcPr>
            <w:tcW w:w="43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org.AuditLogs</w:t>
            </w:r>
            <w:r>
              <w:rPr>
                <w:rFonts w:eastAsia="微軟正黑體"/>
                <w:sz w:val="19"/>
                <w:szCs w:val="19"/>
              </w:rPr>
              <w:t>／</w:t>
            </w:r>
            <w:r>
              <w:rPr>
                <w:rFonts w:eastAsia="微軟正黑體"/>
                <w:sz w:val="19"/>
                <w:szCs w:val="19"/>
              </w:rPr>
              <w:t>org.OutboxMessages</w:t>
            </w:r>
          </w:p>
        </w:tc>
        <w:tc>
          <w:tcPr>
            <w:tcW w:w="53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ORG </w:t>
            </w:r>
            <w:r>
              <w:rPr>
                <w:rFonts w:eastAsia="微軟正黑體"/>
                <w:sz w:val="19"/>
                <w:szCs w:val="19"/>
              </w:rPr>
              <w:t xml:space="preserve">模組稽核與 </w:t>
            </w:r>
            <w:r>
              <w:rPr>
                <w:rFonts w:eastAsia="微軟正黑體"/>
                <w:sz w:val="19"/>
                <w:szCs w:val="19"/>
              </w:rPr>
              <w:t>Outbox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85" w:name="__RefHeading___Toc3354_1895412299"/>
      <w:bookmarkStart w:id="86" w:name="_Toc243493486"/>
      <w:bookmarkEnd w:id="85"/>
      <w:r>
        <w:rPr/>
        <w:t>6.2 ERD</w:t>
      </w:r>
      <w:bookmarkEnd w:id="86"/>
    </w:p>
    <w:p>
      <w:pPr>
        <w:pStyle w:val="Normal"/>
        <w:spacing w:lineRule="auto" w:line="300" w:before="0" w:after="100"/>
        <w:rPr/>
      </w:pPr>
      <w:r>
        <w:rPr>
          <w:rFonts w:eastAsia="微軟正黑體"/>
        </w:rPr>
        <w:t>下圖為主要資料表之關聯（</w:t>
      </w:r>
      <w:r>
        <w:rPr>
          <w:rFonts w:eastAsia="微軟正黑體"/>
        </w:rPr>
        <w:t>1</w:t>
      </w:r>
      <w:r>
        <w:rPr>
          <w:rFonts w:eastAsia="微軟正黑體"/>
        </w:rPr>
        <w:t>＝一；</w:t>
      </w:r>
      <w:r>
        <w:rPr>
          <w:rFonts w:eastAsia="微軟正黑體"/>
        </w:rPr>
        <w:t>*</w:t>
      </w:r>
      <w:r>
        <w:rPr>
          <w:rFonts w:eastAsia="微軟正黑體"/>
        </w:rPr>
        <w:t xml:space="preserve">＝多）；各資料表欄位定義見 </w:t>
      </w:r>
      <w:r>
        <w:rPr>
          <w:rFonts w:eastAsia="微軟正黑體"/>
        </w:rPr>
        <w:t>6.1</w:t>
      </w:r>
      <w:r>
        <w:rPr>
          <w:rFonts w:eastAsia="微軟正黑體"/>
        </w:rPr>
        <w:t xml:space="preserve">。若需完整模型圖，可由 </w:t>
      </w:r>
      <w:r>
        <w:rPr>
          <w:rFonts w:eastAsia="微軟正黑體"/>
        </w:rPr>
        <w:t xml:space="preserve">EF Core Power Tools </w:t>
      </w:r>
      <w:r>
        <w:rPr>
          <w:rFonts w:eastAsia="微軟正黑體"/>
        </w:rPr>
        <w:t xml:space="preserve">或 </w:t>
      </w:r>
      <w:r>
        <w:rPr>
          <w:rFonts w:eastAsia="微軟正黑體"/>
        </w:rPr>
        <w:t xml:space="preserve">draw.io </w:t>
      </w:r>
      <w:r>
        <w:rPr>
          <w:rFonts w:eastAsia="微軟正黑體"/>
        </w:rPr>
        <w:t>依模型產生後置入本節。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939790" cy="3001010"/>
            <wp:effectExtent l="0" t="0" r="0" b="0"/>
            <wp:docPr id="10" name="ERD" descr="資料表關聯圖（ERD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ERD" descr="資料表關聯圖（ERD）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001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00"/>
        <w:jc w:val="center"/>
        <w:rPr/>
      </w:pPr>
      <w:r>
        <w:rPr>
          <w:rFonts w:eastAsia="微軟正黑體"/>
          <w:b/>
          <w:bCs/>
        </w:rPr>
        <w:t xml:space="preserve">圖 </w:t>
      </w:r>
      <w:r>
        <w:rPr>
          <w:rFonts w:eastAsia="微軟正黑體"/>
          <w:b/>
          <w:bCs/>
        </w:rPr>
        <w:t>6-1</w:t>
      </w:r>
      <w:r>
        <w:rPr>
          <w:rFonts w:eastAsia="微軟正黑體"/>
          <w:b/>
          <w:bCs/>
        </w:rPr>
        <w:t>　資料表關聯圖（</w:t>
      </w:r>
      <w:r>
        <w:rPr>
          <w:rFonts w:eastAsia="微軟正黑體"/>
          <w:b/>
          <w:bCs/>
        </w:rPr>
        <w:t>ERD</w:t>
      </w:r>
      <w:r>
        <w:rPr>
          <w:rFonts w:eastAsia="微軟正黑體"/>
          <w:b/>
          <w:bCs/>
        </w:rPr>
        <w:t>）</w:t>
      </w:r>
    </w:p>
    <w:p>
      <w:pPr>
        <w:pStyle w:val="Normal"/>
        <w:spacing w:before="0" w:after="80"/>
        <w:rPr/>
      </w:pPr>
      <w:r>
        <w:rPr/>
      </w:r>
    </w:p>
    <w:p>
      <w:pPr>
        <w:pStyle w:val="Heading1"/>
        <w:rPr/>
      </w:pPr>
      <w:bookmarkStart w:id="87" w:name="__RefHeading___Toc3356_1895412299"/>
      <w:bookmarkStart w:id="88" w:name="_Toc243493487"/>
      <w:bookmarkEnd w:id="87"/>
      <w:r>
        <w:rPr/>
        <w:t xml:space="preserve">7. </w:t>
      </w:r>
      <w:r>
        <w:rPr/>
        <w:t>附錄</w:t>
      </w:r>
      <w:bookmarkEnd w:id="88"/>
    </w:p>
    <w:p>
      <w:pPr>
        <w:pStyle w:val="Heading2"/>
        <w:rPr/>
      </w:pPr>
      <w:bookmarkStart w:id="89" w:name="__RefHeading___Toc3358_1895412299"/>
      <w:bookmarkStart w:id="90" w:name="_Toc243493488"/>
      <w:bookmarkEnd w:id="89"/>
      <w:r>
        <w:rPr/>
        <w:t xml:space="preserve">7.1 </w:t>
      </w:r>
      <w:r>
        <w:rPr/>
        <w:t>參考書目</w:t>
      </w:r>
      <w:bookmarkEnd w:id="90"/>
    </w:p>
    <w:p>
      <w:pPr>
        <w:pStyle w:val="ListParagraph"/>
        <w:numPr>
          <w:ilvl w:val="0"/>
          <w:numId w:val="3"/>
        </w:numPr>
        <w:spacing w:lineRule="auto" w:line="290" w:before="0" w:after="60"/>
        <w:rPr/>
      </w:pPr>
      <w:r>
        <w:rPr>
          <w:rFonts w:eastAsia="微軟正黑體"/>
        </w:rPr>
        <w:t xml:space="preserve">ISO/IEC 27001 </w:t>
      </w:r>
      <w:r>
        <w:rPr>
          <w:rFonts w:eastAsia="微軟正黑體"/>
        </w:rPr>
        <w:t>資訊安全管理系統；</w:t>
      </w:r>
      <w:r>
        <w:rPr>
          <w:rFonts w:eastAsia="微軟正黑體"/>
        </w:rPr>
        <w:t xml:space="preserve">ISO/IEC 17025 </w:t>
      </w:r>
      <w:r>
        <w:rPr>
          <w:rFonts w:eastAsia="微軟正黑體"/>
        </w:rPr>
        <w:t>檢測與校正實驗室能力一般要求；《資通安全管理法》。</w:t>
      </w:r>
    </w:p>
    <w:p>
      <w:pPr>
        <w:pStyle w:val="ListParagraph"/>
        <w:numPr>
          <w:ilvl w:val="0"/>
          <w:numId w:val="3"/>
        </w:numPr>
        <w:spacing w:lineRule="auto" w:line="290" w:before="0" w:after="60"/>
        <w:rPr/>
      </w:pPr>
      <w:r>
        <w:rPr>
          <w:rFonts w:eastAsia="微軟正黑體"/>
        </w:rPr>
        <w:t>Microsoft Learn</w:t>
      </w:r>
      <w:r>
        <w:rPr>
          <w:rFonts w:eastAsia="微軟正黑體"/>
        </w:rPr>
        <w:t>：</w:t>
      </w:r>
      <w:r>
        <w:rPr>
          <w:rFonts w:eastAsia="微軟正黑體"/>
        </w:rPr>
        <w:t>.NET 10</w:t>
      </w:r>
      <w:r>
        <w:rPr>
          <w:rFonts w:eastAsia="微軟正黑體"/>
        </w:rPr>
        <w:t>、</w:t>
      </w:r>
      <w:r>
        <w:rPr>
          <w:rFonts w:eastAsia="微軟正黑體"/>
        </w:rPr>
        <w:t>ASP.NET Core</w:t>
      </w:r>
      <w:r>
        <w:rPr>
          <w:rFonts w:eastAsia="微軟正黑體"/>
        </w:rPr>
        <w:t>（</w:t>
      </w:r>
      <w:r>
        <w:rPr>
          <w:rFonts w:eastAsia="微軟正黑體"/>
        </w:rPr>
        <w:t>JwtBearer</w:t>
      </w:r>
      <w:r>
        <w:rPr>
          <w:rFonts w:eastAsia="微軟正黑體"/>
        </w:rPr>
        <w:t>、</w:t>
      </w:r>
      <w:r>
        <w:rPr>
          <w:rFonts w:eastAsia="微軟正黑體"/>
        </w:rPr>
        <w:t>SignalR</w:t>
      </w:r>
      <w:r>
        <w:rPr>
          <w:rFonts w:eastAsia="微軟正黑體"/>
        </w:rPr>
        <w:t>、</w:t>
      </w:r>
      <w:r>
        <w:rPr>
          <w:rFonts w:eastAsia="微軟正黑體"/>
        </w:rPr>
        <w:t>Data Protection</w:t>
      </w:r>
      <w:r>
        <w:rPr>
          <w:rFonts w:eastAsia="微軟正黑體"/>
        </w:rPr>
        <w:t>）、</w:t>
      </w:r>
      <w:r>
        <w:rPr>
          <w:rFonts w:eastAsia="微軟正黑體"/>
        </w:rPr>
        <w:t>EF Core 10</w:t>
      </w:r>
      <w:r>
        <w:rPr>
          <w:rFonts w:eastAsia="微軟正黑體"/>
        </w:rPr>
        <w:t>、</w:t>
      </w:r>
      <w:r>
        <w:rPr>
          <w:rFonts w:eastAsia="微軟正黑體"/>
        </w:rPr>
        <w:t>SQL Server Ledger</w:t>
      </w:r>
      <w:r>
        <w:rPr>
          <w:rFonts w:eastAsia="微軟正黑體"/>
        </w:rPr>
        <w:t>、</w:t>
      </w:r>
      <w:r>
        <w:rPr>
          <w:rFonts w:eastAsia="Consolas" w:cs="Consolas" w:ascii="Consolas" w:hAnsi="Consolas"/>
          <w:sz w:val="19"/>
          <w:szCs w:val="19"/>
        </w:rPr>
        <w:t>AssemblyLoadContext</w:t>
      </w:r>
      <w:r>
        <w:rPr>
          <w:rFonts w:eastAsia="微軟正黑體"/>
        </w:rPr>
        <w:t>。</w:t>
      </w:r>
    </w:p>
    <w:p>
      <w:pPr>
        <w:pStyle w:val="Heading2"/>
        <w:rPr/>
      </w:pPr>
      <w:bookmarkStart w:id="91" w:name="__RefHeading___Toc3360_1895412299"/>
      <w:bookmarkStart w:id="92" w:name="_Toc243493489"/>
      <w:bookmarkEnd w:id="91"/>
      <w:r>
        <w:rPr/>
        <w:t xml:space="preserve">7.2 </w:t>
      </w:r>
      <w:r>
        <w:rPr/>
        <w:t>專有名詞解釋</w:t>
      </w:r>
      <w:bookmarkEnd w:id="92"/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3000"/>
        <w:gridCol w:w="6638"/>
      </w:tblGrid>
      <w:tr>
        <w:trPr>
          <w:tblHeader w:val="true"/>
        </w:trPr>
        <w:tc>
          <w:tcPr>
            <w:tcW w:w="3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名詞</w:t>
            </w:r>
          </w:p>
        </w:tc>
        <w:tc>
          <w:tcPr>
            <w:tcW w:w="66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說明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Modular Monolith</w:t>
            </w:r>
          </w:p>
        </w:tc>
        <w:tc>
          <w:tcPr>
            <w:tcW w:w="66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單一部署單元內，以邊界清楚的模組組織程式碼。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Clean Architecture</w:t>
            </w:r>
          </w:p>
        </w:tc>
        <w:tc>
          <w:tcPr>
            <w:tcW w:w="66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依賴由外向內、業務規則不依賴基礎設施的分層架構。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CQRS</w:t>
            </w:r>
          </w:p>
        </w:tc>
        <w:tc>
          <w:tcPr>
            <w:tcW w:w="66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將寫入（</w:t>
            </w:r>
            <w:r>
              <w:rPr>
                <w:rFonts w:eastAsia="微軟正黑體"/>
                <w:sz w:val="19"/>
                <w:szCs w:val="19"/>
              </w:rPr>
              <w:t>Command</w:t>
            </w:r>
            <w:r>
              <w:rPr>
                <w:rFonts w:eastAsia="微軟正黑體"/>
                <w:sz w:val="19"/>
                <w:szCs w:val="19"/>
              </w:rPr>
              <w:t>）與讀取（</w:t>
            </w:r>
            <w:r>
              <w:rPr>
                <w:rFonts w:eastAsia="微軟正黑體"/>
                <w:sz w:val="19"/>
                <w:szCs w:val="19"/>
              </w:rPr>
              <w:t>Query</w:t>
            </w:r>
            <w:r>
              <w:rPr>
                <w:rFonts w:eastAsia="微軟正黑體"/>
                <w:sz w:val="19"/>
                <w:szCs w:val="19"/>
              </w:rPr>
              <w:t>）責任分離的模式。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Bitmask</w:t>
            </w:r>
            <w:r>
              <w:rPr>
                <w:rFonts w:eastAsia="微軟正黑體"/>
                <w:sz w:val="19"/>
                <w:szCs w:val="19"/>
              </w:rPr>
              <w:t>／位元向量</w:t>
            </w:r>
          </w:p>
        </w:tc>
        <w:tc>
          <w:tcPr>
            <w:tcW w:w="66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以位元表示權限有無；超過 </w:t>
            </w:r>
            <w:r>
              <w:rPr>
                <w:rFonts w:eastAsia="微軟正黑體"/>
                <w:sz w:val="19"/>
                <w:szCs w:val="19"/>
              </w:rPr>
              <w:t xml:space="preserve">64 </w:t>
            </w:r>
            <w:r>
              <w:rPr>
                <w:rFonts w:eastAsia="微軟正黑體"/>
                <w:sz w:val="19"/>
                <w:szCs w:val="19"/>
              </w:rPr>
              <w:t>位元時以位元組陣列儲存，位元位置為註冊表全域索引。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Maker-Checker</w:t>
            </w:r>
          </w:p>
        </w:tc>
        <w:tc>
          <w:tcPr>
            <w:tcW w:w="66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提出者與核准者分離；權限變更須由他人核准才生效。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SoD</w:t>
            </w:r>
            <w:r>
              <w:rPr>
                <w:rFonts w:eastAsia="微軟正黑體"/>
                <w:sz w:val="19"/>
                <w:szCs w:val="19"/>
              </w:rPr>
              <w:t>（職責分離）</w:t>
            </w:r>
          </w:p>
        </w:tc>
        <w:tc>
          <w:tcPr>
            <w:tcW w:w="66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避免單一人員同時擁有互相衝突的權限。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Hash Chain</w:t>
            </w:r>
            <w:r>
              <w:rPr>
                <w:rFonts w:eastAsia="微軟正黑體"/>
                <w:sz w:val="19"/>
                <w:szCs w:val="19"/>
              </w:rPr>
              <w:t>（雜湊鏈）</w:t>
            </w:r>
          </w:p>
        </w:tc>
        <w:tc>
          <w:tcPr>
            <w:tcW w:w="66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每筆紀錄含前一筆雜湊，竄改任一筆即破壞鏈結。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SQL Server Ledger</w:t>
            </w:r>
          </w:p>
        </w:tc>
        <w:tc>
          <w:tcPr>
            <w:tcW w:w="66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資料庫層防篡改資料表；</w:t>
            </w:r>
            <w:r>
              <w:rPr>
                <w:rFonts w:eastAsia="微軟正黑體"/>
                <w:sz w:val="19"/>
                <w:szCs w:val="19"/>
              </w:rPr>
              <w:t xml:space="preserve">APPEND_ONLY </w:t>
            </w:r>
            <w:r>
              <w:rPr>
                <w:rFonts w:eastAsia="微軟正黑體"/>
                <w:sz w:val="19"/>
                <w:szCs w:val="19"/>
              </w:rPr>
              <w:t>僅允許新增。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AssemblyLoadContext</w:t>
            </w:r>
            <w:r>
              <w:rPr>
                <w:rFonts w:eastAsia="微軟正黑體"/>
                <w:sz w:val="19"/>
                <w:szCs w:val="19"/>
              </w:rPr>
              <w:t>（</w:t>
            </w:r>
            <w:r>
              <w:rPr>
                <w:rFonts w:eastAsia="微軟正黑體"/>
                <w:sz w:val="19"/>
                <w:szCs w:val="19"/>
              </w:rPr>
              <w:t>ALC</w:t>
            </w:r>
            <w:r>
              <w:rPr>
                <w:rFonts w:eastAsia="微軟正黑體"/>
                <w:sz w:val="19"/>
                <w:szCs w:val="19"/>
              </w:rPr>
              <w:t>）</w:t>
            </w:r>
          </w:p>
        </w:tc>
        <w:tc>
          <w:tcPr>
            <w:tcW w:w="66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 xml:space="preserve">.NET </w:t>
            </w:r>
            <w:r>
              <w:rPr>
                <w:rFonts w:eastAsia="微軟正黑體"/>
                <w:sz w:val="19"/>
                <w:szCs w:val="19"/>
              </w:rPr>
              <w:t>載入組件的隔離容器，可獨立載入／卸載外掛。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PII</w:t>
            </w:r>
          </w:p>
        </w:tc>
        <w:tc>
          <w:tcPr>
            <w:tcW w:w="66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個人可識別資訊。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SPA</w:t>
            </w:r>
          </w:p>
        </w:tc>
        <w:tc>
          <w:tcPr>
            <w:tcW w:w="6638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單頁應用（</w:t>
            </w:r>
            <w:r>
              <w:rPr>
                <w:rFonts w:eastAsia="微軟正黑體"/>
                <w:sz w:val="19"/>
                <w:szCs w:val="19"/>
              </w:rPr>
              <w:t>Single Page Application</w:t>
            </w:r>
            <w:r>
              <w:rPr>
                <w:rFonts w:eastAsia="微軟正黑體"/>
                <w:sz w:val="19"/>
                <w:szCs w:val="19"/>
              </w:rPr>
              <w:t xml:space="preserve">）：瀏覽器載入一次後，透過 </w:t>
            </w:r>
            <w:r>
              <w:rPr>
                <w:rFonts w:eastAsia="微軟正黑體"/>
                <w:sz w:val="19"/>
                <w:szCs w:val="19"/>
              </w:rPr>
              <w:t xml:space="preserve">REST API </w:t>
            </w:r>
            <w:r>
              <w:rPr>
                <w:rFonts w:eastAsia="微軟正黑體"/>
                <w:sz w:val="19"/>
                <w:szCs w:val="19"/>
              </w:rPr>
              <w:t>取得資料並動態更新畫面。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93" w:name="__RefHeading___Toc3362_1895412299"/>
      <w:bookmarkStart w:id="94" w:name="_Toc243493490"/>
      <w:bookmarkEnd w:id="93"/>
      <w:r>
        <w:rPr/>
        <w:t xml:space="preserve">7.3 </w:t>
      </w:r>
      <w:r>
        <w:rPr/>
        <w:t>專有名詞中英對照</w:t>
      </w:r>
      <w:bookmarkEnd w:id="94"/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4792"/>
        <w:gridCol w:w="4846"/>
      </w:tblGrid>
      <w:tr>
        <w:trPr>
          <w:tblHeader w:val="true"/>
        </w:trPr>
        <w:tc>
          <w:tcPr>
            <w:tcW w:w="479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中文</w:t>
            </w:r>
          </w:p>
        </w:tc>
        <w:tc>
          <w:tcPr>
            <w:tcW w:w="4846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  <w:shd w:color="auto" w:fill="1F4E79" w:val="clear"/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English</w:t>
            </w:r>
          </w:p>
        </w:tc>
      </w:tr>
      <w:tr>
        <w:trPr>
          <w:cantSplit/>
        </w:trPr>
        <w:tc>
          <w:tcPr>
            <w:tcW w:w="479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稽核日誌</w:t>
            </w:r>
          </w:p>
        </w:tc>
        <w:tc>
          <w:tcPr>
            <w:tcW w:w="4846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Audit Log</w:t>
            </w:r>
          </w:p>
        </w:tc>
      </w:tr>
      <w:tr>
        <w:trPr>
          <w:cantSplit/>
        </w:trPr>
        <w:tc>
          <w:tcPr>
            <w:tcW w:w="479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雜湊鏈</w:t>
            </w:r>
          </w:p>
        </w:tc>
        <w:tc>
          <w:tcPr>
            <w:tcW w:w="4846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Hash Chain</w:t>
            </w:r>
          </w:p>
        </w:tc>
      </w:tr>
      <w:tr>
        <w:trPr>
          <w:cantSplit/>
        </w:trPr>
        <w:tc>
          <w:tcPr>
            <w:tcW w:w="479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位元遮罩</w:t>
            </w:r>
          </w:p>
        </w:tc>
        <w:tc>
          <w:tcPr>
            <w:tcW w:w="4846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Bitmask</w:t>
            </w:r>
          </w:p>
        </w:tc>
      </w:tr>
      <w:tr>
        <w:trPr>
          <w:cantSplit/>
        </w:trPr>
        <w:tc>
          <w:tcPr>
            <w:tcW w:w="479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角色型存取控制</w:t>
            </w:r>
          </w:p>
        </w:tc>
        <w:tc>
          <w:tcPr>
            <w:tcW w:w="4846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Role-Based Access Control (RBAC)</w:t>
            </w:r>
          </w:p>
        </w:tc>
      </w:tr>
      <w:tr>
        <w:trPr>
          <w:cantSplit/>
        </w:trPr>
        <w:tc>
          <w:tcPr>
            <w:tcW w:w="479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雙重審批</w:t>
            </w:r>
          </w:p>
        </w:tc>
        <w:tc>
          <w:tcPr>
            <w:tcW w:w="4846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Maker-Checker</w:t>
            </w:r>
          </w:p>
        </w:tc>
      </w:tr>
      <w:tr>
        <w:trPr>
          <w:cantSplit/>
        </w:trPr>
        <w:tc>
          <w:tcPr>
            <w:tcW w:w="479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職責分離</w:t>
            </w:r>
          </w:p>
        </w:tc>
        <w:tc>
          <w:tcPr>
            <w:tcW w:w="4846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Segregation of Duties (SoD)</w:t>
            </w:r>
          </w:p>
        </w:tc>
      </w:tr>
      <w:tr>
        <w:trPr>
          <w:cantSplit/>
        </w:trPr>
        <w:tc>
          <w:tcPr>
            <w:tcW w:w="479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工作階段</w:t>
            </w:r>
          </w:p>
        </w:tc>
        <w:tc>
          <w:tcPr>
            <w:tcW w:w="4846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Session</w:t>
            </w:r>
          </w:p>
        </w:tc>
      </w:tr>
      <w:tr>
        <w:trPr>
          <w:cantSplit/>
        </w:trPr>
        <w:tc>
          <w:tcPr>
            <w:tcW w:w="479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換票／續約</w:t>
            </w:r>
          </w:p>
        </w:tc>
        <w:tc>
          <w:tcPr>
            <w:tcW w:w="4846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Token Refresh</w:t>
            </w:r>
          </w:p>
        </w:tc>
      </w:tr>
      <w:tr>
        <w:trPr>
          <w:cantSplit/>
        </w:trPr>
        <w:tc>
          <w:tcPr>
            <w:tcW w:w="479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外掛</w:t>
            </w:r>
          </w:p>
        </w:tc>
        <w:tc>
          <w:tcPr>
            <w:tcW w:w="4846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Plugin</w:t>
            </w:r>
          </w:p>
        </w:tc>
      </w:tr>
      <w:tr>
        <w:trPr>
          <w:cantSplit/>
        </w:trPr>
        <w:tc>
          <w:tcPr>
            <w:tcW w:w="479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模組化單體</w:t>
            </w:r>
          </w:p>
        </w:tc>
        <w:tc>
          <w:tcPr>
            <w:tcW w:w="4846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Modular Monolith</w:t>
            </w:r>
          </w:p>
        </w:tc>
      </w:tr>
      <w:tr>
        <w:trPr>
          <w:cantSplit/>
        </w:trPr>
        <w:tc>
          <w:tcPr>
            <w:tcW w:w="479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資料遮蔽</w:t>
            </w:r>
          </w:p>
        </w:tc>
        <w:tc>
          <w:tcPr>
            <w:tcW w:w="4846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Data Masking</w:t>
            </w:r>
          </w:p>
        </w:tc>
      </w:tr>
      <w:tr>
        <w:trPr>
          <w:cantSplit/>
        </w:trPr>
        <w:tc>
          <w:tcPr>
            <w:tcW w:w="479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不可否認性</w:t>
            </w:r>
          </w:p>
        </w:tc>
        <w:tc>
          <w:tcPr>
            <w:tcW w:w="4846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Non-repudiation</w:t>
            </w:r>
          </w:p>
        </w:tc>
      </w:tr>
      <w:tr>
        <w:trPr>
          <w:cantSplit/>
        </w:trPr>
        <w:tc>
          <w:tcPr>
            <w:tcW w:w="4792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可追溯矩陣</w:t>
            </w:r>
          </w:p>
        </w:tc>
        <w:tc>
          <w:tcPr>
            <w:tcW w:w="4846" w:type="dxa"/>
            <w:tcBorders>
              <w:top w:val="single" w:sz="4" w:space="0" w:color="BFC5CC"/>
              <w:start w:val="single" w:sz="4" w:space="0" w:color="BFC5CC"/>
              <w:bottom w:val="single" w:sz="4" w:space="0" w:color="BFC5CC"/>
              <w:end w:val="single" w:sz="4" w:space="0" w:color="BFC5CC"/>
            </w:tcBorders>
          </w:tcPr>
          <w:p>
            <w:pPr>
              <w:pStyle w:val="Normal"/>
              <w:spacing w:lineRule="auto" w:line="262" w:before="0" w:after="20"/>
              <w:rPr/>
            </w:pPr>
            <w:r>
              <w:rPr>
                <w:rFonts w:eastAsia="微軟正黑體"/>
                <w:sz w:val="19"/>
                <w:szCs w:val="19"/>
              </w:rPr>
              <w:t>Requirements Traceability Matrix (RTM)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rPr/>
      </w:pPr>
      <w:r>
        <w:rPr/>
      </w:r>
    </w:p>
    <w:sectPr>
      <w:footerReference w:type="even" r:id="rId12"/>
      <w:footerReference w:type="default" r:id="rId13"/>
      <w:footerReference w:type="first" r:id="rId14"/>
      <w:type w:val="nextPage"/>
      <w:pgSz w:w="11906" w:h="16838"/>
      <w:pgMar w:left="1134" w:right="1134" w:gutter="0" w:header="0" w:top="1134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微軟正黑體">
    <w:charset w:val="01"/>
    <w:family w:val="swiss"/>
    <w:pitch w:val="variable"/>
  </w:font>
  <w:font w:name="Liberation Mono">
    <w:altName w:val="Courier New"/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Consolas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微軟正黑體"/>
        <w:color w:val="777777"/>
        <w:sz w:val="18"/>
        <w:szCs w:val="18"/>
      </w:rPr>
      <w:t xml:space="preserve">SGS </w:t>
    </w:r>
    <w:r>
      <w:rPr>
        <w:rFonts w:eastAsia="微軟正黑體"/>
        <w:color w:val="777777"/>
        <w:sz w:val="18"/>
        <w:szCs w:val="18"/>
      </w:rPr>
      <w:t xml:space="preserve">基礎框架系統 </w:t>
    </w:r>
    <w:r>
      <w:rPr>
        <w:rFonts w:eastAsia="微軟正黑體"/>
        <w:color w:val="777777"/>
        <w:sz w:val="18"/>
        <w:szCs w:val="18"/>
      </w:rPr>
      <w:t>SDD v1.1</w:t>
    </w:r>
    <w:r>
      <w:rPr>
        <w:rFonts w:eastAsia="微軟正黑體"/>
        <w:color w:val="777777"/>
        <w:sz w:val="18"/>
        <w:szCs w:val="18"/>
      </w:rPr>
      <w:t xml:space="preserve">　第 </w:t>
    </w:r>
    <w:r>
      <w:rPr>
        <w:rFonts w:eastAsia="微軟正黑體"/>
        <w:color w:val="777777"/>
        <w:sz w:val="18"/>
        <w:szCs w:val="18"/>
      </w:rPr>
      <w:fldChar w:fldCharType="begin"/>
    </w:r>
    <w:r>
      <w:rPr>
        <w:rFonts w:eastAsia="微軟正黑體"/>
        <w:color w:val="777777"/>
        <w:sz w:val="18"/>
        <w:szCs w:val="18"/>
      </w:rPr>
      <w:instrText xml:space="preserve"> PAGE </w:instrText>
    </w:r>
    <w:r>
      <w:rPr>
        <w:rFonts w:eastAsia="微軟正黑體"/>
        <w:color w:val="777777"/>
        <w:sz w:val="18"/>
        <w:szCs w:val="18"/>
      </w:rPr>
      <w:fldChar w:fldCharType="separate"/>
    </w:r>
    <w:r>
      <w:rPr>
        <w:rFonts w:eastAsia="微軟正黑體"/>
        <w:color w:val="777777"/>
        <w:sz w:val="18"/>
        <w:szCs w:val="18"/>
      </w:rPr>
      <w:t>31</w:t>
    </w:r>
    <w:r>
      <w:rPr>
        <w:rFonts w:eastAsia="微軟正黑體"/>
        <w:color w:val="777777"/>
        <w:sz w:val="18"/>
        <w:szCs w:val="18"/>
      </w:rPr>
      <w:fldChar w:fldCharType="end"/>
    </w:r>
    <w:r>
      <w:rPr>
        <w:rFonts w:eastAsia="微軟正黑體"/>
        <w:color w:val="777777"/>
        <w:sz w:val="18"/>
        <w:szCs w:val="18"/>
      </w:rPr>
      <w:t xml:space="preserve"> 頁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微軟正黑體"/>
        <w:color w:val="777777"/>
        <w:sz w:val="18"/>
        <w:szCs w:val="18"/>
      </w:rPr>
      <w:t xml:space="preserve">SGS </w:t>
    </w:r>
    <w:r>
      <w:rPr>
        <w:rFonts w:eastAsia="微軟正黑體"/>
        <w:color w:val="777777"/>
        <w:sz w:val="18"/>
        <w:szCs w:val="18"/>
      </w:rPr>
      <w:t xml:space="preserve">基礎框架系統 </w:t>
    </w:r>
    <w:r>
      <w:rPr>
        <w:rFonts w:eastAsia="微軟正黑體"/>
        <w:color w:val="777777"/>
        <w:sz w:val="18"/>
        <w:szCs w:val="18"/>
      </w:rPr>
      <w:t>SDD v1.1</w:t>
    </w:r>
    <w:r>
      <w:rPr>
        <w:rFonts w:eastAsia="微軟正黑體"/>
        <w:color w:val="777777"/>
        <w:sz w:val="18"/>
        <w:szCs w:val="18"/>
      </w:rPr>
      <w:t xml:space="preserve">　第 </w:t>
    </w:r>
    <w:r>
      <w:rPr>
        <w:rFonts w:eastAsia="微軟正黑體"/>
        <w:color w:val="777777"/>
        <w:sz w:val="18"/>
        <w:szCs w:val="18"/>
      </w:rPr>
      <w:fldChar w:fldCharType="begin"/>
    </w:r>
    <w:r>
      <w:rPr>
        <w:rFonts w:eastAsia="微軟正黑體"/>
        <w:color w:val="777777"/>
        <w:sz w:val="18"/>
        <w:szCs w:val="18"/>
      </w:rPr>
      <w:instrText xml:space="preserve"> PAGE </w:instrText>
    </w:r>
    <w:r>
      <w:rPr>
        <w:rFonts w:eastAsia="微軟正黑體"/>
        <w:color w:val="777777"/>
        <w:sz w:val="18"/>
        <w:szCs w:val="18"/>
      </w:rPr>
      <w:fldChar w:fldCharType="separate"/>
    </w:r>
    <w:r>
      <w:rPr>
        <w:rFonts w:eastAsia="微軟正黑體"/>
        <w:color w:val="777777"/>
        <w:sz w:val="18"/>
        <w:szCs w:val="18"/>
      </w:rPr>
      <w:t>31</w:t>
    </w:r>
    <w:r>
      <w:rPr>
        <w:rFonts w:eastAsia="微軟正黑體"/>
        <w:color w:val="777777"/>
        <w:sz w:val="18"/>
        <w:szCs w:val="18"/>
      </w:rPr>
      <w:fldChar w:fldCharType="end"/>
    </w:r>
    <w:r>
      <w:rPr>
        <w:rFonts w:eastAsia="微軟正黑體"/>
        <w:color w:val="777777"/>
        <w:sz w:val="18"/>
        <w:szCs w:val="18"/>
      </w:rPr>
      <w:t xml:space="preserve"> 頁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540" w:hanging="27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000" w:hanging="270"/>
      </w:pPr>
      <w:rPr>
        <w:rFonts w:ascii="Symbol" w:hAnsi="Symbol" w:cs="Symbol" w:hint="default"/>
      </w:rPr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540" w:hanging="27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000" w:hanging="270"/>
      </w:pPr>
      <w:rPr>
        <w:rFonts w:ascii="Symbol" w:hAnsi="Symbol" w:cs="Symbol" w:hint="default"/>
      </w:rPr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3"/>
    <w:lvlOverride w:ilvl="0">
      <w:startOverride w:val="1"/>
    </w:lvlOverride>
  </w:num>
  <w:num w:numId="7">
    <w:abstractNumId w:val="4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59"/>
  <w:defaultTabStop w:val="48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zh-TW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微軟正黑體" w:hAnsi="微軟正黑體" w:eastAsia="新細明體" w:cs="微軟正黑體" w:eastAsiaTheme="minorEastAsia"/>
        <w:sz w:val="21"/>
        <w:szCs w:val="21"/>
        <w:lang w:val="en-US" w:eastAsia="zh-TW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微軟正黑體" w:hAnsi="微軟正黑體" w:eastAsia="新細明體" w:cs="微軟正黑體" w:eastAsiaTheme="minorEastAsia"/>
      <w:color w:val="auto"/>
      <w:kern w:val="0"/>
      <w:sz w:val="21"/>
      <w:szCs w:val="21"/>
      <w:lang w:val="en-US" w:eastAsia="zh-TW" w:bidi="ar-SA"/>
    </w:rPr>
  </w:style>
  <w:style w:type="paragraph" w:styleId="Heading1">
    <w:name w:val="heading 1"/>
    <w:basedOn w:val="Normal"/>
    <w:next w:val="Normal"/>
    <w:uiPriority w:val="9"/>
    <w:qFormat/>
    <w:pPr>
      <w:spacing w:before="360" w:after="160"/>
      <w:outlineLvl w:val="0"/>
    </w:pPr>
    <w:rPr>
      <w:rFonts w:eastAsia="微軟正黑體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240" w:after="120"/>
      <w:outlineLvl w:val="1"/>
    </w:pPr>
    <w:rPr>
      <w:rFonts w:eastAsia="微軟正黑體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180" w:after="80"/>
      <w:outlineLvl w:val="2"/>
    </w:pPr>
    <w:rPr>
      <w:rFonts w:eastAsia="微軟正黑體"/>
      <w:b/>
      <w:bCs/>
      <w:color w:val="404040"/>
      <w:sz w:val="22"/>
      <w:szCs w:val="22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Style8">
    <w:name w:val="註腳字元"/>
    <w:uiPriority w:val="99"/>
    <w:semiHidden/>
    <w:unhideWhenUsed/>
    <w:rPr>
      <w:vertAlign w:val="superscript"/>
    </w:rPr>
  </w:style>
  <w:style w:type="character" w:styleId="user">
    <w:name w:val="註腳字元 (user)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9" w:customStyle="1">
    <w:name w:val="註腳文字 字元"/>
    <w:uiPriority w:val="99"/>
    <w:semiHidden/>
    <w:unhideWhenUsed/>
    <w:rPr>
      <w:sz w:val="20"/>
      <w:szCs w:val="20"/>
    </w:rPr>
  </w:style>
  <w:style w:type="character" w:styleId="Style10">
    <w:name w:val="尾註字元"/>
    <w:uiPriority w:val="99"/>
    <w:semiHidden/>
    <w:unhideWhenUsed/>
    <w:rPr>
      <w:vertAlign w:val="superscript"/>
    </w:rPr>
  </w:style>
  <w:style w:type="character" w:styleId="user1">
    <w:name w:val="尾註字元 (user)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Style11" w:customStyle="1">
    <w:name w:val="章節附註文字 字元"/>
    <w:uiPriority w:val="99"/>
    <w:semiHidden/>
    <w:unhideWhenUsed/>
    <w:rPr>
      <w:sz w:val="20"/>
      <w:szCs w:val="20"/>
    </w:rPr>
  </w:style>
  <w:style w:type="character" w:styleId="Style12" w:customStyle="1">
    <w:name w:val="頁首 字元"/>
    <w:basedOn w:val="DefaultParagraphFont"/>
    <w:uiPriority w:val="99"/>
    <w:rsid w:val="006d6375"/>
    <w:rPr>
      <w:sz w:val="20"/>
      <w:szCs w:val="20"/>
    </w:rPr>
  </w:style>
  <w:style w:type="character" w:styleId="Style13" w:customStyle="1">
    <w:name w:val="頁尾 字元"/>
    <w:basedOn w:val="DefaultParagraphFont"/>
    <w:uiPriority w:val="99"/>
    <w:rsid w:val="006d6375"/>
    <w:rPr>
      <w:sz w:val="20"/>
      <w:szCs w:val="20"/>
    </w:rPr>
  </w:style>
  <w:style w:type="character" w:styleId="Style14">
    <w:name w:val="索引連結"/>
    <w:rPr/>
  </w:style>
  <w:style w:type="character" w:styleId="user2">
    <w:name w:val="索引連結 (user)"/>
    <w:rPr/>
  </w:style>
  <w:style w:type="character" w:styleId="Strong">
    <w:name w:val="Strong"/>
    <w:rPr>
      <w:b/>
      <w:bCs/>
    </w:rPr>
  </w:style>
  <w:style w:type="character" w:styleId="user3">
    <w:name w:val="源碼 (user)"/>
    <w:rPr>
      <w:rFonts w:ascii="Liberation Mono" w:hAnsi="Liberation Mono" w:eastAsia="細明體" w:cs="Liberation Mono"/>
    </w:rPr>
  </w:style>
  <w:style w:type="character" w:styleId="Style15">
    <w:name w:val="項目符號"/>
    <w:rPr>
      <w:rFonts w:ascii="OpenSymbol" w:hAnsi="OpenSymbol" w:eastAsia="OpenSymbol" w:cs="OpenSymbol"/>
    </w:rPr>
  </w:style>
  <w:style w:type="character" w:styleId="Style16">
    <w:name w:val="源碼"/>
    <w:rPr>
      <w:rFonts w:ascii="Liberation Mono" w:hAnsi="Liberation Mono" w:eastAsia="細明體" w:cs="Liberation Mono"/>
    </w:rPr>
  </w:style>
  <w:style w:type="paragraph" w:styleId="Style17">
    <w:name w:val="標題"/>
    <w:basedOn w:val="Normal"/>
    <w:next w:val="BodyText"/>
    <w:pPr>
      <w:keepNext w:val="true"/>
      <w:spacing w:before="240" w:after="120"/>
    </w:pPr>
    <w:rPr>
      <w:rFonts w:ascii="Liberation Sans" w:hAnsi="Liberation Sans" w:eastAsia="Noto Sans TC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8">
    <w:name w:val="索引"/>
    <w:basedOn w:val="Normal"/>
    <w:pPr>
      <w:suppressLineNumbers/>
    </w:pPr>
    <w:rPr>
      <w:rFonts w:cs="Lucida Sans"/>
    </w:rPr>
  </w:style>
  <w:style w:type="paragraph" w:styleId="user4">
    <w:name w:val="標題 (user)"/>
    <w:basedOn w:val="Normal"/>
    <w:next w:val="BodyText"/>
    <w:pPr>
      <w:keepNext w:val="true"/>
      <w:spacing w:before="240" w:after="120"/>
    </w:pPr>
    <w:rPr>
      <w:rFonts w:ascii="Liberation Sans" w:hAnsi="Liberation Sans" w:eastAsia="Noto Sans TC" w:cs="Lucida Sans"/>
      <w:sz w:val="28"/>
      <w:szCs w:val="28"/>
    </w:rPr>
  </w:style>
  <w:style w:type="paragraph" w:styleId="user5">
    <w:name w:val="索引 (user)"/>
    <w:basedOn w:val="Normal"/>
    <w:pPr>
      <w:suppressLineNumbers/>
    </w:pPr>
    <w:rPr>
      <w:rFonts w:cs="Lucida Sans"/>
    </w:rPr>
  </w:style>
  <w:style w:type="paragraph" w:styleId="Title">
    <w:name w:val="Title"/>
    <w:basedOn w:val="Normal"/>
    <w:next w:val="Normal"/>
    <w:uiPriority w:val="10"/>
    <w:qFormat/>
    <w:pPr/>
    <w:rPr>
      <w:sz w:val="56"/>
      <w:szCs w:val="56"/>
    </w:rPr>
  </w:style>
  <w:style w:type="paragraph" w:styleId="1" w:customStyle="1">
    <w:name w:val="強調粗體1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Style9"/>
    <w:uiPriority w:val="99"/>
    <w:semiHidden/>
    <w:unhideWhenUsed/>
    <w:pPr/>
    <w:rPr>
      <w:sz w:val="20"/>
      <w:szCs w:val="20"/>
    </w:rPr>
  </w:style>
  <w:style w:type="paragraph" w:styleId="EndnoteText">
    <w:name w:val="endnote text"/>
    <w:basedOn w:val="Normal"/>
    <w:link w:val="Style11"/>
    <w:uiPriority w:val="99"/>
    <w:semiHidden/>
    <w:unhideWhenUsed/>
    <w:pPr/>
    <w:rPr>
      <w:sz w:val="20"/>
      <w:szCs w:val="20"/>
    </w:rPr>
  </w:style>
  <w:style w:type="paragraph" w:styleId="Style19">
    <w:name w:val="頁首與頁尾"/>
    <w:basedOn w:val="Normal"/>
    <w:pPr/>
    <w:rPr/>
  </w:style>
  <w:style w:type="paragraph" w:styleId="user6">
    <w:name w:val="頁首與頁尾 (user)"/>
    <w:basedOn w:val="Normal"/>
    <w:pPr/>
    <w:rPr/>
  </w:style>
  <w:style w:type="paragraph" w:styleId="Header">
    <w:name w:val="header"/>
    <w:basedOn w:val="Normal"/>
    <w:link w:val="Style12"/>
    <w:uiPriority w:val="99"/>
    <w:unhideWhenUsed/>
    <w:rsid w:val="006d6375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Footer">
    <w:name w:val="footer"/>
    <w:basedOn w:val="Normal"/>
    <w:link w:val="Style13"/>
    <w:uiPriority w:val="99"/>
    <w:unhideWhenUsed/>
    <w:rsid w:val="006d6375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d6375"/>
    <w:pPr/>
    <w:rPr/>
  </w:style>
  <w:style w:type="paragraph" w:styleId="TOC2">
    <w:name w:val="toc 2"/>
    <w:basedOn w:val="Normal"/>
    <w:next w:val="Normal"/>
    <w:autoRedefine/>
    <w:uiPriority w:val="39"/>
    <w:unhideWhenUsed/>
    <w:rsid w:val="006d6375"/>
    <w:pPr>
      <w:ind w:startChars="200"/>
    </w:pPr>
    <w:rPr/>
  </w:style>
  <w:style w:type="paragraph" w:styleId="TOC3">
    <w:name w:val="toc 3"/>
    <w:basedOn w:val="Normal"/>
    <w:next w:val="Normal"/>
    <w:autoRedefine/>
    <w:uiPriority w:val="39"/>
    <w:unhideWhenUsed/>
    <w:rsid w:val="006d6375"/>
    <w:pPr>
      <w:ind w:startChars="400"/>
    </w:pPr>
    <w:rPr/>
  </w:style>
  <w:style w:type="paragraph" w:styleId="Style20">
    <w:name w:val="表格內容"/>
    <w:basedOn w:val="Normal"/>
    <w:pPr>
      <w:widowControl w:val="false"/>
      <w:suppressLineNumbers/>
    </w:pPr>
    <w:rPr/>
  </w:style>
  <w:style w:type="paragraph" w:styleId="Style21">
    <w:name w:val="表格標題"/>
    <w:basedOn w:val="Style20"/>
    <w:pPr>
      <w:suppressLineNumbers/>
      <w:jc w:val="center"/>
    </w:pPr>
    <w:rPr>
      <w:b/>
      <w:bCs/>
    </w:rPr>
  </w:style>
  <w:style w:type="paragraph" w:styleId="Style22">
    <w:name w:val="水平線"/>
    <w:basedOn w:val="Normal"/>
    <w:next w:val="BodyText"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Style23" w:default="1">
    <w:name w:val="無清單"/>
    <w:uiPriority w:val="99"/>
    <w:semiHidden/>
    <w:unhideWhenUsed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footer" Target="footer3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 pitchFamily="0" charset="1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Application>LibreOffice/26.8.1.1$Windows_X86_64 LibreOffice_project/bf6ef2662401c7d6dce671ab4deb26ee0af3a7c1</Application>
  <AppVersion>15.0000</AppVersion>
  <Pages>31</Pages>
  <Words>10147</Words>
  <Characters>20198</Characters>
  <CharactersWithSpaces>21294</CharactersWithSpaces>
  <Paragraphs>674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2026-10-21T08:43:00Z</dcterms:created>
  <dc:creator>Wayne</dc:creator>
  <dc:description/>
  <dc:language>zh-TW</dc:language>
  <cp:lastModifiedBy/>
  <dcterms:modified xsi:type="dcterms:W3CDTF">2026-10-22T11:23:32Z</dcterms:modified>
  <cp:revision>12</cp:revision>
  <dc:subject/>
  <dc:title>SGS基礎框架系統專案設計規格書(SDD) v1.1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