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Capitalization Policy</w:t>
      </w:r>
    </w:p>
    <w:p>
      <w:r>
        <w:t>Memo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</w:t>
            </w:r>
          </w:p>
        </w:tc>
        <w:tc>
          <w:tcPr>
            <w:tcW w:type="dxa" w:w="4320"/>
          </w:tcPr>
          <w:p>
            <w:r>
              <w:t>Finance and Procurement</w:t>
            </w:r>
          </w:p>
        </w:tc>
      </w:tr>
      <w:tr>
        <w:tc>
          <w:tcPr>
            <w:tcW w:type="dxa" w:w="4320"/>
          </w:tcPr>
          <w:p>
            <w:r>
              <w:t>From</w:t>
            </w:r>
          </w:p>
        </w:tc>
        <w:tc>
          <w:tcPr>
            <w:tcW w:type="dxa" w:w="4320"/>
          </w:tcPr>
          <w:p>
            <w:r>
              <w:t>Rudraksh Awasthi, Controller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January 15, 2026</w:t>
            </w:r>
          </w:p>
        </w:tc>
      </w:tr>
      <w:tr>
        <w:tc>
          <w:tcPr>
            <w:tcW w:type="dxa" w:w="4320"/>
          </w:tcPr>
          <w:p>
            <w:r>
              <w:t>Subject</w:t>
            </w:r>
          </w:p>
        </w:tc>
        <w:tc>
          <w:tcPr>
            <w:tcW w:type="dxa" w:w="4320"/>
          </w:tcPr>
          <w:p>
            <w:r>
              <w:t>Fixed asset capitalization policy</w:t>
            </w:r>
          </w:p>
        </w:tc>
      </w:tr>
    </w:tbl>
    <w:p>
      <w:r>
        <w:t>Equipment purchases are capitalized when a single order of like items costs $5,000 or more and the items have a useful life beyond one year.</w:t>
      </w:r>
    </w:p>
    <w:p>
      <w:r>
        <w:t>Capitalized equipment is depreciated straight-line over 36 months, starting when the asset is placed in service. Only units actually received are recorded as assets.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Capitalization Policy</dc:title>
  <dc:subject>Memo</dc:subject>
  <dc:creator>TrueUp synthetic data</dc:creator>
  <cp:keywords/>
  <dc:description>generated by python-docx</dc:description>
  <cp:lastModifiedBy>TrueUp synthetic data</cp:lastModifiedBy>
  <cp:revision>1</cp:revision>
  <dcterms:created xsi:type="dcterms:W3CDTF">2026-12-01T08:00:00Z</dcterms:created>
  <dcterms:modified xsi:type="dcterms:W3CDTF">2026-12-01T08:00:00Z</dcterms:modified>
  <cp:category/>
</cp:coreProperties>
</file>