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Campaign Close Memo</w:t>
      </w:r>
    </w:p>
    <w:p>
      <w:r>
        <w:t>Memo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Rudraksh Awasthi, Controller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Finance Operations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October 6, 2026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Q3 campaign close: accrue delivered spend</w:t>
            </w:r>
          </w:p>
        </w:tc>
      </w:tr>
    </w:tbl>
    <w:p>
      <w:r>
        <w:t>For the Q3 campaign the order allowed $15,000 but only $13,120 of ads were delivered. We accrued the delivered $13,120 and the final invoice matched it.</w:t>
      </w:r>
    </w:p>
    <w:p>
      <w:r>
        <w:t>Rule of thumb: accrue delivered spend, never the order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Close Memo</dc:title>
  <dc:subject>Memo</dc:subject>
  <dc:creator>TrueUp synthetic data</dc:creator>
  <cp:keywords/>
  <dc:description>generated by python-docx</dc:description>
  <cp:lastModifiedBy>TrueUp synthetic data</cp:lastModifiedBy>
  <cp:revision>1</cp:revision>
  <dcterms:created xsi:type="dcterms:W3CDTF">2026-12-01T08:00:00Z</dcterms:created>
  <dcterms:modified xsi:type="dcterms:W3CDTF">2026-12-01T08:00:00Z</dcterms:modified>
  <cp:category/>
</cp:coreProperties>
</file>