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 Memo</w:t>
      </w:r>
    </w:p>
    <w:p>
      <w:r>
        <w:t>Memo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Rudraksh Awasthi, Controller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Finance Operations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December 3, 2026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November close: Mintlify subscription accrual</w:t>
            </w:r>
          </w:p>
        </w:tc>
      </w:tr>
    </w:tbl>
    <w:p>
      <w:r>
        <w:t>November was accrued and invoiced at $1,200, the rate in force through November 30, 2027.</w:t>
      </w:r>
    </w:p>
    <w:p>
      <w:r>
        <w:t>No change to the agreement is on file.</w:t>
      </w:r>
    </w:p>
    <w:p>
      <w:r>
        <w:t>Action for the December close: accrue at the same agreement 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Close Memo</dc:title>
  <dc:subject>Memo</dc:subject>
  <dc:creator>TrueUp synthetic data</dc:creator>
  <cp:keywords/>
  <dc:description>generated by python-docx</dc:description>
  <cp:lastModifiedBy>TrueUp synthetic data</cp:lastModifiedBy>
  <cp:revision>1</cp:revision>
  <dcterms:created xsi:type="dcterms:W3CDTF">2026-12-01T08:00:00Z</dcterms:created>
  <dcterms:modified xsi:type="dcterms:W3CDTF">2026-12-01T08:00:00Z</dcterms:modified>
  <cp:category/>
</cp:coreProperties>
</file>