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 Memo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Rudraksh Awasthi, Controller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Finance Operations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December 3,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November close: OpenAI accrual versus invoice</w:t>
            </w:r>
          </w:p>
        </w:tc>
      </w:tr>
    </w:tbl>
    <w:p>
      <w:r>
        <w:t>Accruals were booked at the base rate of $0.016 per unit. Invoices were billed at $0.02 per unit after the rate step-up effective September 1, 2026.</w:t>
      </w:r>
    </w:p>
    <w:p>
      <w:r>
        <w:t>The accrual came in under the invoice each month. Verify the effective rate before accruing usage.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Accrued</w:t>
            </w:r>
          </w:p>
        </w:tc>
        <w:tc>
          <w:tcPr>
            <w:tcW w:type="dxa" w:w="2160"/>
          </w:tcPr>
          <w:p>
            <w:r>
              <w:t>Invoiced</w:t>
            </w:r>
          </w:p>
        </w:tc>
        <w:tc>
          <w:tcPr>
            <w:tcW w:type="dxa" w:w="2160"/>
          </w:tcPr>
          <w:p>
            <w:r>
              <w:t>Variance</w:t>
            </w:r>
          </w:p>
        </w:tc>
      </w:tr>
      <w:tr>
        <w:tc>
          <w:tcPr>
            <w:tcW w:type="dxa" w:w="2160"/>
          </w:tcPr>
          <w:p>
            <w:r>
              <w:t>2026-10</w:t>
            </w:r>
          </w:p>
        </w:tc>
        <w:tc>
          <w:tcPr>
            <w:tcW w:type="dxa" w:w="2160"/>
          </w:tcPr>
          <w:p>
            <w:r>
              <w:t>$11,840.00</w:t>
            </w:r>
          </w:p>
        </w:tc>
        <w:tc>
          <w:tcPr>
            <w:tcW w:type="dxa" w:w="2160"/>
          </w:tcPr>
          <w:p>
            <w:r>
              <w:t>$14,800.00</w:t>
            </w:r>
          </w:p>
        </w:tc>
        <w:tc>
          <w:tcPr>
            <w:tcW w:type="dxa" w:w="2160"/>
          </w:tcPr>
          <w:p>
            <w:r>
              <w:t>$2,960.00</w:t>
            </w:r>
          </w:p>
        </w:tc>
      </w:tr>
      <w:tr>
        <w:tc>
          <w:tcPr>
            <w:tcW w:type="dxa" w:w="2160"/>
          </w:tcPr>
          <w:p>
            <w:r>
              <w:t>2026-11</w:t>
            </w:r>
          </w:p>
        </w:tc>
        <w:tc>
          <w:tcPr>
            <w:tcW w:type="dxa" w:w="2160"/>
          </w:tcPr>
          <w:p>
            <w:r>
              <w:t>$12,480.00</w:t>
            </w:r>
          </w:p>
        </w:tc>
        <w:tc>
          <w:tcPr>
            <w:tcW w:type="dxa" w:w="2160"/>
          </w:tcPr>
          <w:p>
            <w:r>
              <w:t>$15,600.00</w:t>
            </w:r>
          </w:p>
        </w:tc>
        <w:tc>
          <w:tcPr>
            <w:tcW w:type="dxa" w:w="2160"/>
          </w:tcPr>
          <w:p>
            <w:r>
              <w:t>$3,120.00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 Memo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